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D7A3F9" w14:textId="77777777" w:rsidR="00CE6C6F" w:rsidRPr="004905DF" w:rsidRDefault="00CE6C6F" w:rsidP="004905DF">
      <w:pPr>
        <w:pBdr>
          <w:bottom w:val="single" w:sz="18" w:space="0" w:color="D4E0E4"/>
        </w:pBdr>
        <w:bidi w:val="0"/>
        <w:spacing w:before="150" w:after="150" w:line="240" w:lineRule="auto"/>
        <w:ind w:left="150" w:right="150"/>
        <w:jc w:val="right"/>
        <w:outlineLvl w:val="0"/>
        <w:rPr>
          <w:rFonts w:ascii="Calibri" w:eastAsia="Times New Roman" w:hAnsi="Calibri" w:cs="Calibri"/>
          <w:b/>
          <w:bCs/>
          <w:color w:val="333333"/>
          <w:kern w:val="36"/>
        </w:rPr>
      </w:pPr>
      <w:r w:rsidRPr="004905DF">
        <w:rPr>
          <w:rFonts w:ascii="Calibri" w:eastAsia="Times New Roman" w:hAnsi="Calibri" w:cs="Calibri"/>
          <w:b/>
          <w:bCs/>
          <w:color w:val="333333"/>
          <w:kern w:val="36"/>
          <w:rtl/>
        </w:rPr>
        <w:t>הציפיות לאינפלציה הנגזרות מנתוני שוק ההון כפי שהן מחושבות על ידי בנק ישראל</w:t>
      </w:r>
    </w:p>
    <w:p w14:paraId="6DBA6890" w14:textId="77777777" w:rsidR="00CE6C6F" w:rsidRPr="004905DF" w:rsidRDefault="00CE6C6F" w:rsidP="004905DF">
      <w:pPr>
        <w:shd w:val="clear" w:color="auto" w:fill="FFFFFF"/>
        <w:bidi w:val="0"/>
        <w:spacing w:after="0" w:line="270" w:lineRule="atLeast"/>
        <w:jc w:val="right"/>
        <w:outlineLvl w:val="2"/>
        <w:rPr>
          <w:rFonts w:ascii="Calibri" w:eastAsia="Times New Roman" w:hAnsi="Calibri" w:cs="Calibri"/>
          <w:b/>
          <w:bCs/>
          <w:color w:val="185695"/>
        </w:rPr>
      </w:pPr>
      <w:r w:rsidRPr="004905DF">
        <w:rPr>
          <w:rFonts w:ascii="Calibri" w:eastAsia="Times New Roman" w:hAnsi="Calibri" w:cs="Calibri"/>
          <w:b/>
          <w:bCs/>
          <w:color w:val="185695"/>
          <w:rtl/>
        </w:rPr>
        <w:t>הציפיות לאינפלציה הנגזרות מנתוני שוק ההון – שיטת החישוב של בנק ישראל</w:t>
      </w:r>
    </w:p>
    <w:p w14:paraId="234A45BD" w14:textId="77777777" w:rsidR="00CE6C6F" w:rsidRPr="004905DF" w:rsidRDefault="00CE6C6F" w:rsidP="004905DF">
      <w:pPr>
        <w:spacing w:after="0" w:line="240" w:lineRule="auto"/>
        <w:jc w:val="both"/>
        <w:rPr>
          <w:rFonts w:ascii="Calibri" w:eastAsia="Times New Roman" w:hAnsi="Calibri" w:cs="Calibri"/>
          <w:color w:val="333333"/>
        </w:rPr>
      </w:pPr>
      <w:r w:rsidRPr="004905DF">
        <w:rPr>
          <w:rFonts w:ascii="Calibri" w:eastAsia="Times New Roman" w:hAnsi="Calibri" w:cs="Calibri"/>
          <w:color w:val="333333"/>
          <w:rtl/>
        </w:rPr>
        <w:t> </w:t>
      </w:r>
    </w:p>
    <w:p w14:paraId="73622D03" w14:textId="77777777" w:rsidR="00CE6C6F" w:rsidRPr="004905DF" w:rsidRDefault="00CE6C6F" w:rsidP="004905DF">
      <w:pPr>
        <w:spacing w:after="0" w:line="240" w:lineRule="auto"/>
        <w:jc w:val="both"/>
        <w:rPr>
          <w:rFonts w:ascii="Calibri" w:eastAsia="Times New Roman" w:hAnsi="Calibri" w:cs="Calibri"/>
          <w:color w:val="333333"/>
          <w:rtl/>
        </w:rPr>
      </w:pPr>
      <w:r w:rsidRPr="004905DF">
        <w:rPr>
          <w:rFonts w:ascii="Calibri" w:eastAsia="Times New Roman" w:hAnsi="Calibri" w:cs="Calibri"/>
          <w:color w:val="333333"/>
          <w:rtl/>
        </w:rPr>
        <w:t> </w:t>
      </w:r>
    </w:p>
    <w:p w14:paraId="1865C5A0" w14:textId="77777777" w:rsidR="00CE6C6F" w:rsidRPr="004905DF" w:rsidRDefault="00CE6C6F" w:rsidP="004905DF">
      <w:pPr>
        <w:spacing w:after="0" w:line="240" w:lineRule="auto"/>
        <w:jc w:val="both"/>
        <w:rPr>
          <w:rFonts w:ascii="Calibri" w:eastAsia="Times New Roman" w:hAnsi="Calibri" w:cs="Calibri"/>
          <w:color w:val="333333"/>
          <w:rtl/>
        </w:rPr>
      </w:pPr>
      <w:r w:rsidRPr="004905DF">
        <w:rPr>
          <w:rFonts w:ascii="Calibri" w:eastAsia="Times New Roman" w:hAnsi="Calibri" w:cs="Calibri"/>
          <w:b/>
          <w:bCs/>
          <w:color w:val="333333"/>
          <w:rtl/>
        </w:rPr>
        <w:t>א. כללי</w:t>
      </w:r>
    </w:p>
    <w:p w14:paraId="135B5695" w14:textId="77777777" w:rsidR="00CE6C6F" w:rsidRPr="004905DF" w:rsidRDefault="00CE6C6F" w:rsidP="004905DF">
      <w:pPr>
        <w:spacing w:after="0" w:line="240" w:lineRule="auto"/>
        <w:jc w:val="both"/>
        <w:rPr>
          <w:rFonts w:ascii="Calibri" w:eastAsia="Times New Roman" w:hAnsi="Calibri" w:cs="Calibri"/>
          <w:color w:val="333333"/>
          <w:rtl/>
        </w:rPr>
      </w:pPr>
      <w:r w:rsidRPr="004905DF">
        <w:rPr>
          <w:rFonts w:ascii="Calibri" w:eastAsia="Times New Roman" w:hAnsi="Calibri" w:cs="Calibri"/>
          <w:color w:val="333333"/>
          <w:rtl/>
        </w:rPr>
        <w:t>הציפיות לאינפלציה הנגזרות משוק ההון (</w:t>
      </w:r>
      <w:r w:rsidRPr="004905DF">
        <w:rPr>
          <w:rFonts w:ascii="Calibri" w:eastAsia="Times New Roman" w:hAnsi="Calibri" w:cs="Calibri"/>
          <w:color w:val="333333"/>
        </w:rPr>
        <w:t>break-even inflation rate</w:t>
      </w:r>
      <w:r w:rsidRPr="004905DF">
        <w:rPr>
          <w:rFonts w:ascii="Calibri" w:eastAsia="Times New Roman" w:hAnsi="Calibri" w:cs="Calibri"/>
          <w:color w:val="333333"/>
          <w:rtl/>
        </w:rPr>
        <w:t xml:space="preserve">, או "אינפלציית האיזון") מתבססות על משוואה קונצפטואלית שפיתח הכלכלן האמריקאי </w:t>
      </w:r>
      <w:proofErr w:type="spellStart"/>
      <w:r w:rsidRPr="004905DF">
        <w:rPr>
          <w:rFonts w:ascii="Calibri" w:eastAsia="Times New Roman" w:hAnsi="Calibri" w:cs="Calibri"/>
          <w:color w:val="333333"/>
          <w:rtl/>
        </w:rPr>
        <w:t>אירווינג</w:t>
      </w:r>
      <w:proofErr w:type="spellEnd"/>
      <w:r w:rsidRPr="004905DF">
        <w:rPr>
          <w:rFonts w:ascii="Calibri" w:eastAsia="Times New Roman" w:hAnsi="Calibri" w:cs="Calibri"/>
          <w:color w:val="333333"/>
          <w:rtl/>
        </w:rPr>
        <w:t xml:space="preserve"> פישר, ולפיה הריבית הנומינלית שווה לסכום של הריבית הריאלית והציפיות לאינפלציה. על פי תפיסה זו, ניתן לגזור את הציפיות לאינפלציה מנתוני שוק ההון באמצעות חישוב ההפרש בין התשואה לפדיון על איגרות חוב לא-צמודות, המייצגת את התשואה הנומינלית, לבין התשואה על איגרות חוב צמודות למדד המחירים לצרכן, המייצגת את התשואה הריאלית. בחישוב מסוג זה רצוי ששתי האיגרות יהיו דומות ככל האפשר – עד כדי כך שההבדל ביניהן יתמצה בהצמדה למדד.</w:t>
      </w:r>
    </w:p>
    <w:p w14:paraId="3215423C" w14:textId="77777777" w:rsidR="00CE6C6F" w:rsidRPr="004905DF" w:rsidRDefault="00CE6C6F" w:rsidP="004905DF">
      <w:pPr>
        <w:spacing w:after="0" w:line="240" w:lineRule="auto"/>
        <w:jc w:val="both"/>
        <w:rPr>
          <w:rFonts w:ascii="Calibri" w:eastAsia="Times New Roman" w:hAnsi="Calibri" w:cs="Calibri"/>
          <w:color w:val="333333"/>
          <w:rtl/>
        </w:rPr>
      </w:pPr>
      <w:r w:rsidRPr="004905DF">
        <w:rPr>
          <w:rFonts w:ascii="Calibri" w:eastAsia="Times New Roman" w:hAnsi="Calibri" w:cs="Calibri"/>
          <w:b/>
          <w:bCs/>
          <w:color w:val="333333"/>
          <w:rtl/>
        </w:rPr>
        <w:t> </w:t>
      </w:r>
    </w:p>
    <w:p w14:paraId="749AC2CC" w14:textId="77777777" w:rsidR="00CE6C6F" w:rsidRPr="004905DF" w:rsidRDefault="00CE6C6F" w:rsidP="004905DF">
      <w:pPr>
        <w:spacing w:after="0" w:line="240" w:lineRule="auto"/>
        <w:jc w:val="both"/>
        <w:rPr>
          <w:rFonts w:ascii="Calibri" w:eastAsia="Times New Roman" w:hAnsi="Calibri" w:cs="Calibri"/>
          <w:color w:val="333333"/>
          <w:rtl/>
        </w:rPr>
      </w:pPr>
      <w:r w:rsidRPr="004905DF">
        <w:rPr>
          <w:rFonts w:ascii="Calibri" w:eastAsia="Times New Roman" w:hAnsi="Calibri" w:cs="Calibri"/>
          <w:b/>
          <w:bCs/>
          <w:color w:val="333333"/>
          <w:rtl/>
        </w:rPr>
        <w:t>ב. הבעיות ביישום השיטה</w:t>
      </w:r>
    </w:p>
    <w:p w14:paraId="7030057E" w14:textId="77777777" w:rsidR="00CE6C6F" w:rsidRPr="004905DF" w:rsidRDefault="00CE6C6F" w:rsidP="004905DF">
      <w:pPr>
        <w:spacing w:after="0" w:line="240" w:lineRule="auto"/>
        <w:jc w:val="both"/>
        <w:rPr>
          <w:rFonts w:ascii="Calibri" w:eastAsia="Times New Roman" w:hAnsi="Calibri" w:cs="Calibri"/>
          <w:color w:val="333333"/>
          <w:rtl/>
        </w:rPr>
      </w:pPr>
      <w:r w:rsidRPr="004905DF">
        <w:rPr>
          <w:rFonts w:ascii="Calibri" w:eastAsia="Times New Roman" w:hAnsi="Calibri" w:cs="Calibri"/>
          <w:color w:val="333333"/>
          <w:rtl/>
        </w:rPr>
        <w:t>1. כאשר הציפיות לאינפלציה מבוססות על הפרשי תשואות, הן כוללות בתוכן פרמיית סיכון אינפלציונית וכן הטיות הנובעות מהבדלי המיסוי והנזילות בין הסוגים השונים של איגרות החוב.</w:t>
      </w:r>
    </w:p>
    <w:p w14:paraId="7D4F9680" w14:textId="77777777" w:rsidR="00CE6C6F" w:rsidRPr="004905DF" w:rsidRDefault="00CE6C6F" w:rsidP="004905DF">
      <w:pPr>
        <w:spacing w:after="0" w:line="240" w:lineRule="auto"/>
        <w:jc w:val="both"/>
        <w:rPr>
          <w:rFonts w:ascii="Calibri" w:eastAsia="Times New Roman" w:hAnsi="Calibri" w:cs="Calibri"/>
          <w:color w:val="333333"/>
          <w:rtl/>
        </w:rPr>
      </w:pPr>
      <w:r w:rsidRPr="004905DF">
        <w:rPr>
          <w:rFonts w:ascii="Calibri" w:eastAsia="Times New Roman" w:hAnsi="Calibri" w:cs="Calibri"/>
          <w:color w:val="333333"/>
          <w:rtl/>
        </w:rPr>
        <w:t>2. מספרן המועט של סדרות אג"ח ריאליות מקשה על הערכת התשואה לטווחי פדיון קבועים.</w:t>
      </w:r>
    </w:p>
    <w:p w14:paraId="714DA3B5" w14:textId="77777777" w:rsidR="00CE6C6F" w:rsidRPr="004905DF" w:rsidRDefault="00CE6C6F" w:rsidP="004905DF">
      <w:pPr>
        <w:spacing w:after="0" w:line="240" w:lineRule="auto"/>
        <w:jc w:val="both"/>
        <w:rPr>
          <w:rFonts w:ascii="Calibri" w:eastAsia="Times New Roman" w:hAnsi="Calibri" w:cs="Calibri"/>
          <w:color w:val="333333"/>
          <w:rtl/>
        </w:rPr>
      </w:pPr>
      <w:r w:rsidRPr="004905DF">
        <w:rPr>
          <w:rFonts w:ascii="Calibri" w:eastAsia="Times New Roman" w:hAnsi="Calibri" w:cs="Calibri"/>
          <w:color w:val="333333"/>
          <w:rtl/>
        </w:rPr>
        <w:t>3. פיגורי הצמדה, והטיות נוספות הנובעות ממנגנון ההצמדה, משפיעים על חישוב התשואה לפדיון של אג"ח צמודות. לכן התשואות המחושבות לפי אג"ח אלו אינן מייצגות בהכרח את התשואה הריאלית במשק</w:t>
      </w:r>
      <w:bookmarkStart w:id="0" w:name="_ftnref1"/>
      <w:r w:rsidRPr="004905DF">
        <w:rPr>
          <w:rFonts w:ascii="Calibri" w:eastAsia="Times New Roman" w:hAnsi="Calibri" w:cs="Calibri"/>
          <w:color w:val="0000FF"/>
          <w:u w:val="single"/>
        </w:rPr>
        <w:t>[1]</w:t>
      </w:r>
      <w:bookmarkEnd w:id="0"/>
      <w:r w:rsidRPr="004905DF">
        <w:rPr>
          <w:rFonts w:ascii="Calibri" w:eastAsia="Times New Roman" w:hAnsi="Calibri" w:cs="Calibri"/>
          <w:color w:val="333333"/>
          <w:rtl/>
        </w:rPr>
        <w:t>. לשם המחשה, כאשר מחשבים תשואה ריאלית ביום מסוים, למשל ב-10 במאי, תשלומי הקרן והריבית מתומחרים על בסיס המדד הידוע שפורסם ב-15 באפריל, ומדד זה משקף את רמת המחירים הממוצעת בחודש מארס. אולם סביר כי המשקיעים הקובעים את מחיר האיגרת ב-10 במאי מביאים בחשבון גם את האינפלציה שהתפתחה עד אותו יום ועדיין לא פורסמה. זאת במיוחד אם חל בתקופת ביניים זו שינוי חד בגורם חשוב בקביעת המחירים, כמו שער החליפין. כמו כן, פדיון האיגרת – המשולם גם הוא לפי המדד הידוע, שהתפרסם ב-15 בחודש –  מוצמד לרמת המחירים הממוצעת של החודש הקודם ליום הפדיון. על כן איגרת החוב אינה מקנה הצמדה מלאה למחירים, ויש להתחשב בחוסר הצמדה זה בעת חישוב התשואה הריאלית.</w:t>
      </w:r>
    </w:p>
    <w:p w14:paraId="4A8E56A8" w14:textId="77777777" w:rsidR="00CE6C6F" w:rsidRPr="004905DF" w:rsidRDefault="00CE6C6F" w:rsidP="004905DF">
      <w:pPr>
        <w:spacing w:after="0" w:line="240" w:lineRule="auto"/>
        <w:jc w:val="both"/>
        <w:rPr>
          <w:rFonts w:ascii="Calibri" w:eastAsia="Times New Roman" w:hAnsi="Calibri" w:cs="Calibri"/>
          <w:color w:val="333333"/>
          <w:rtl/>
        </w:rPr>
      </w:pPr>
      <w:r w:rsidRPr="004905DF">
        <w:rPr>
          <w:rFonts w:ascii="Calibri" w:eastAsia="Times New Roman" w:hAnsi="Calibri" w:cs="Calibri"/>
          <w:color w:val="333333"/>
          <w:rtl/>
        </w:rPr>
        <w:t xml:space="preserve">4. העונתיות במדד המחירים לצרכן משפיעה רבות על תמחור </w:t>
      </w:r>
      <w:proofErr w:type="spellStart"/>
      <w:r w:rsidRPr="004905DF">
        <w:rPr>
          <w:rFonts w:ascii="Calibri" w:eastAsia="Times New Roman" w:hAnsi="Calibri" w:cs="Calibri"/>
          <w:color w:val="333333"/>
          <w:rtl/>
        </w:rPr>
        <w:t>האג"ח</w:t>
      </w:r>
      <w:proofErr w:type="spellEnd"/>
      <w:r w:rsidRPr="004905DF">
        <w:rPr>
          <w:rFonts w:ascii="Calibri" w:eastAsia="Times New Roman" w:hAnsi="Calibri" w:cs="Calibri"/>
          <w:color w:val="333333"/>
          <w:rtl/>
        </w:rPr>
        <w:t xml:space="preserve"> הצמודות למדד.</w:t>
      </w:r>
    </w:p>
    <w:p w14:paraId="519F4744" w14:textId="77777777" w:rsidR="00CE6C6F" w:rsidRPr="004905DF" w:rsidRDefault="00CE6C6F" w:rsidP="004905DF">
      <w:pPr>
        <w:spacing w:after="0" w:line="240" w:lineRule="auto"/>
        <w:jc w:val="both"/>
        <w:rPr>
          <w:rFonts w:ascii="Calibri" w:eastAsia="Times New Roman" w:hAnsi="Calibri" w:cs="Calibri"/>
          <w:color w:val="333333"/>
          <w:rtl/>
        </w:rPr>
      </w:pPr>
      <w:r w:rsidRPr="004905DF">
        <w:rPr>
          <w:rFonts w:ascii="Calibri" w:eastAsia="Times New Roman" w:hAnsi="Calibri" w:cs="Calibri"/>
          <w:b/>
          <w:bCs/>
          <w:color w:val="333333"/>
          <w:rtl/>
        </w:rPr>
        <w:t> </w:t>
      </w:r>
    </w:p>
    <w:p w14:paraId="667DEC8B" w14:textId="77777777" w:rsidR="00CE6C6F" w:rsidRPr="004905DF" w:rsidRDefault="00CE6C6F" w:rsidP="004905DF">
      <w:pPr>
        <w:spacing w:after="0" w:line="240" w:lineRule="auto"/>
        <w:jc w:val="both"/>
        <w:rPr>
          <w:rFonts w:ascii="Calibri" w:eastAsia="Times New Roman" w:hAnsi="Calibri" w:cs="Calibri"/>
          <w:color w:val="333333"/>
          <w:rtl/>
        </w:rPr>
      </w:pPr>
      <w:r w:rsidRPr="004905DF">
        <w:rPr>
          <w:rFonts w:ascii="Calibri" w:eastAsia="Times New Roman" w:hAnsi="Calibri" w:cs="Calibri"/>
          <w:b/>
          <w:bCs/>
          <w:color w:val="333333"/>
          <w:rtl/>
        </w:rPr>
        <w:t>ג. התייחסות לבעיות</w:t>
      </w:r>
    </w:p>
    <w:p w14:paraId="07E87F78" w14:textId="340BF7FC" w:rsidR="00CE6C6F" w:rsidRPr="004905DF" w:rsidRDefault="00CE6C6F" w:rsidP="00513DBE">
      <w:pPr>
        <w:spacing w:after="0" w:line="240" w:lineRule="auto"/>
        <w:jc w:val="both"/>
        <w:rPr>
          <w:rFonts w:ascii="Calibri" w:eastAsia="Times New Roman" w:hAnsi="Calibri" w:cs="Calibri"/>
          <w:color w:val="333333"/>
          <w:rtl/>
        </w:rPr>
      </w:pPr>
      <w:r w:rsidRPr="004905DF">
        <w:rPr>
          <w:rFonts w:ascii="Calibri" w:eastAsia="Times New Roman" w:hAnsi="Calibri" w:cs="Calibri"/>
          <w:color w:val="333333"/>
          <w:rtl/>
        </w:rPr>
        <w:t>1. האומדן לפרמיית הסיכון האינפלציונית מבוסס כיום על שני מחקרים שנערכו בישראל</w:t>
      </w:r>
      <w:bookmarkStart w:id="1" w:name="_ftnref2"/>
      <w:r w:rsidRPr="004905DF">
        <w:rPr>
          <w:rFonts w:ascii="Calibri" w:eastAsia="Times New Roman" w:hAnsi="Calibri" w:cs="Calibri"/>
          <w:color w:val="0000FF"/>
          <w:u w:val="single"/>
        </w:rPr>
        <w:t>[2]</w:t>
      </w:r>
      <w:bookmarkEnd w:id="1"/>
      <w:r w:rsidRPr="004905DF">
        <w:rPr>
          <w:rFonts w:ascii="Calibri" w:eastAsia="Times New Roman" w:hAnsi="Calibri" w:cs="Calibri"/>
          <w:color w:val="333333"/>
          <w:rtl/>
        </w:rPr>
        <w:t xml:space="preserve">. על פי מחקרים אלו, פרמיית הסיכון נעה בין 25 ל-40 נקודות בסיס (בשעה שהאומדן השכיח בחו"ל עומד על כ-20 נקודות בסיס). החוקרים בחטיבת המחקר של בנק ישראל </w:t>
      </w:r>
      <w:r w:rsidR="008A6F7A">
        <w:rPr>
          <w:rFonts w:ascii="Calibri" w:eastAsia="Times New Roman" w:hAnsi="Calibri" w:cs="Calibri" w:hint="cs"/>
          <w:color w:val="333333"/>
          <w:rtl/>
        </w:rPr>
        <w:t>עוסקים בפיתוח</w:t>
      </w:r>
      <w:r w:rsidRPr="004905DF">
        <w:rPr>
          <w:rFonts w:ascii="Calibri" w:eastAsia="Times New Roman" w:hAnsi="Calibri" w:cs="Calibri"/>
          <w:color w:val="333333"/>
          <w:rtl/>
        </w:rPr>
        <w:t xml:space="preserve"> מודלים להערכה שוטפת של פרמיית הסיכון.</w:t>
      </w:r>
      <w:r w:rsidR="00513DBE">
        <w:rPr>
          <w:rFonts w:ascii="Calibri" w:eastAsia="Times New Roman" w:hAnsi="Calibri" w:cs="Calibri" w:hint="cs"/>
          <w:color w:val="333333"/>
          <w:rtl/>
        </w:rPr>
        <w:t xml:space="preserve"> בחישוב הציפיות לאינפלציה שמבצע בנק ישראל אין תיקון לפרמיית הסיכון.</w:t>
      </w:r>
    </w:p>
    <w:p w14:paraId="26CAD66F" w14:textId="0FC675FF" w:rsidR="00513DBE" w:rsidRDefault="00CE6C6F" w:rsidP="003552F2">
      <w:pPr>
        <w:spacing w:after="0" w:line="240" w:lineRule="auto"/>
        <w:jc w:val="both"/>
        <w:rPr>
          <w:rFonts w:ascii="Calibri" w:eastAsia="Times New Roman" w:hAnsi="Calibri" w:cs="Calibri"/>
          <w:color w:val="333333"/>
          <w:rtl/>
        </w:rPr>
      </w:pPr>
      <w:r w:rsidRPr="004905DF">
        <w:rPr>
          <w:rFonts w:ascii="Calibri" w:eastAsia="Times New Roman" w:hAnsi="Calibri" w:cs="Calibri"/>
          <w:color w:val="333333"/>
          <w:rtl/>
        </w:rPr>
        <w:t>2. הציפיות לאינפלציה מבוססות</w:t>
      </w:r>
      <w:r w:rsidR="006C1F8E">
        <w:rPr>
          <w:rFonts w:ascii="Calibri" w:eastAsia="Times New Roman" w:hAnsi="Calibri" w:cs="Calibri" w:hint="cs"/>
          <w:color w:val="333333"/>
          <w:rtl/>
        </w:rPr>
        <w:t xml:space="preserve"> </w:t>
      </w:r>
      <w:r w:rsidRPr="004905DF">
        <w:rPr>
          <w:rFonts w:ascii="Calibri" w:eastAsia="Times New Roman" w:hAnsi="Calibri" w:cs="Calibri"/>
          <w:color w:val="333333"/>
          <w:rtl/>
        </w:rPr>
        <w:t xml:space="preserve">על התשואות </w:t>
      </w:r>
      <w:r w:rsidR="00513DBE">
        <w:rPr>
          <w:rFonts w:ascii="Calibri" w:eastAsia="Times New Roman" w:hAnsi="Calibri" w:cs="Calibri" w:hint="cs"/>
          <w:color w:val="333333"/>
          <w:rtl/>
        </w:rPr>
        <w:t>הלא צמודות והתשואות הצמודות למדד</w:t>
      </w:r>
      <w:r w:rsidRPr="004905DF">
        <w:rPr>
          <w:rFonts w:ascii="Calibri" w:eastAsia="Times New Roman" w:hAnsi="Calibri" w:cs="Calibri"/>
          <w:color w:val="333333"/>
          <w:rtl/>
        </w:rPr>
        <w:t xml:space="preserve"> המתקבלות ממודל </w:t>
      </w:r>
      <w:r w:rsidR="006C1F8E">
        <w:rPr>
          <w:rFonts w:ascii="Calibri" w:eastAsia="Times New Roman" w:hAnsi="Calibri" w:cs="Calibri" w:hint="cs"/>
          <w:color w:val="333333"/>
          <w:rtl/>
        </w:rPr>
        <w:t xml:space="preserve">א- פרמטרי </w:t>
      </w:r>
      <w:r w:rsidRPr="004905DF">
        <w:rPr>
          <w:rFonts w:ascii="Calibri" w:eastAsia="Times New Roman" w:hAnsi="Calibri" w:cs="Calibri"/>
          <w:color w:val="333333"/>
          <w:rtl/>
        </w:rPr>
        <w:t>לאמידת התשואות</w:t>
      </w:r>
      <w:r w:rsidR="00AF7843">
        <w:rPr>
          <w:rFonts w:ascii="Calibri" w:eastAsia="Times New Roman" w:hAnsi="Calibri" w:cs="Calibri" w:hint="cs"/>
          <w:color w:val="333333"/>
          <w:rtl/>
        </w:rPr>
        <w:t xml:space="preserve"> </w:t>
      </w:r>
      <w:r w:rsidR="00513DBE">
        <w:rPr>
          <w:rFonts w:ascii="Calibri" w:eastAsia="Times New Roman" w:hAnsi="Calibri" w:cs="Calibri" w:hint="cs"/>
          <w:color w:val="333333"/>
          <w:rtl/>
        </w:rPr>
        <w:t xml:space="preserve">המודל </w:t>
      </w:r>
      <w:r w:rsidR="00EC1B46">
        <w:rPr>
          <w:rFonts w:ascii="Calibri" w:eastAsia="Times New Roman" w:hAnsi="Calibri" w:cs="Calibri" w:hint="cs"/>
          <w:color w:val="333333"/>
          <w:rtl/>
        </w:rPr>
        <w:t xml:space="preserve">מאפשר לאמוד </w:t>
      </w:r>
      <w:r w:rsidR="00513DBE">
        <w:rPr>
          <w:rFonts w:ascii="Calibri" w:eastAsia="Times New Roman" w:hAnsi="Calibri" w:cs="Calibri" w:hint="cs"/>
          <w:color w:val="333333"/>
          <w:rtl/>
        </w:rPr>
        <w:t xml:space="preserve">עקום תשואות </w:t>
      </w:r>
      <w:r w:rsidR="00EC1B46" w:rsidRPr="00EC1B46">
        <w:rPr>
          <w:rFonts w:ascii="Calibri" w:eastAsia="Times New Roman" w:hAnsi="Calibri" w:cs="Calibri" w:hint="cs"/>
          <w:color w:val="333333"/>
          <w:rtl/>
        </w:rPr>
        <w:t>לאופקים הרצויים, שיכולים להיות שונים</w:t>
      </w:r>
      <w:r w:rsidR="00EC1B46">
        <w:rPr>
          <w:rFonts w:ascii="Calibri" w:eastAsia="Times New Roman" w:hAnsi="Calibri" w:cs="Calibri" w:hint="cs"/>
          <w:color w:val="333333"/>
          <w:rtl/>
        </w:rPr>
        <w:t xml:space="preserve"> </w:t>
      </w:r>
      <w:r w:rsidR="00EC1B46" w:rsidRPr="00EC1B46">
        <w:rPr>
          <w:rFonts w:ascii="Calibri" w:eastAsia="Times New Roman" w:hAnsi="Calibri" w:cs="Calibri" w:hint="cs"/>
          <w:color w:val="333333"/>
          <w:rtl/>
        </w:rPr>
        <w:t>מהתקופות לדיון של איגרות החוב</w:t>
      </w:r>
      <w:r w:rsidR="003552F2" w:rsidRPr="00AF7843">
        <w:rPr>
          <w:rFonts w:ascii="Calibri" w:eastAsia="Times New Roman" w:hAnsi="Calibri" w:cs="Calibri" w:hint="cs"/>
          <w:color w:val="0000FF"/>
          <w:u w:val="single"/>
          <w:rtl/>
        </w:rPr>
        <w:t>[3]</w:t>
      </w:r>
    </w:p>
    <w:p w14:paraId="1F8C2D91" w14:textId="4BA969FD" w:rsidR="00CE6C6F" w:rsidRPr="004905DF" w:rsidRDefault="00CE6C6F" w:rsidP="003552F2">
      <w:pPr>
        <w:spacing w:after="0" w:line="240" w:lineRule="auto"/>
        <w:jc w:val="both"/>
        <w:rPr>
          <w:rFonts w:ascii="Calibri" w:eastAsia="Times New Roman" w:hAnsi="Calibri" w:cs="Calibri"/>
          <w:color w:val="333333"/>
          <w:rtl/>
        </w:rPr>
      </w:pPr>
      <w:r w:rsidRPr="004905DF">
        <w:rPr>
          <w:rFonts w:ascii="Calibri" w:eastAsia="Times New Roman" w:hAnsi="Calibri" w:cs="Calibri"/>
          <w:color w:val="333333"/>
          <w:rtl/>
        </w:rPr>
        <w:t xml:space="preserve">3. כיוון שאיגרות החוב הצמודות למדד אינן מקנות הצמדה מלאה למדד, יש לתקן את התשואה לפדיון על איגרות חוב אלה כדי שתשקף נאמנה את התשואה הריאלית המתאימה. הדבר נעשה באמצעות חלוקה של תקופת החיים של כל איגרת לשלוש תקופות משנה: (א) התקופה </w:t>
      </w:r>
      <w:proofErr w:type="spellStart"/>
      <w:r w:rsidRPr="004905DF">
        <w:rPr>
          <w:rFonts w:ascii="Calibri" w:eastAsia="Times New Roman" w:hAnsi="Calibri" w:cs="Calibri"/>
          <w:color w:val="333333"/>
          <w:rtl/>
        </w:rPr>
        <w:t>המיידית</w:t>
      </w:r>
      <w:proofErr w:type="spellEnd"/>
      <w:r w:rsidRPr="004905DF">
        <w:rPr>
          <w:rFonts w:ascii="Calibri" w:eastAsia="Times New Roman" w:hAnsi="Calibri" w:cs="Calibri"/>
          <w:color w:val="333333"/>
          <w:rtl/>
        </w:rPr>
        <w:t xml:space="preserve">, שבה חל שינוי במדד המחירים והוא טרם פורסם (ביום החישוב); האומדן לשינוי שהתרחש אך טרם פורסם מבוסס על ממוצע התחזיות של </w:t>
      </w:r>
      <w:r w:rsidR="008A6F7A">
        <w:rPr>
          <w:rFonts w:ascii="Calibri" w:eastAsia="Times New Roman" w:hAnsi="Calibri" w:cs="Calibri" w:hint="cs"/>
          <w:color w:val="333333"/>
          <w:rtl/>
        </w:rPr>
        <w:t>החזאים המקצועיים</w:t>
      </w:r>
      <w:r w:rsidRPr="004905DF">
        <w:rPr>
          <w:rFonts w:ascii="Calibri" w:eastAsia="Times New Roman" w:hAnsi="Calibri" w:cs="Calibri"/>
          <w:color w:val="333333"/>
          <w:rtl/>
        </w:rPr>
        <w:t xml:space="preserve"> </w:t>
      </w:r>
      <w:r w:rsidR="008A6F7A">
        <w:rPr>
          <w:rFonts w:ascii="Calibri" w:eastAsia="Times New Roman" w:hAnsi="Calibri" w:cs="Calibri" w:hint="cs"/>
          <w:color w:val="333333"/>
          <w:rtl/>
        </w:rPr>
        <w:t>המופקות</w:t>
      </w:r>
      <w:r w:rsidRPr="004905DF">
        <w:rPr>
          <w:rFonts w:ascii="Calibri" w:eastAsia="Times New Roman" w:hAnsi="Calibri" w:cs="Calibri"/>
          <w:color w:val="333333"/>
          <w:rtl/>
        </w:rPr>
        <w:t xml:space="preserve"> באופן סדיר, (ב) התקופה האמצעית, שבה איגרת החוב מקנה פיצוי מלא על השינוי במחירים; ו-(ג) התקופה הסמוכה לפדיון, שבה אין פיצוי על השינוי שחל במדד המחירים מעבר למדד הידוע, המתייחס לתקופה הקודמת לפדיון; בתקופה זו ניתן להגדיר את איגרת החוב כאיגרת נומינלית ולהפחית את שוויה הנומינלי של תקופה קצרה זו ממחיר האיגרת. </w:t>
      </w:r>
    </w:p>
    <w:p w14:paraId="5FBCD889" w14:textId="101E95E7" w:rsidR="00CE6C6F" w:rsidRPr="004905DF" w:rsidRDefault="00CE6C6F" w:rsidP="003552F2">
      <w:pPr>
        <w:spacing w:after="0" w:line="240" w:lineRule="auto"/>
        <w:jc w:val="both"/>
        <w:rPr>
          <w:rFonts w:ascii="Calibri" w:eastAsia="Times New Roman" w:hAnsi="Calibri" w:cs="Calibri"/>
          <w:color w:val="333333"/>
          <w:rtl/>
        </w:rPr>
      </w:pPr>
      <w:r w:rsidRPr="004905DF">
        <w:rPr>
          <w:rFonts w:ascii="Calibri" w:eastAsia="Times New Roman" w:hAnsi="Calibri" w:cs="Calibri"/>
          <w:color w:val="333333"/>
          <w:rtl/>
        </w:rPr>
        <w:t xml:space="preserve">4. השפעת העונתיות במדד המחירים לצרכן באה לידי ביטוי כאשר טווחי הפדיון של סדרות </w:t>
      </w:r>
      <w:proofErr w:type="spellStart"/>
      <w:r w:rsidRPr="004905DF">
        <w:rPr>
          <w:rFonts w:ascii="Calibri" w:eastAsia="Times New Roman" w:hAnsi="Calibri" w:cs="Calibri"/>
          <w:color w:val="333333"/>
          <w:rtl/>
        </w:rPr>
        <w:t>האג"ח</w:t>
      </w:r>
      <w:proofErr w:type="spellEnd"/>
      <w:r w:rsidRPr="004905DF">
        <w:rPr>
          <w:rFonts w:ascii="Calibri" w:eastAsia="Times New Roman" w:hAnsi="Calibri" w:cs="Calibri"/>
          <w:color w:val="333333"/>
          <w:rtl/>
        </w:rPr>
        <w:t xml:space="preserve"> הצמודות למדד אינם מתלכדים עם שנים שלמות. למעשה, רוב הזמן לא נסחרות אג"ח בטווח של שנים שלמות, ולכן יש צורך </w:t>
      </w:r>
      <w:r w:rsidR="008A6F7A">
        <w:rPr>
          <w:rFonts w:ascii="Calibri" w:eastAsia="Times New Roman" w:hAnsi="Calibri" w:cs="Calibri" w:hint="cs"/>
          <w:color w:val="333333"/>
          <w:rtl/>
        </w:rPr>
        <w:t>להמיר</w:t>
      </w:r>
      <w:r w:rsidR="008A6F7A" w:rsidRPr="004905DF">
        <w:rPr>
          <w:rFonts w:ascii="Calibri" w:eastAsia="Times New Roman" w:hAnsi="Calibri" w:cs="Calibri"/>
          <w:color w:val="333333"/>
          <w:rtl/>
        </w:rPr>
        <w:t xml:space="preserve"> </w:t>
      </w:r>
      <w:r w:rsidRPr="004905DF">
        <w:rPr>
          <w:rFonts w:ascii="Calibri" w:eastAsia="Times New Roman" w:hAnsi="Calibri" w:cs="Calibri"/>
          <w:color w:val="333333"/>
          <w:rtl/>
        </w:rPr>
        <w:t>את התשואות לפדיון על הסדרות הקיימות למונחים שנתיים, תוך התחשבות בגורמי העונתיות הכלולים במדדי המחירים שיתפרסמו בתקופת החיים של כל סדרת אג"ח (התקופה האמצעית, כפי שזו הוגדרה בסעיף הקודם).</w:t>
      </w:r>
      <w:r w:rsidR="003552F2">
        <w:rPr>
          <w:rFonts w:ascii="Calibri" w:eastAsia="Times New Roman" w:hAnsi="Calibri" w:cs="Calibri"/>
          <w:color w:val="0000FF"/>
          <w:u w:val="single"/>
        </w:rPr>
        <w:t>[4]</w:t>
      </w:r>
    </w:p>
    <w:p w14:paraId="6ACBD6D5" w14:textId="77777777" w:rsidR="00CE6C6F" w:rsidRPr="004905DF" w:rsidRDefault="00CE6C6F" w:rsidP="004905DF">
      <w:pPr>
        <w:spacing w:after="0" w:line="240" w:lineRule="auto"/>
        <w:jc w:val="both"/>
        <w:rPr>
          <w:rFonts w:ascii="Calibri" w:eastAsia="Times New Roman" w:hAnsi="Calibri" w:cs="Calibri"/>
          <w:color w:val="333333"/>
          <w:rtl/>
        </w:rPr>
      </w:pPr>
      <w:r w:rsidRPr="004905DF">
        <w:rPr>
          <w:rFonts w:ascii="Calibri" w:eastAsia="Times New Roman" w:hAnsi="Calibri" w:cs="Calibri"/>
          <w:color w:val="333333"/>
          <w:rtl/>
        </w:rPr>
        <w:t> </w:t>
      </w:r>
    </w:p>
    <w:p w14:paraId="28FDAC21" w14:textId="77777777" w:rsidR="00CE6C6F" w:rsidRPr="003552F2" w:rsidRDefault="00CE6C6F" w:rsidP="004905DF">
      <w:pPr>
        <w:spacing w:after="0" w:line="360" w:lineRule="atLeast"/>
        <w:jc w:val="both"/>
        <w:rPr>
          <w:rFonts w:ascii="Calibri" w:eastAsia="Times New Roman" w:hAnsi="Calibri" w:cs="Calibri"/>
          <w:color w:val="333333"/>
          <w:rtl/>
        </w:rPr>
      </w:pPr>
      <w:r w:rsidRPr="003552F2">
        <w:rPr>
          <w:rFonts w:ascii="Calibri" w:eastAsia="Times New Roman" w:hAnsi="Calibri" w:cs="Calibri"/>
          <w:color w:val="333333"/>
          <w:rtl/>
        </w:rPr>
        <w:lastRenderedPageBreak/>
        <w:t xml:space="preserve">פירוט מדויק של הנוסחאות לחישוב מובא במאמרם של צבי וינר והלנה </w:t>
      </w:r>
      <w:proofErr w:type="spellStart"/>
      <w:r w:rsidRPr="003552F2">
        <w:rPr>
          <w:rFonts w:ascii="Calibri" w:eastAsia="Times New Roman" w:hAnsi="Calibri" w:cs="Calibri"/>
          <w:color w:val="333333"/>
          <w:rtl/>
        </w:rPr>
        <w:t>פומפושקו</w:t>
      </w:r>
      <w:proofErr w:type="spellEnd"/>
      <w:r w:rsidRPr="003552F2">
        <w:rPr>
          <w:rFonts w:ascii="Calibri" w:eastAsia="Times New Roman" w:hAnsi="Calibri" w:cs="Calibri"/>
          <w:color w:val="333333"/>
          <w:rtl/>
        </w:rPr>
        <w:t xml:space="preserve"> "אמידת עקומי תשואה נומינליים וריאליים מתוך איגרות חוב ממשלתיות בישראל", עיוניים מוניטריים 2006.03 , סדרת מאמרים לדיון של המחלקה המוניטרית בבנק ישראל.</w:t>
      </w:r>
    </w:p>
    <w:p w14:paraId="26C1467B" w14:textId="77777777" w:rsidR="00CE6C6F" w:rsidRPr="004905DF" w:rsidRDefault="00CE6C6F" w:rsidP="004905DF">
      <w:pPr>
        <w:spacing w:after="0" w:line="240" w:lineRule="auto"/>
        <w:jc w:val="both"/>
        <w:rPr>
          <w:rFonts w:ascii="Calibri" w:eastAsia="Times New Roman" w:hAnsi="Calibri" w:cs="Calibri"/>
          <w:color w:val="333333"/>
          <w:rtl/>
        </w:rPr>
      </w:pPr>
      <w:r w:rsidRPr="004905DF">
        <w:rPr>
          <w:rFonts w:ascii="Calibri" w:eastAsia="Times New Roman" w:hAnsi="Calibri" w:cs="Calibri"/>
          <w:color w:val="333333"/>
          <w:rtl/>
        </w:rPr>
        <w:t> </w:t>
      </w:r>
    </w:p>
    <w:p w14:paraId="5FB9A404" w14:textId="77777777" w:rsidR="00CE6C6F" w:rsidRPr="004905DF" w:rsidRDefault="00EC5F0B" w:rsidP="004905DF">
      <w:pPr>
        <w:spacing w:before="300" w:after="300" w:line="240" w:lineRule="auto"/>
        <w:jc w:val="both"/>
        <w:rPr>
          <w:rFonts w:ascii="Calibri" w:eastAsia="Times New Roman" w:hAnsi="Calibri" w:cs="Calibri"/>
          <w:color w:val="333333"/>
          <w:rtl/>
        </w:rPr>
      </w:pPr>
      <w:r>
        <w:rPr>
          <w:rFonts w:ascii="Calibri" w:eastAsia="Times New Roman" w:hAnsi="Calibri" w:cs="Calibri"/>
          <w:color w:val="333333"/>
        </w:rPr>
        <w:pict w14:anchorId="72FD3667">
          <v:rect id="_x0000_i1025" style="width:148.95pt;height:1.5pt" o:hrpct="330" o:hralign="right" o:hrstd="t" o:hrnoshade="t" o:hr="t" fillcolor="#039" stroked="f"/>
        </w:pict>
      </w:r>
    </w:p>
    <w:p w14:paraId="6FD6044B" w14:textId="77777777" w:rsidR="00CE6C6F" w:rsidRPr="004905DF" w:rsidRDefault="00CE6C6F" w:rsidP="004905DF">
      <w:pPr>
        <w:spacing w:before="300" w:after="300" w:line="240" w:lineRule="auto"/>
        <w:jc w:val="both"/>
        <w:rPr>
          <w:rFonts w:ascii="Calibri" w:eastAsia="Times New Roman" w:hAnsi="Calibri" w:cs="Calibri"/>
          <w:color w:val="333333"/>
          <w:rtl/>
        </w:rPr>
      </w:pPr>
      <w:bookmarkStart w:id="2" w:name="_ftn1"/>
      <w:r w:rsidRPr="004905DF">
        <w:rPr>
          <w:rFonts w:ascii="Calibri" w:eastAsia="Times New Roman" w:hAnsi="Calibri" w:cs="Calibri"/>
          <w:color w:val="0000FF"/>
          <w:u w:val="single"/>
        </w:rPr>
        <w:t>[1]</w:t>
      </w:r>
      <w:bookmarkEnd w:id="2"/>
      <w:r w:rsidRPr="004905DF">
        <w:rPr>
          <w:rFonts w:ascii="Calibri" w:eastAsia="Times New Roman" w:hAnsi="Calibri" w:cs="Calibri"/>
          <w:color w:val="333333"/>
          <w:rtl/>
        </w:rPr>
        <w:t> התופעה המתוארת בפסקה זו מכונה "פיגור הצמדה" (</w:t>
      </w:r>
      <w:r w:rsidRPr="004905DF">
        <w:rPr>
          <w:rFonts w:ascii="Calibri" w:eastAsia="Times New Roman" w:hAnsi="Calibri" w:cs="Calibri"/>
          <w:color w:val="333333"/>
        </w:rPr>
        <w:t>indexation lag</w:t>
      </w:r>
      <w:r w:rsidRPr="004905DF">
        <w:rPr>
          <w:rFonts w:ascii="Calibri" w:eastAsia="Times New Roman" w:hAnsi="Calibri" w:cs="Calibri"/>
          <w:color w:val="333333"/>
          <w:rtl/>
        </w:rPr>
        <w:t>) והיא קיימת ביתר שאת ברוב איגרות החוב הצמודות הנסחרות בחו"ל.</w:t>
      </w:r>
    </w:p>
    <w:p w14:paraId="006F9F18" w14:textId="77777777" w:rsidR="00CE6C6F" w:rsidRPr="004905DF" w:rsidRDefault="00CE6C6F" w:rsidP="004905DF">
      <w:pPr>
        <w:spacing w:before="300" w:after="300" w:line="240" w:lineRule="auto"/>
        <w:jc w:val="both"/>
        <w:rPr>
          <w:rFonts w:ascii="Calibri" w:eastAsia="Times New Roman" w:hAnsi="Calibri" w:cs="Calibri"/>
          <w:color w:val="333333"/>
          <w:rtl/>
        </w:rPr>
      </w:pPr>
      <w:bookmarkStart w:id="3" w:name="_ftn2"/>
      <w:r w:rsidRPr="004905DF">
        <w:rPr>
          <w:rFonts w:ascii="Calibri" w:eastAsia="Times New Roman" w:hAnsi="Calibri" w:cs="Calibri"/>
          <w:color w:val="0000FF"/>
          <w:u w:val="single"/>
        </w:rPr>
        <w:t>[2]</w:t>
      </w:r>
      <w:bookmarkEnd w:id="3"/>
      <w:r w:rsidRPr="004905DF">
        <w:rPr>
          <w:rFonts w:ascii="Calibri" w:eastAsia="Times New Roman" w:hAnsi="Calibri" w:cs="Calibri"/>
          <w:color w:val="333333"/>
          <w:rtl/>
        </w:rPr>
        <w:t> שני המחקרים שנערכו בישראל: (1) שטיין, ר' (2004), "אמידת פרמיות הסיכון הגלומות בתשואות של נכסים פיננסיים ובכלל זה - בציפיות לאינפלציה", </w:t>
      </w:r>
      <w:r w:rsidRPr="004905DF">
        <w:rPr>
          <w:rFonts w:ascii="Calibri" w:eastAsia="Times New Roman" w:hAnsi="Calibri" w:cs="Calibri"/>
          <w:i/>
          <w:iCs/>
          <w:color w:val="333333"/>
          <w:rtl/>
        </w:rPr>
        <w:t>סקר בנק ישראל</w:t>
      </w:r>
      <w:r w:rsidRPr="004905DF">
        <w:rPr>
          <w:rFonts w:ascii="Calibri" w:eastAsia="Times New Roman" w:hAnsi="Calibri" w:cs="Calibri"/>
          <w:color w:val="333333"/>
          <w:rtl/>
        </w:rPr>
        <w:t xml:space="preserve">. (2) אזולאי, א', מ' ברנר, י' </w:t>
      </w:r>
      <w:proofErr w:type="spellStart"/>
      <w:r w:rsidRPr="004905DF">
        <w:rPr>
          <w:rFonts w:ascii="Calibri" w:eastAsia="Times New Roman" w:hAnsi="Calibri" w:cs="Calibri"/>
          <w:color w:val="333333"/>
          <w:rtl/>
        </w:rPr>
        <w:t>לנדסקרונר</w:t>
      </w:r>
      <w:proofErr w:type="spellEnd"/>
      <w:r w:rsidRPr="004905DF">
        <w:rPr>
          <w:rFonts w:ascii="Calibri" w:eastAsia="Times New Roman" w:hAnsi="Calibri" w:cs="Calibri"/>
          <w:color w:val="333333"/>
          <w:rtl/>
        </w:rPr>
        <w:t xml:space="preserve"> ור' שטיין (2014), </w:t>
      </w:r>
      <w:r w:rsidRPr="004905DF">
        <w:rPr>
          <w:rFonts w:ascii="Calibri" w:eastAsia="Times New Roman" w:hAnsi="Calibri" w:cs="Calibri"/>
          <w:color w:val="333333"/>
        </w:rPr>
        <w:t>"Inflation Risk Premium Implied by Foreign Exchange Options", Journal of Economics and Business.</w:t>
      </w:r>
      <w:r w:rsidRPr="004905DF">
        <w:rPr>
          <w:rFonts w:ascii="Calibri" w:eastAsia="Times New Roman" w:hAnsi="Calibri" w:cs="Calibri"/>
          <w:color w:val="333333"/>
          <w:rtl/>
        </w:rPr>
        <w:t>. מחקר שנערך בחו"ל: </w:t>
      </w:r>
      <w:r w:rsidRPr="004905DF">
        <w:rPr>
          <w:rFonts w:ascii="Calibri" w:eastAsia="Times New Roman" w:hAnsi="Calibri" w:cs="Calibri"/>
          <w:color w:val="333333"/>
        </w:rPr>
        <w:t>Christensen, Jens, Jose Lopez and Glenn Rudebusch (2010), "Inflation Expectations and Risk Premiums in an Arbitrage-Free Model of Nominal and Real Bond Yields", FRB of San Francisco Working Paper no. 2008-34</w:t>
      </w:r>
    </w:p>
    <w:p w14:paraId="3DCCD793" w14:textId="77777777" w:rsidR="00AF7843" w:rsidRDefault="00CE6C6F" w:rsidP="00A7091D">
      <w:pPr>
        <w:spacing w:before="300" w:after="300" w:line="240" w:lineRule="auto"/>
        <w:jc w:val="both"/>
        <w:rPr>
          <w:rFonts w:ascii="Calibri" w:eastAsia="Times New Roman" w:hAnsi="Calibri" w:cs="Calibri"/>
          <w:color w:val="333333"/>
          <w:rtl/>
        </w:rPr>
      </w:pPr>
      <w:bookmarkStart w:id="4" w:name="_ftn3"/>
      <w:r w:rsidRPr="004905DF">
        <w:rPr>
          <w:rFonts w:ascii="Calibri" w:eastAsia="Times New Roman" w:hAnsi="Calibri" w:cs="Calibri"/>
          <w:color w:val="0000FF"/>
          <w:u w:val="single"/>
        </w:rPr>
        <w:t>[3</w:t>
      </w:r>
      <w:bookmarkEnd w:id="4"/>
      <w:r w:rsidR="00A7091D" w:rsidRPr="00A7091D">
        <w:rPr>
          <w:rFonts w:ascii="Calibri" w:eastAsia="Times New Roman" w:hAnsi="Calibri" w:cs="Calibri"/>
          <w:color w:val="0000FF"/>
          <w:u w:val="single"/>
        </w:rPr>
        <w:t>]</w:t>
      </w:r>
      <w:r w:rsidRPr="004905DF">
        <w:rPr>
          <w:rFonts w:ascii="Calibri" w:eastAsia="Times New Roman" w:hAnsi="Calibri" w:cs="Calibri"/>
          <w:color w:val="333333"/>
          <w:rtl/>
        </w:rPr>
        <w:t xml:space="preserve"> המודל מבוסס על </w:t>
      </w:r>
      <w:r w:rsidR="006C1F8E">
        <w:rPr>
          <w:rFonts w:ascii="Calibri" w:eastAsia="Times New Roman" w:hAnsi="Calibri" w:cs="Calibri" w:hint="cs"/>
          <w:color w:val="333333"/>
          <w:rtl/>
        </w:rPr>
        <w:t xml:space="preserve">המחקרים הבאים: </w:t>
      </w:r>
    </w:p>
    <w:p w14:paraId="4F16586B" w14:textId="73505270" w:rsidR="00AF7843" w:rsidRDefault="00CE6C6F" w:rsidP="00C928C1">
      <w:pPr>
        <w:spacing w:before="300" w:after="300" w:line="240" w:lineRule="auto"/>
        <w:jc w:val="both"/>
        <w:rPr>
          <w:rFonts w:ascii="Calibri" w:eastAsia="Times New Roman" w:hAnsi="Calibri" w:cs="Calibri" w:hint="cs"/>
          <w:color w:val="333333"/>
          <w:rtl/>
        </w:rPr>
      </w:pPr>
      <w:proofErr w:type="spellStart"/>
      <w:r w:rsidRPr="004905DF">
        <w:rPr>
          <w:rFonts w:ascii="Calibri" w:eastAsia="Times New Roman" w:hAnsi="Calibri" w:cs="Calibri"/>
          <w:color w:val="333333"/>
          <w:rtl/>
        </w:rPr>
        <w:t>ברודסקי</w:t>
      </w:r>
      <w:proofErr w:type="spellEnd"/>
      <w:r w:rsidRPr="004905DF">
        <w:rPr>
          <w:rFonts w:ascii="Calibri" w:eastAsia="Times New Roman" w:hAnsi="Calibri" w:cs="Calibri"/>
          <w:color w:val="333333"/>
          <w:rtl/>
        </w:rPr>
        <w:t>, א' ונ' שטינברג (2011), "שדרוג המודל לאמידת עקום התשואות המיושם בבנק ישראל", ניירות תקו</w:t>
      </w:r>
      <w:r w:rsidR="00C928C1">
        <w:rPr>
          <w:rFonts w:ascii="Calibri" w:eastAsia="Times New Roman" w:hAnsi="Calibri" w:cs="Calibri"/>
          <w:color w:val="333333"/>
          <w:rtl/>
        </w:rPr>
        <w:t>פתיים, חטיבת המחקר בבנק ישראל. </w:t>
      </w:r>
      <w:r w:rsidR="00A7091D">
        <w:rPr>
          <w:rFonts w:ascii="Calibri" w:eastAsia="Times New Roman" w:hAnsi="Calibri" w:cs="Calibri" w:hint="cs"/>
          <w:color w:val="333333"/>
          <w:rtl/>
        </w:rPr>
        <w:t xml:space="preserve"> </w:t>
      </w:r>
      <w:hyperlink r:id="rId4" w:history="1">
        <w:r w:rsidR="00C928C1" w:rsidRPr="00EC5F0B">
          <w:rPr>
            <w:rStyle w:val="Hyperlink"/>
            <w:rFonts w:ascii="Calibri" w:eastAsia="Times New Roman" w:hAnsi="Calibri" w:cs="Calibri" w:hint="cs"/>
            <w:color w:val="4472C4" w:themeColor="accent5"/>
            <w:u w:val="single"/>
            <w:rtl/>
          </w:rPr>
          <w:t>קישור</w:t>
        </w:r>
      </w:hyperlink>
      <w:r w:rsidR="00C928C1">
        <w:rPr>
          <w:rFonts w:ascii="Calibri" w:eastAsia="Times New Roman" w:hAnsi="Calibri" w:cs="Calibri" w:hint="cs"/>
          <w:color w:val="333333"/>
          <w:rtl/>
        </w:rPr>
        <w:t>.</w:t>
      </w:r>
    </w:p>
    <w:p w14:paraId="3DF82FB3" w14:textId="5754C4AB" w:rsidR="00CE6C6F" w:rsidRPr="004905DF" w:rsidRDefault="00AF7843" w:rsidP="00C928C1">
      <w:pPr>
        <w:spacing w:before="300" w:after="300" w:line="240" w:lineRule="auto"/>
        <w:jc w:val="both"/>
        <w:rPr>
          <w:rFonts w:ascii="Calibri" w:eastAsia="Times New Roman" w:hAnsi="Calibri" w:cs="Calibri"/>
          <w:color w:val="333333"/>
          <w:rtl/>
        </w:rPr>
      </w:pPr>
      <w:r>
        <w:rPr>
          <w:rFonts w:ascii="Calibri" w:eastAsia="Times New Roman" w:hAnsi="Calibri" w:cs="Calibri" w:hint="cs"/>
          <w:color w:val="333333"/>
          <w:rtl/>
        </w:rPr>
        <w:t xml:space="preserve">שטיין, ר' (2012), </w:t>
      </w:r>
      <w:r w:rsidR="00A7091D">
        <w:rPr>
          <w:rFonts w:ascii="Calibri" w:eastAsia="Times New Roman" w:hAnsi="Calibri" w:cs="Calibri" w:hint="cs"/>
          <w:color w:val="333333"/>
          <w:rtl/>
        </w:rPr>
        <w:t>"השפעת העונתיו</w:t>
      </w:r>
      <w:bookmarkStart w:id="5" w:name="_GoBack"/>
      <w:bookmarkEnd w:id="5"/>
      <w:r w:rsidR="00A7091D">
        <w:rPr>
          <w:rFonts w:ascii="Calibri" w:eastAsia="Times New Roman" w:hAnsi="Calibri" w:cs="Calibri" w:hint="cs"/>
          <w:color w:val="333333"/>
          <w:rtl/>
        </w:rPr>
        <w:t>ת במדד על אומדני הציפיות לאינפלציה"</w:t>
      </w:r>
      <w:r w:rsidR="00C928C1">
        <w:rPr>
          <w:rFonts w:ascii="Calibri" w:eastAsia="Times New Roman" w:hAnsi="Calibri" w:cs="Calibri" w:hint="cs"/>
          <w:color w:val="333333"/>
          <w:rtl/>
        </w:rPr>
        <w:t xml:space="preserve">. </w:t>
      </w:r>
      <w:r>
        <w:rPr>
          <w:rFonts w:ascii="Calibri" w:eastAsia="Times New Roman" w:hAnsi="Calibri" w:cs="Calibri" w:hint="cs"/>
          <w:color w:val="333333"/>
          <w:rtl/>
        </w:rPr>
        <w:t xml:space="preserve"> </w:t>
      </w:r>
      <w:hyperlink r:id="rId5" w:history="1">
        <w:r w:rsidRPr="00EC5F0B">
          <w:rPr>
            <w:rStyle w:val="Hyperlink"/>
            <w:rFonts w:ascii="Calibri" w:eastAsia="Times New Roman" w:hAnsi="Calibri" w:cs="Calibri" w:hint="cs"/>
            <w:color w:val="4472C4" w:themeColor="accent5"/>
            <w:u w:val="single"/>
            <w:rtl/>
          </w:rPr>
          <w:t>קיש</w:t>
        </w:r>
        <w:r w:rsidRPr="00EC5F0B">
          <w:rPr>
            <w:rStyle w:val="Hyperlink"/>
            <w:rFonts w:ascii="Calibri" w:eastAsia="Times New Roman" w:hAnsi="Calibri" w:cs="Calibri" w:hint="cs"/>
            <w:color w:val="4472C4" w:themeColor="accent5"/>
            <w:u w:val="single"/>
            <w:rtl/>
          </w:rPr>
          <w:t>ו</w:t>
        </w:r>
        <w:r w:rsidRPr="00EC5F0B">
          <w:rPr>
            <w:rStyle w:val="Hyperlink"/>
            <w:rFonts w:ascii="Calibri" w:eastAsia="Times New Roman" w:hAnsi="Calibri" w:cs="Calibri" w:hint="cs"/>
            <w:color w:val="4472C4" w:themeColor="accent5"/>
            <w:u w:val="single"/>
            <w:rtl/>
          </w:rPr>
          <w:t>ר</w:t>
        </w:r>
      </w:hyperlink>
      <w:r w:rsidR="00C928C1" w:rsidRPr="00C928C1">
        <w:rPr>
          <w:rFonts w:ascii="Calibri" w:eastAsia="Times New Roman" w:hAnsi="Calibri" w:cs="Calibri" w:hint="cs"/>
          <w:color w:val="333333"/>
          <w:rtl/>
        </w:rPr>
        <w:t>.</w:t>
      </w:r>
    </w:p>
    <w:p w14:paraId="754AA869" w14:textId="06AD5690" w:rsidR="00CE6C6F" w:rsidRPr="004905DF" w:rsidRDefault="00CE6C6F" w:rsidP="00EC5F0B">
      <w:pPr>
        <w:spacing w:before="300" w:after="300" w:line="240" w:lineRule="auto"/>
        <w:jc w:val="both"/>
        <w:rPr>
          <w:rFonts w:ascii="Calibri" w:eastAsia="Times New Roman" w:hAnsi="Calibri" w:cs="Calibri" w:hint="cs"/>
          <w:color w:val="333333"/>
          <w:rtl/>
        </w:rPr>
      </w:pPr>
      <w:bookmarkStart w:id="6" w:name="_ftn5"/>
      <w:r w:rsidRPr="004905DF">
        <w:rPr>
          <w:rFonts w:ascii="Calibri" w:eastAsia="Times New Roman" w:hAnsi="Calibri" w:cs="Calibri"/>
          <w:color w:val="0000FF"/>
          <w:u w:val="single"/>
        </w:rPr>
        <w:t>[</w:t>
      </w:r>
      <w:r w:rsidR="003552F2">
        <w:rPr>
          <w:rFonts w:ascii="Calibri" w:eastAsia="Times New Roman" w:hAnsi="Calibri" w:cs="Calibri"/>
          <w:color w:val="0000FF"/>
          <w:u w:val="single"/>
        </w:rPr>
        <w:t>4</w:t>
      </w:r>
      <w:r w:rsidRPr="004905DF">
        <w:rPr>
          <w:rFonts w:ascii="Calibri" w:eastAsia="Times New Roman" w:hAnsi="Calibri" w:cs="Calibri"/>
          <w:color w:val="0000FF"/>
          <w:u w:val="single"/>
        </w:rPr>
        <w:t>]</w:t>
      </w:r>
      <w:bookmarkEnd w:id="6"/>
      <w:r w:rsidRPr="004905DF">
        <w:rPr>
          <w:rFonts w:ascii="Calibri" w:eastAsia="Times New Roman" w:hAnsi="Calibri" w:cs="Calibri"/>
          <w:color w:val="333333"/>
          <w:rtl/>
        </w:rPr>
        <w:t> </w:t>
      </w:r>
      <w:r w:rsidR="00EC5F0B" w:rsidRPr="004905DF">
        <w:rPr>
          <w:rFonts w:ascii="Calibri" w:eastAsia="Times New Roman" w:hAnsi="Calibri" w:cs="Calibri"/>
          <w:color w:val="333333"/>
          <w:rtl/>
        </w:rPr>
        <w:t xml:space="preserve">פירוט מופיע </w:t>
      </w:r>
      <w:hyperlink r:id="rId6" w:history="1">
        <w:r w:rsidR="00EC5F0B" w:rsidRPr="00EC5F0B">
          <w:rPr>
            <w:rStyle w:val="Hyperlink"/>
            <w:rFonts w:ascii="Calibri" w:eastAsia="Times New Roman" w:hAnsi="Calibri" w:cs="Calibri" w:hint="cs"/>
            <w:color w:val="4472C4" w:themeColor="accent5"/>
            <w:u w:val="single"/>
            <w:rtl/>
          </w:rPr>
          <w:t>כאן</w:t>
        </w:r>
      </w:hyperlink>
      <w:r w:rsidR="00EC5F0B">
        <w:rPr>
          <w:rFonts w:ascii="Calibri" w:eastAsia="Times New Roman" w:hAnsi="Calibri" w:cs="Calibri" w:hint="cs"/>
          <w:color w:val="333333"/>
          <w:rtl/>
        </w:rPr>
        <w:t>.</w:t>
      </w:r>
    </w:p>
    <w:p w14:paraId="4C2BC1CD" w14:textId="77777777" w:rsidR="00CE6C6F" w:rsidRPr="004905DF" w:rsidRDefault="00CE6C6F" w:rsidP="004905DF">
      <w:pPr>
        <w:spacing w:before="300" w:after="300" w:line="240" w:lineRule="auto"/>
        <w:jc w:val="both"/>
        <w:rPr>
          <w:rFonts w:ascii="Calibri" w:eastAsia="Times New Roman" w:hAnsi="Calibri" w:cs="Calibri"/>
          <w:color w:val="333333"/>
          <w:rtl/>
        </w:rPr>
      </w:pPr>
      <w:r w:rsidRPr="004905DF">
        <w:rPr>
          <w:rFonts w:ascii="Calibri" w:eastAsia="Times New Roman" w:hAnsi="Calibri" w:cs="Calibri"/>
          <w:color w:val="333333"/>
          <w:rtl/>
        </w:rPr>
        <w:t> </w:t>
      </w:r>
    </w:p>
    <w:p w14:paraId="45B6A07A" w14:textId="77777777" w:rsidR="00CE6C6F" w:rsidRPr="004905DF" w:rsidRDefault="00CE6C6F" w:rsidP="004905DF">
      <w:pPr>
        <w:spacing w:before="300" w:after="300" w:line="240" w:lineRule="auto"/>
        <w:jc w:val="both"/>
        <w:rPr>
          <w:rFonts w:ascii="Calibri" w:eastAsia="Times New Roman" w:hAnsi="Calibri" w:cs="Calibri"/>
          <w:color w:val="333333"/>
          <w:rtl/>
        </w:rPr>
      </w:pPr>
      <w:r w:rsidRPr="004905DF">
        <w:rPr>
          <w:rFonts w:ascii="Calibri" w:eastAsia="Times New Roman" w:hAnsi="Calibri" w:cs="Calibri"/>
          <w:color w:val="333333"/>
          <w:rtl/>
        </w:rPr>
        <w:t> </w:t>
      </w:r>
    </w:p>
    <w:p w14:paraId="0A373B58" w14:textId="77777777" w:rsidR="00CE6C6F" w:rsidRPr="004905DF" w:rsidRDefault="00CE6C6F" w:rsidP="004905DF">
      <w:pPr>
        <w:spacing w:before="300" w:after="300" w:line="240" w:lineRule="auto"/>
        <w:jc w:val="both"/>
        <w:rPr>
          <w:rFonts w:ascii="Calibri" w:eastAsia="Times New Roman" w:hAnsi="Calibri" w:cs="Calibri"/>
          <w:color w:val="333333"/>
          <w:rtl/>
        </w:rPr>
      </w:pPr>
      <w:r w:rsidRPr="004905DF">
        <w:rPr>
          <w:rFonts w:ascii="Calibri" w:eastAsia="Times New Roman" w:hAnsi="Calibri" w:cs="Calibri"/>
          <w:color w:val="333333"/>
          <w:rtl/>
        </w:rPr>
        <w:t> </w:t>
      </w:r>
    </w:p>
    <w:p w14:paraId="03EC5C57" w14:textId="77777777" w:rsidR="00CE6C6F" w:rsidRPr="004905DF" w:rsidRDefault="00CE6C6F" w:rsidP="004905DF">
      <w:pPr>
        <w:spacing w:before="300" w:after="300" w:line="240" w:lineRule="auto"/>
        <w:jc w:val="both"/>
        <w:rPr>
          <w:rFonts w:ascii="Calibri" w:eastAsia="Times New Roman" w:hAnsi="Calibri" w:cs="Calibri"/>
          <w:color w:val="333333"/>
          <w:rtl/>
        </w:rPr>
      </w:pPr>
      <w:r w:rsidRPr="004905DF">
        <w:rPr>
          <w:rFonts w:ascii="Calibri" w:eastAsia="Times New Roman" w:hAnsi="Calibri" w:cs="Calibri"/>
          <w:color w:val="333333"/>
          <w:rtl/>
        </w:rPr>
        <w:t> </w:t>
      </w:r>
    </w:p>
    <w:p w14:paraId="1D9F2004" w14:textId="77777777" w:rsidR="00CE6C6F" w:rsidRPr="004905DF" w:rsidRDefault="00CE6C6F" w:rsidP="004905DF">
      <w:pPr>
        <w:spacing w:before="300" w:after="300" w:line="240" w:lineRule="auto"/>
        <w:jc w:val="both"/>
        <w:rPr>
          <w:rFonts w:ascii="Calibri" w:eastAsia="Times New Roman" w:hAnsi="Calibri" w:cs="Calibri"/>
          <w:color w:val="333333"/>
          <w:rtl/>
        </w:rPr>
      </w:pPr>
      <w:r w:rsidRPr="004905DF">
        <w:rPr>
          <w:rFonts w:ascii="Calibri" w:eastAsia="Times New Roman" w:hAnsi="Calibri" w:cs="Calibri"/>
          <w:color w:val="333333"/>
          <w:rtl/>
        </w:rPr>
        <w:t> </w:t>
      </w:r>
    </w:p>
    <w:p w14:paraId="7C9C0BF2" w14:textId="77777777" w:rsidR="00CE6C6F" w:rsidRPr="004905DF" w:rsidRDefault="00CE6C6F" w:rsidP="004905DF">
      <w:pPr>
        <w:spacing w:after="150" w:line="240" w:lineRule="auto"/>
        <w:jc w:val="both"/>
        <w:rPr>
          <w:rFonts w:ascii="Calibri" w:eastAsia="Times New Roman" w:hAnsi="Calibri" w:cs="Calibri"/>
          <w:color w:val="333333"/>
          <w:rtl/>
        </w:rPr>
      </w:pPr>
      <w:r w:rsidRPr="004905DF">
        <w:rPr>
          <w:rFonts w:ascii="Calibri" w:eastAsia="Times New Roman" w:hAnsi="Calibri" w:cs="Calibri"/>
          <w:color w:val="333333"/>
          <w:rtl/>
        </w:rPr>
        <w:t> </w:t>
      </w:r>
    </w:p>
    <w:p w14:paraId="09834298" w14:textId="77777777" w:rsidR="00CE6C6F" w:rsidRPr="004905DF" w:rsidRDefault="00CE6C6F" w:rsidP="004905DF">
      <w:pPr>
        <w:spacing w:after="0" w:line="240" w:lineRule="auto"/>
        <w:jc w:val="both"/>
        <w:rPr>
          <w:rFonts w:ascii="Calibri" w:eastAsia="Times New Roman" w:hAnsi="Calibri" w:cs="Calibri"/>
          <w:color w:val="333333"/>
          <w:rtl/>
        </w:rPr>
      </w:pPr>
      <w:r w:rsidRPr="004905DF">
        <w:rPr>
          <w:rFonts w:ascii="Calibri" w:eastAsia="Times New Roman" w:hAnsi="Calibri" w:cs="Calibri"/>
          <w:color w:val="333333"/>
          <w:rtl/>
        </w:rPr>
        <w:t> </w:t>
      </w:r>
    </w:p>
    <w:p w14:paraId="0B9E887B" w14:textId="77777777" w:rsidR="00CE6C6F" w:rsidRPr="004905DF" w:rsidRDefault="00CE6C6F" w:rsidP="004905DF">
      <w:pPr>
        <w:spacing w:after="0" w:line="240" w:lineRule="auto"/>
        <w:jc w:val="both"/>
        <w:rPr>
          <w:rFonts w:ascii="Calibri" w:eastAsia="Times New Roman" w:hAnsi="Calibri" w:cs="Calibri"/>
          <w:color w:val="333333"/>
          <w:rtl/>
        </w:rPr>
      </w:pPr>
      <w:r w:rsidRPr="004905DF">
        <w:rPr>
          <w:rFonts w:ascii="Calibri" w:eastAsia="Times New Roman" w:hAnsi="Calibri" w:cs="Calibri"/>
          <w:color w:val="333333"/>
          <w:rtl/>
        </w:rPr>
        <w:t> </w:t>
      </w:r>
    </w:p>
    <w:p w14:paraId="5BE68031" w14:textId="77777777" w:rsidR="00CE6C6F" w:rsidRPr="004905DF" w:rsidRDefault="00CE6C6F" w:rsidP="004905DF">
      <w:pPr>
        <w:spacing w:after="0" w:line="240" w:lineRule="auto"/>
        <w:jc w:val="both"/>
        <w:rPr>
          <w:rFonts w:ascii="Calibri" w:eastAsia="Times New Roman" w:hAnsi="Calibri" w:cs="Calibri"/>
          <w:color w:val="333333"/>
          <w:rtl/>
        </w:rPr>
      </w:pPr>
      <w:r w:rsidRPr="004905DF">
        <w:rPr>
          <w:rFonts w:ascii="Calibri" w:eastAsia="Times New Roman" w:hAnsi="Calibri" w:cs="Calibri"/>
          <w:color w:val="333333"/>
          <w:rtl/>
        </w:rPr>
        <w:t> </w:t>
      </w:r>
    </w:p>
    <w:p w14:paraId="34D0C9C5" w14:textId="77777777" w:rsidR="00CE6C6F" w:rsidRPr="004905DF" w:rsidRDefault="00CE6C6F" w:rsidP="004905DF">
      <w:pPr>
        <w:spacing w:after="0" w:line="240" w:lineRule="auto"/>
        <w:jc w:val="both"/>
        <w:rPr>
          <w:rFonts w:ascii="Calibri" w:eastAsia="Times New Roman" w:hAnsi="Calibri" w:cs="Calibri"/>
          <w:color w:val="333333"/>
          <w:rtl/>
        </w:rPr>
      </w:pPr>
      <w:r w:rsidRPr="004905DF">
        <w:rPr>
          <w:rFonts w:ascii="Calibri" w:eastAsia="Times New Roman" w:hAnsi="Calibri" w:cs="Calibri"/>
          <w:color w:val="333333"/>
          <w:rtl/>
        </w:rPr>
        <w:t> </w:t>
      </w:r>
    </w:p>
    <w:p w14:paraId="48D9489B" w14:textId="77777777" w:rsidR="00CE6C6F" w:rsidRPr="004905DF" w:rsidRDefault="00CE6C6F" w:rsidP="004905DF">
      <w:pPr>
        <w:spacing w:after="0" w:line="240" w:lineRule="auto"/>
        <w:jc w:val="both"/>
        <w:rPr>
          <w:rFonts w:ascii="Calibri" w:eastAsia="Times New Roman" w:hAnsi="Calibri" w:cs="Calibri"/>
          <w:color w:val="333333"/>
          <w:rtl/>
        </w:rPr>
      </w:pPr>
      <w:r w:rsidRPr="004905DF">
        <w:rPr>
          <w:rFonts w:ascii="Calibri" w:eastAsia="Times New Roman" w:hAnsi="Calibri" w:cs="Calibri"/>
          <w:color w:val="333333"/>
          <w:rtl/>
        </w:rPr>
        <w:t> </w:t>
      </w:r>
    </w:p>
    <w:p w14:paraId="52C34B6F" w14:textId="77777777" w:rsidR="00CE6C6F" w:rsidRPr="004905DF" w:rsidRDefault="00CE6C6F" w:rsidP="004905DF">
      <w:pPr>
        <w:spacing w:after="150" w:line="240" w:lineRule="auto"/>
        <w:jc w:val="both"/>
        <w:rPr>
          <w:rFonts w:ascii="Calibri" w:eastAsia="Times New Roman" w:hAnsi="Calibri" w:cs="Calibri"/>
          <w:color w:val="333333"/>
          <w:rtl/>
        </w:rPr>
      </w:pPr>
      <w:r w:rsidRPr="004905DF">
        <w:rPr>
          <w:rFonts w:ascii="Calibri" w:eastAsia="Times New Roman" w:hAnsi="Calibri" w:cs="Calibri"/>
          <w:color w:val="333333"/>
          <w:rtl/>
        </w:rPr>
        <w:t> </w:t>
      </w:r>
    </w:p>
    <w:p w14:paraId="2931B519" w14:textId="77777777" w:rsidR="003E13AA" w:rsidRPr="004905DF" w:rsidRDefault="003E13AA">
      <w:pPr>
        <w:rPr>
          <w:rFonts w:ascii="Calibri" w:hAnsi="Calibri" w:cs="Calibri"/>
        </w:rPr>
      </w:pPr>
    </w:p>
    <w:sectPr w:rsidR="003E13AA" w:rsidRPr="004905DF" w:rsidSect="00EC3214">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6C6F"/>
    <w:rsid w:val="000104EC"/>
    <w:rsid w:val="00026EDD"/>
    <w:rsid w:val="00086388"/>
    <w:rsid w:val="001A3B47"/>
    <w:rsid w:val="00281199"/>
    <w:rsid w:val="00283008"/>
    <w:rsid w:val="002F4F1F"/>
    <w:rsid w:val="003552F2"/>
    <w:rsid w:val="003E13AA"/>
    <w:rsid w:val="00440811"/>
    <w:rsid w:val="004905DF"/>
    <w:rsid w:val="004F362E"/>
    <w:rsid w:val="00513DBE"/>
    <w:rsid w:val="00654A6A"/>
    <w:rsid w:val="006C1F8E"/>
    <w:rsid w:val="00763B24"/>
    <w:rsid w:val="007D48ED"/>
    <w:rsid w:val="007E4B76"/>
    <w:rsid w:val="008A6F7A"/>
    <w:rsid w:val="00983AA7"/>
    <w:rsid w:val="0099393E"/>
    <w:rsid w:val="009F1563"/>
    <w:rsid w:val="00A7091D"/>
    <w:rsid w:val="00A75A60"/>
    <w:rsid w:val="00AF7843"/>
    <w:rsid w:val="00B0433F"/>
    <w:rsid w:val="00B32EFD"/>
    <w:rsid w:val="00BF3BF6"/>
    <w:rsid w:val="00C12604"/>
    <w:rsid w:val="00C928C1"/>
    <w:rsid w:val="00CE6C6F"/>
    <w:rsid w:val="00CF4A09"/>
    <w:rsid w:val="00E53EBF"/>
    <w:rsid w:val="00E9268E"/>
    <w:rsid w:val="00EC1B46"/>
    <w:rsid w:val="00EC3214"/>
    <w:rsid w:val="00EC5F0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69142A0"/>
  <w15:chartTrackingRefBased/>
  <w15:docId w15:val="{846A4B01-2CFC-4D23-B64E-E77AC5EBE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paragraph" w:styleId="1">
    <w:name w:val="heading 1"/>
    <w:basedOn w:val="a"/>
    <w:link w:val="10"/>
    <w:uiPriority w:val="9"/>
    <w:qFormat/>
    <w:rsid w:val="00CE6C6F"/>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link w:val="30"/>
    <w:uiPriority w:val="9"/>
    <w:qFormat/>
    <w:rsid w:val="00CE6C6F"/>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uiPriority w:val="9"/>
    <w:rsid w:val="00CE6C6F"/>
    <w:rPr>
      <w:rFonts w:ascii="Times New Roman" w:eastAsia="Times New Roman" w:hAnsi="Times New Roman" w:cs="Times New Roman"/>
      <w:b/>
      <w:bCs/>
      <w:kern w:val="36"/>
      <w:sz w:val="48"/>
      <w:szCs w:val="48"/>
    </w:rPr>
  </w:style>
  <w:style w:type="character" w:customStyle="1" w:styleId="30">
    <w:name w:val="כותרת 3 תו"/>
    <w:basedOn w:val="a0"/>
    <w:link w:val="3"/>
    <w:uiPriority w:val="9"/>
    <w:rsid w:val="00CE6C6F"/>
    <w:rPr>
      <w:rFonts w:ascii="Times New Roman" w:eastAsia="Times New Roman" w:hAnsi="Times New Roman" w:cs="Times New Roman"/>
      <w:b/>
      <w:bCs/>
      <w:sz w:val="27"/>
      <w:szCs w:val="27"/>
    </w:rPr>
  </w:style>
  <w:style w:type="character" w:styleId="Hyperlink">
    <w:name w:val="Hyperlink"/>
    <w:basedOn w:val="a0"/>
    <w:uiPriority w:val="99"/>
    <w:unhideWhenUsed/>
    <w:rsid w:val="00CE6C6F"/>
  </w:style>
  <w:style w:type="character" w:styleId="a3">
    <w:name w:val="footnote reference"/>
    <w:basedOn w:val="a0"/>
    <w:uiPriority w:val="99"/>
    <w:semiHidden/>
    <w:unhideWhenUsed/>
    <w:rsid w:val="00CE6C6F"/>
  </w:style>
  <w:style w:type="paragraph" w:styleId="NormalWeb">
    <w:name w:val="Normal (Web)"/>
    <w:basedOn w:val="a"/>
    <w:uiPriority w:val="99"/>
    <w:semiHidden/>
    <w:unhideWhenUsed/>
    <w:rsid w:val="00CE6C6F"/>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6C1F8E"/>
    <w:pPr>
      <w:spacing w:after="0" w:line="240" w:lineRule="auto"/>
    </w:pPr>
    <w:rPr>
      <w:rFonts w:ascii="Tahoma" w:hAnsi="Tahoma" w:cs="Tahoma"/>
      <w:sz w:val="18"/>
      <w:szCs w:val="18"/>
    </w:rPr>
  </w:style>
  <w:style w:type="character" w:customStyle="1" w:styleId="a5">
    <w:name w:val="טקסט בלונים תו"/>
    <w:basedOn w:val="a0"/>
    <w:link w:val="a4"/>
    <w:uiPriority w:val="99"/>
    <w:semiHidden/>
    <w:rsid w:val="006C1F8E"/>
    <w:rPr>
      <w:rFonts w:ascii="Tahoma" w:hAnsi="Tahoma" w:cs="Tahoma"/>
      <w:sz w:val="18"/>
      <w:szCs w:val="18"/>
    </w:rPr>
  </w:style>
  <w:style w:type="character" w:styleId="a6">
    <w:name w:val="annotation reference"/>
    <w:basedOn w:val="a0"/>
    <w:uiPriority w:val="99"/>
    <w:semiHidden/>
    <w:unhideWhenUsed/>
    <w:rsid w:val="008A6F7A"/>
    <w:rPr>
      <w:sz w:val="16"/>
      <w:szCs w:val="16"/>
    </w:rPr>
  </w:style>
  <w:style w:type="paragraph" w:styleId="a7">
    <w:name w:val="annotation text"/>
    <w:basedOn w:val="a"/>
    <w:link w:val="a8"/>
    <w:uiPriority w:val="99"/>
    <w:semiHidden/>
    <w:unhideWhenUsed/>
    <w:rsid w:val="008A6F7A"/>
    <w:pPr>
      <w:spacing w:line="240" w:lineRule="auto"/>
    </w:pPr>
    <w:rPr>
      <w:sz w:val="20"/>
      <w:szCs w:val="20"/>
    </w:rPr>
  </w:style>
  <w:style w:type="character" w:customStyle="1" w:styleId="a8">
    <w:name w:val="טקסט הערה תו"/>
    <w:basedOn w:val="a0"/>
    <w:link w:val="a7"/>
    <w:uiPriority w:val="99"/>
    <w:semiHidden/>
    <w:rsid w:val="008A6F7A"/>
    <w:rPr>
      <w:sz w:val="20"/>
      <w:szCs w:val="20"/>
    </w:rPr>
  </w:style>
  <w:style w:type="paragraph" w:styleId="a9">
    <w:name w:val="annotation subject"/>
    <w:basedOn w:val="a7"/>
    <w:next w:val="a7"/>
    <w:link w:val="aa"/>
    <w:uiPriority w:val="99"/>
    <w:semiHidden/>
    <w:unhideWhenUsed/>
    <w:rsid w:val="008A6F7A"/>
    <w:rPr>
      <w:b/>
      <w:bCs/>
    </w:rPr>
  </w:style>
  <w:style w:type="character" w:customStyle="1" w:styleId="aa">
    <w:name w:val="נושא הערה תו"/>
    <w:basedOn w:val="a8"/>
    <w:link w:val="a9"/>
    <w:uiPriority w:val="99"/>
    <w:semiHidden/>
    <w:rsid w:val="008A6F7A"/>
    <w:rPr>
      <w:b/>
      <w:bCs/>
      <w:sz w:val="20"/>
      <w:szCs w:val="20"/>
    </w:rPr>
  </w:style>
  <w:style w:type="character" w:styleId="FollowedHyperlink">
    <w:name w:val="FollowedHyperlink"/>
    <w:basedOn w:val="a0"/>
    <w:uiPriority w:val="99"/>
    <w:semiHidden/>
    <w:unhideWhenUsed/>
    <w:rsid w:val="00C928C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1758697">
      <w:bodyDiv w:val="1"/>
      <w:marLeft w:val="0"/>
      <w:marRight w:val="0"/>
      <w:marTop w:val="0"/>
      <w:marBottom w:val="0"/>
      <w:divBdr>
        <w:top w:val="none" w:sz="0" w:space="0" w:color="auto"/>
        <w:left w:val="none" w:sz="0" w:space="0" w:color="auto"/>
        <w:bottom w:val="none" w:sz="0" w:space="0" w:color="auto"/>
        <w:right w:val="none" w:sz="0" w:space="0" w:color="auto"/>
      </w:divBdr>
      <w:divsChild>
        <w:div w:id="1957787364">
          <w:marLeft w:val="0"/>
          <w:marRight w:val="0"/>
          <w:marTop w:val="0"/>
          <w:marBottom w:val="0"/>
          <w:divBdr>
            <w:top w:val="none" w:sz="0" w:space="0" w:color="auto"/>
            <w:left w:val="none" w:sz="0" w:space="0" w:color="auto"/>
            <w:bottom w:val="none" w:sz="0" w:space="0" w:color="auto"/>
            <w:right w:val="none" w:sz="0" w:space="0" w:color="auto"/>
          </w:divBdr>
        </w:div>
        <w:div w:id="2076320162">
          <w:marLeft w:val="0"/>
          <w:marRight w:val="0"/>
          <w:marTop w:val="0"/>
          <w:marBottom w:val="150"/>
          <w:divBdr>
            <w:top w:val="none" w:sz="0" w:space="0" w:color="auto"/>
            <w:left w:val="none" w:sz="0" w:space="0" w:color="auto"/>
            <w:bottom w:val="none" w:sz="0" w:space="0" w:color="auto"/>
            <w:right w:val="none" w:sz="0" w:space="0" w:color="auto"/>
          </w:divBdr>
          <w:divsChild>
            <w:div w:id="845899349">
              <w:marLeft w:val="0"/>
              <w:marRight w:val="0"/>
              <w:marTop w:val="0"/>
              <w:marBottom w:val="0"/>
              <w:divBdr>
                <w:top w:val="none" w:sz="0" w:space="0" w:color="auto"/>
                <w:left w:val="none" w:sz="0" w:space="0" w:color="auto"/>
                <w:bottom w:val="none" w:sz="0" w:space="0" w:color="auto"/>
                <w:right w:val="none" w:sz="0" w:space="0" w:color="auto"/>
              </w:divBdr>
            </w:div>
            <w:div w:id="2102797139">
              <w:marLeft w:val="0"/>
              <w:marRight w:val="0"/>
              <w:marTop w:val="0"/>
              <w:marBottom w:val="0"/>
              <w:divBdr>
                <w:top w:val="none" w:sz="0" w:space="0" w:color="auto"/>
                <w:left w:val="none" w:sz="0" w:space="0" w:color="auto"/>
                <w:bottom w:val="none" w:sz="0" w:space="0" w:color="auto"/>
                <w:right w:val="none" w:sz="0" w:space="0" w:color="auto"/>
              </w:divBdr>
            </w:div>
            <w:div w:id="1189873065">
              <w:marLeft w:val="0"/>
              <w:marRight w:val="0"/>
              <w:marTop w:val="0"/>
              <w:marBottom w:val="0"/>
              <w:divBdr>
                <w:top w:val="none" w:sz="0" w:space="0" w:color="auto"/>
                <w:left w:val="none" w:sz="0" w:space="0" w:color="auto"/>
                <w:bottom w:val="none" w:sz="0" w:space="0" w:color="auto"/>
                <w:right w:val="none" w:sz="0" w:space="0" w:color="auto"/>
              </w:divBdr>
            </w:div>
            <w:div w:id="563443774">
              <w:marLeft w:val="0"/>
              <w:marRight w:val="0"/>
              <w:marTop w:val="0"/>
              <w:marBottom w:val="0"/>
              <w:divBdr>
                <w:top w:val="none" w:sz="0" w:space="0" w:color="auto"/>
                <w:left w:val="none" w:sz="0" w:space="0" w:color="auto"/>
                <w:bottom w:val="none" w:sz="0" w:space="0" w:color="auto"/>
                <w:right w:val="none" w:sz="0" w:space="0" w:color="auto"/>
              </w:divBdr>
            </w:div>
            <w:div w:id="2141721148">
              <w:marLeft w:val="0"/>
              <w:marRight w:val="0"/>
              <w:marTop w:val="0"/>
              <w:marBottom w:val="0"/>
              <w:divBdr>
                <w:top w:val="none" w:sz="0" w:space="0" w:color="auto"/>
                <w:left w:val="none" w:sz="0" w:space="0" w:color="auto"/>
                <w:bottom w:val="none" w:sz="0" w:space="0" w:color="auto"/>
                <w:right w:val="none" w:sz="0" w:space="0" w:color="auto"/>
              </w:divBdr>
            </w:div>
            <w:div w:id="196049445">
              <w:marLeft w:val="0"/>
              <w:marRight w:val="0"/>
              <w:marTop w:val="0"/>
              <w:marBottom w:val="0"/>
              <w:divBdr>
                <w:top w:val="none" w:sz="0" w:space="0" w:color="auto"/>
                <w:left w:val="none" w:sz="0" w:space="0" w:color="auto"/>
                <w:bottom w:val="none" w:sz="0" w:space="0" w:color="auto"/>
                <w:right w:val="none" w:sz="0" w:space="0" w:color="auto"/>
              </w:divBdr>
            </w:div>
            <w:div w:id="216403078">
              <w:marLeft w:val="0"/>
              <w:marRight w:val="0"/>
              <w:marTop w:val="0"/>
              <w:marBottom w:val="0"/>
              <w:divBdr>
                <w:top w:val="none" w:sz="0" w:space="0" w:color="auto"/>
                <w:left w:val="none" w:sz="0" w:space="0" w:color="auto"/>
                <w:bottom w:val="none" w:sz="0" w:space="0" w:color="auto"/>
                <w:right w:val="none" w:sz="0" w:space="0" w:color="auto"/>
              </w:divBdr>
            </w:div>
            <w:div w:id="143812657">
              <w:marLeft w:val="0"/>
              <w:marRight w:val="0"/>
              <w:marTop w:val="0"/>
              <w:marBottom w:val="0"/>
              <w:divBdr>
                <w:top w:val="none" w:sz="0" w:space="0" w:color="auto"/>
                <w:left w:val="none" w:sz="0" w:space="0" w:color="auto"/>
                <w:bottom w:val="none" w:sz="0" w:space="0" w:color="auto"/>
                <w:right w:val="none" w:sz="0" w:space="0" w:color="auto"/>
              </w:divBdr>
            </w:div>
            <w:div w:id="1073308938">
              <w:marLeft w:val="0"/>
              <w:marRight w:val="0"/>
              <w:marTop w:val="0"/>
              <w:marBottom w:val="0"/>
              <w:divBdr>
                <w:top w:val="none" w:sz="0" w:space="0" w:color="auto"/>
                <w:left w:val="none" w:sz="0" w:space="0" w:color="auto"/>
                <w:bottom w:val="none" w:sz="0" w:space="0" w:color="auto"/>
                <w:right w:val="none" w:sz="0" w:space="0" w:color="auto"/>
              </w:divBdr>
            </w:div>
            <w:div w:id="1233857266">
              <w:marLeft w:val="0"/>
              <w:marRight w:val="0"/>
              <w:marTop w:val="0"/>
              <w:marBottom w:val="0"/>
              <w:divBdr>
                <w:top w:val="none" w:sz="0" w:space="0" w:color="auto"/>
                <w:left w:val="none" w:sz="0" w:space="0" w:color="auto"/>
                <w:bottom w:val="none" w:sz="0" w:space="0" w:color="auto"/>
                <w:right w:val="none" w:sz="0" w:space="0" w:color="auto"/>
              </w:divBdr>
            </w:div>
            <w:div w:id="479615110">
              <w:marLeft w:val="0"/>
              <w:marRight w:val="0"/>
              <w:marTop w:val="0"/>
              <w:marBottom w:val="0"/>
              <w:divBdr>
                <w:top w:val="none" w:sz="0" w:space="0" w:color="auto"/>
                <w:left w:val="none" w:sz="0" w:space="0" w:color="auto"/>
                <w:bottom w:val="none" w:sz="0" w:space="0" w:color="auto"/>
                <w:right w:val="none" w:sz="0" w:space="0" w:color="auto"/>
              </w:divBdr>
            </w:div>
            <w:div w:id="695279426">
              <w:marLeft w:val="0"/>
              <w:marRight w:val="0"/>
              <w:marTop w:val="0"/>
              <w:marBottom w:val="0"/>
              <w:divBdr>
                <w:top w:val="none" w:sz="0" w:space="0" w:color="auto"/>
                <w:left w:val="none" w:sz="0" w:space="0" w:color="auto"/>
                <w:bottom w:val="none" w:sz="0" w:space="0" w:color="auto"/>
                <w:right w:val="none" w:sz="0" w:space="0" w:color="auto"/>
              </w:divBdr>
            </w:div>
            <w:div w:id="1001741492">
              <w:marLeft w:val="0"/>
              <w:marRight w:val="0"/>
              <w:marTop w:val="0"/>
              <w:marBottom w:val="0"/>
              <w:divBdr>
                <w:top w:val="none" w:sz="0" w:space="0" w:color="auto"/>
                <w:left w:val="none" w:sz="0" w:space="0" w:color="auto"/>
                <w:bottom w:val="none" w:sz="0" w:space="0" w:color="auto"/>
                <w:right w:val="none" w:sz="0" w:space="0" w:color="auto"/>
              </w:divBdr>
            </w:div>
            <w:div w:id="77101819">
              <w:marLeft w:val="0"/>
              <w:marRight w:val="0"/>
              <w:marTop w:val="0"/>
              <w:marBottom w:val="0"/>
              <w:divBdr>
                <w:top w:val="none" w:sz="0" w:space="0" w:color="auto"/>
                <w:left w:val="none" w:sz="0" w:space="0" w:color="auto"/>
                <w:bottom w:val="none" w:sz="0" w:space="0" w:color="auto"/>
                <w:right w:val="none" w:sz="0" w:space="0" w:color="auto"/>
              </w:divBdr>
            </w:div>
            <w:div w:id="238099767">
              <w:marLeft w:val="0"/>
              <w:marRight w:val="0"/>
              <w:marTop w:val="0"/>
              <w:marBottom w:val="0"/>
              <w:divBdr>
                <w:top w:val="none" w:sz="0" w:space="0" w:color="auto"/>
                <w:left w:val="none" w:sz="0" w:space="0" w:color="auto"/>
                <w:bottom w:val="none" w:sz="0" w:space="0" w:color="auto"/>
                <w:right w:val="none" w:sz="0" w:space="0" w:color="auto"/>
              </w:divBdr>
            </w:div>
            <w:div w:id="1573202555">
              <w:marLeft w:val="0"/>
              <w:marRight w:val="0"/>
              <w:marTop w:val="0"/>
              <w:marBottom w:val="0"/>
              <w:divBdr>
                <w:top w:val="none" w:sz="0" w:space="0" w:color="auto"/>
                <w:left w:val="none" w:sz="0" w:space="0" w:color="auto"/>
                <w:bottom w:val="none" w:sz="0" w:space="0" w:color="auto"/>
                <w:right w:val="none" w:sz="0" w:space="0" w:color="auto"/>
              </w:divBdr>
            </w:div>
            <w:div w:id="1193687815">
              <w:marLeft w:val="0"/>
              <w:marRight w:val="0"/>
              <w:marTop w:val="0"/>
              <w:marBottom w:val="0"/>
              <w:divBdr>
                <w:top w:val="none" w:sz="0" w:space="0" w:color="auto"/>
                <w:left w:val="none" w:sz="0" w:space="0" w:color="auto"/>
                <w:bottom w:val="none" w:sz="0" w:space="0" w:color="auto"/>
                <w:right w:val="none" w:sz="0" w:space="0" w:color="auto"/>
              </w:divBdr>
            </w:div>
            <w:div w:id="231240951">
              <w:marLeft w:val="0"/>
              <w:marRight w:val="0"/>
              <w:marTop w:val="0"/>
              <w:marBottom w:val="0"/>
              <w:divBdr>
                <w:top w:val="none" w:sz="0" w:space="0" w:color="auto"/>
                <w:left w:val="none" w:sz="0" w:space="0" w:color="auto"/>
                <w:bottom w:val="none" w:sz="0" w:space="0" w:color="auto"/>
                <w:right w:val="none" w:sz="0" w:space="0" w:color="auto"/>
              </w:divBdr>
              <w:divsChild>
                <w:div w:id="523204380">
                  <w:marLeft w:val="0"/>
                  <w:marRight w:val="0"/>
                  <w:marTop w:val="0"/>
                  <w:marBottom w:val="0"/>
                  <w:divBdr>
                    <w:top w:val="none" w:sz="0" w:space="0" w:color="auto"/>
                    <w:left w:val="none" w:sz="0" w:space="0" w:color="auto"/>
                    <w:bottom w:val="none" w:sz="0" w:space="0" w:color="auto"/>
                    <w:right w:val="none" w:sz="0" w:space="0" w:color="auto"/>
                  </w:divBdr>
                </w:div>
              </w:divsChild>
            </w:div>
            <w:div w:id="1175264432">
              <w:marLeft w:val="0"/>
              <w:marRight w:val="0"/>
              <w:marTop w:val="0"/>
              <w:marBottom w:val="0"/>
              <w:divBdr>
                <w:top w:val="none" w:sz="0" w:space="0" w:color="auto"/>
                <w:left w:val="none" w:sz="0" w:space="0" w:color="auto"/>
                <w:bottom w:val="none" w:sz="0" w:space="0" w:color="auto"/>
                <w:right w:val="none" w:sz="0" w:space="0" w:color="auto"/>
              </w:divBdr>
            </w:div>
            <w:div w:id="607737301">
              <w:marLeft w:val="0"/>
              <w:marRight w:val="0"/>
              <w:marTop w:val="0"/>
              <w:marBottom w:val="0"/>
              <w:divBdr>
                <w:top w:val="none" w:sz="0" w:space="0" w:color="auto"/>
                <w:left w:val="none" w:sz="0" w:space="0" w:color="auto"/>
                <w:bottom w:val="none" w:sz="0" w:space="0" w:color="auto"/>
                <w:right w:val="none" w:sz="0" w:space="0" w:color="auto"/>
              </w:divBdr>
              <w:divsChild>
                <w:div w:id="1904441369">
                  <w:marLeft w:val="0"/>
                  <w:marRight w:val="0"/>
                  <w:marTop w:val="0"/>
                  <w:marBottom w:val="0"/>
                  <w:divBdr>
                    <w:top w:val="none" w:sz="0" w:space="0" w:color="auto"/>
                    <w:left w:val="none" w:sz="0" w:space="0" w:color="auto"/>
                    <w:bottom w:val="none" w:sz="0" w:space="0" w:color="auto"/>
                    <w:right w:val="none" w:sz="0" w:space="0" w:color="auto"/>
                  </w:divBdr>
                  <w:divsChild>
                    <w:div w:id="396368160">
                      <w:marLeft w:val="0"/>
                      <w:marRight w:val="0"/>
                      <w:marTop w:val="0"/>
                      <w:marBottom w:val="0"/>
                      <w:divBdr>
                        <w:top w:val="none" w:sz="0" w:space="0" w:color="auto"/>
                        <w:left w:val="none" w:sz="0" w:space="0" w:color="auto"/>
                        <w:bottom w:val="none" w:sz="0" w:space="0" w:color="auto"/>
                        <w:right w:val="none" w:sz="0" w:space="0" w:color="auto"/>
                      </w:divBdr>
                    </w:div>
                  </w:divsChild>
                </w:div>
                <w:div w:id="1094352503">
                  <w:marLeft w:val="0"/>
                  <w:marRight w:val="0"/>
                  <w:marTop w:val="0"/>
                  <w:marBottom w:val="0"/>
                  <w:divBdr>
                    <w:top w:val="none" w:sz="0" w:space="0" w:color="auto"/>
                    <w:left w:val="none" w:sz="0" w:space="0" w:color="auto"/>
                    <w:bottom w:val="none" w:sz="0" w:space="0" w:color="auto"/>
                    <w:right w:val="none" w:sz="0" w:space="0" w:color="auto"/>
                  </w:divBdr>
                  <w:divsChild>
                    <w:div w:id="370686645">
                      <w:marLeft w:val="0"/>
                      <w:marRight w:val="0"/>
                      <w:marTop w:val="0"/>
                      <w:marBottom w:val="0"/>
                      <w:divBdr>
                        <w:top w:val="none" w:sz="0" w:space="0" w:color="auto"/>
                        <w:left w:val="none" w:sz="0" w:space="0" w:color="auto"/>
                        <w:bottom w:val="none" w:sz="0" w:space="0" w:color="auto"/>
                        <w:right w:val="none" w:sz="0" w:space="0" w:color="auto"/>
                      </w:divBdr>
                    </w:div>
                  </w:divsChild>
                </w:div>
                <w:div w:id="1179275545">
                  <w:marLeft w:val="0"/>
                  <w:marRight w:val="0"/>
                  <w:marTop w:val="0"/>
                  <w:marBottom w:val="0"/>
                  <w:divBdr>
                    <w:top w:val="none" w:sz="0" w:space="0" w:color="auto"/>
                    <w:left w:val="none" w:sz="0" w:space="0" w:color="auto"/>
                    <w:bottom w:val="none" w:sz="0" w:space="0" w:color="auto"/>
                    <w:right w:val="none" w:sz="0" w:space="0" w:color="auto"/>
                  </w:divBdr>
                  <w:divsChild>
                    <w:div w:id="1314601016">
                      <w:marLeft w:val="0"/>
                      <w:marRight w:val="0"/>
                      <w:marTop w:val="0"/>
                      <w:marBottom w:val="0"/>
                      <w:divBdr>
                        <w:top w:val="none" w:sz="0" w:space="0" w:color="auto"/>
                        <w:left w:val="none" w:sz="0" w:space="0" w:color="auto"/>
                        <w:bottom w:val="none" w:sz="0" w:space="0" w:color="auto"/>
                        <w:right w:val="none" w:sz="0" w:space="0" w:color="auto"/>
                      </w:divBdr>
                    </w:div>
                  </w:divsChild>
                </w:div>
                <w:div w:id="1975867150">
                  <w:marLeft w:val="0"/>
                  <w:marRight w:val="0"/>
                  <w:marTop w:val="0"/>
                  <w:marBottom w:val="0"/>
                  <w:divBdr>
                    <w:top w:val="none" w:sz="0" w:space="0" w:color="auto"/>
                    <w:left w:val="none" w:sz="0" w:space="0" w:color="auto"/>
                    <w:bottom w:val="none" w:sz="0" w:space="0" w:color="auto"/>
                    <w:right w:val="none" w:sz="0" w:space="0" w:color="auto"/>
                  </w:divBdr>
                  <w:divsChild>
                    <w:div w:id="1295982644">
                      <w:marLeft w:val="0"/>
                      <w:marRight w:val="0"/>
                      <w:marTop w:val="0"/>
                      <w:marBottom w:val="0"/>
                      <w:divBdr>
                        <w:top w:val="none" w:sz="0" w:space="0" w:color="auto"/>
                        <w:left w:val="none" w:sz="0" w:space="0" w:color="auto"/>
                        <w:bottom w:val="none" w:sz="0" w:space="0" w:color="auto"/>
                        <w:right w:val="none" w:sz="0" w:space="0" w:color="auto"/>
                      </w:divBdr>
                    </w:div>
                  </w:divsChild>
                </w:div>
                <w:div w:id="1192378804">
                  <w:marLeft w:val="0"/>
                  <w:marRight w:val="0"/>
                  <w:marTop w:val="0"/>
                  <w:marBottom w:val="0"/>
                  <w:divBdr>
                    <w:top w:val="none" w:sz="0" w:space="0" w:color="auto"/>
                    <w:left w:val="none" w:sz="0" w:space="0" w:color="auto"/>
                    <w:bottom w:val="none" w:sz="0" w:space="0" w:color="auto"/>
                    <w:right w:val="none" w:sz="0" w:space="0" w:color="auto"/>
                  </w:divBdr>
                  <w:divsChild>
                    <w:div w:id="1298223146">
                      <w:marLeft w:val="0"/>
                      <w:marRight w:val="0"/>
                      <w:marTop w:val="0"/>
                      <w:marBottom w:val="0"/>
                      <w:divBdr>
                        <w:top w:val="none" w:sz="0" w:space="0" w:color="auto"/>
                        <w:left w:val="none" w:sz="0" w:space="0" w:color="auto"/>
                        <w:bottom w:val="none" w:sz="0" w:space="0" w:color="auto"/>
                        <w:right w:val="none" w:sz="0" w:space="0" w:color="auto"/>
                      </w:divBdr>
                    </w:div>
                    <w:div w:id="1838031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668122">
              <w:marLeft w:val="0"/>
              <w:marRight w:val="0"/>
              <w:marTop w:val="0"/>
              <w:marBottom w:val="0"/>
              <w:divBdr>
                <w:top w:val="none" w:sz="0" w:space="0" w:color="auto"/>
                <w:left w:val="none" w:sz="0" w:space="0" w:color="auto"/>
                <w:bottom w:val="none" w:sz="0" w:space="0" w:color="auto"/>
                <w:right w:val="none" w:sz="0" w:space="0" w:color="auto"/>
              </w:divBdr>
              <w:divsChild>
                <w:div w:id="351494926">
                  <w:marLeft w:val="0"/>
                  <w:marRight w:val="0"/>
                  <w:marTop w:val="0"/>
                  <w:marBottom w:val="0"/>
                  <w:divBdr>
                    <w:top w:val="none" w:sz="0" w:space="0" w:color="auto"/>
                    <w:left w:val="none" w:sz="0" w:space="0" w:color="auto"/>
                    <w:bottom w:val="none" w:sz="0" w:space="0" w:color="auto"/>
                    <w:right w:val="none" w:sz="0" w:space="0" w:color="auto"/>
                  </w:divBdr>
                  <w:divsChild>
                    <w:div w:id="1650210697">
                      <w:marLeft w:val="0"/>
                      <w:marRight w:val="0"/>
                      <w:marTop w:val="0"/>
                      <w:marBottom w:val="0"/>
                      <w:divBdr>
                        <w:top w:val="none" w:sz="0" w:space="0" w:color="auto"/>
                        <w:left w:val="none" w:sz="0" w:space="0" w:color="auto"/>
                        <w:bottom w:val="none" w:sz="0" w:space="0" w:color="auto"/>
                        <w:right w:val="none" w:sz="0" w:space="0" w:color="auto"/>
                      </w:divBdr>
                    </w:div>
                    <w:div w:id="427891620">
                      <w:marLeft w:val="0"/>
                      <w:marRight w:val="0"/>
                      <w:marTop w:val="0"/>
                      <w:marBottom w:val="0"/>
                      <w:divBdr>
                        <w:top w:val="none" w:sz="0" w:space="0" w:color="auto"/>
                        <w:left w:val="none" w:sz="0" w:space="0" w:color="auto"/>
                        <w:bottom w:val="none" w:sz="0" w:space="0" w:color="auto"/>
                        <w:right w:val="none" w:sz="0" w:space="0" w:color="auto"/>
                      </w:divBdr>
                    </w:div>
                    <w:div w:id="2171276">
                      <w:marLeft w:val="0"/>
                      <w:marRight w:val="0"/>
                      <w:marTop w:val="0"/>
                      <w:marBottom w:val="0"/>
                      <w:divBdr>
                        <w:top w:val="none" w:sz="0" w:space="0" w:color="auto"/>
                        <w:left w:val="none" w:sz="0" w:space="0" w:color="auto"/>
                        <w:bottom w:val="none" w:sz="0" w:space="0" w:color="auto"/>
                        <w:right w:val="none" w:sz="0" w:space="0" w:color="auto"/>
                      </w:divBdr>
                    </w:div>
                  </w:divsChild>
                </w:div>
                <w:div w:id="303436198">
                  <w:marLeft w:val="0"/>
                  <w:marRight w:val="0"/>
                  <w:marTop w:val="0"/>
                  <w:marBottom w:val="0"/>
                  <w:divBdr>
                    <w:top w:val="none" w:sz="0" w:space="0" w:color="auto"/>
                    <w:left w:val="none" w:sz="0" w:space="0" w:color="auto"/>
                    <w:bottom w:val="none" w:sz="0" w:space="0" w:color="auto"/>
                    <w:right w:val="none" w:sz="0" w:space="0" w:color="auto"/>
                  </w:divBdr>
                  <w:divsChild>
                    <w:div w:id="911623597">
                      <w:marLeft w:val="0"/>
                      <w:marRight w:val="0"/>
                      <w:marTop w:val="0"/>
                      <w:marBottom w:val="0"/>
                      <w:divBdr>
                        <w:top w:val="none" w:sz="0" w:space="0" w:color="auto"/>
                        <w:left w:val="none" w:sz="0" w:space="0" w:color="auto"/>
                        <w:bottom w:val="none" w:sz="0" w:space="0" w:color="auto"/>
                        <w:right w:val="none" w:sz="0" w:space="0" w:color="auto"/>
                      </w:divBdr>
                    </w:div>
                  </w:divsChild>
                </w:div>
                <w:div w:id="1776905498">
                  <w:marLeft w:val="0"/>
                  <w:marRight w:val="0"/>
                  <w:marTop w:val="0"/>
                  <w:marBottom w:val="0"/>
                  <w:divBdr>
                    <w:top w:val="none" w:sz="0" w:space="0" w:color="auto"/>
                    <w:left w:val="none" w:sz="0" w:space="0" w:color="auto"/>
                    <w:bottom w:val="none" w:sz="0" w:space="0" w:color="auto"/>
                    <w:right w:val="none" w:sz="0" w:space="0" w:color="auto"/>
                  </w:divBdr>
                  <w:divsChild>
                    <w:div w:id="186525383">
                      <w:marLeft w:val="0"/>
                      <w:marRight w:val="0"/>
                      <w:marTop w:val="0"/>
                      <w:marBottom w:val="0"/>
                      <w:divBdr>
                        <w:top w:val="none" w:sz="0" w:space="0" w:color="auto"/>
                        <w:left w:val="none" w:sz="0" w:space="0" w:color="auto"/>
                        <w:bottom w:val="none" w:sz="0" w:space="0" w:color="auto"/>
                        <w:right w:val="none" w:sz="0" w:space="0" w:color="auto"/>
                      </w:divBdr>
                      <w:divsChild>
                        <w:div w:id="1605378875">
                          <w:marLeft w:val="0"/>
                          <w:marRight w:val="0"/>
                          <w:marTop w:val="0"/>
                          <w:marBottom w:val="0"/>
                          <w:divBdr>
                            <w:top w:val="none" w:sz="0" w:space="0" w:color="auto"/>
                            <w:left w:val="none" w:sz="0" w:space="0" w:color="auto"/>
                            <w:bottom w:val="none" w:sz="0" w:space="0" w:color="auto"/>
                            <w:right w:val="none" w:sz="0" w:space="0" w:color="auto"/>
                          </w:divBdr>
                          <w:divsChild>
                            <w:div w:id="336883824">
                              <w:marLeft w:val="0"/>
                              <w:marRight w:val="0"/>
                              <w:marTop w:val="0"/>
                              <w:marBottom w:val="0"/>
                              <w:divBdr>
                                <w:top w:val="none" w:sz="0" w:space="0" w:color="auto"/>
                                <w:left w:val="none" w:sz="0" w:space="0" w:color="auto"/>
                                <w:bottom w:val="none" w:sz="0" w:space="0" w:color="auto"/>
                                <w:right w:val="none" w:sz="0" w:space="0" w:color="auto"/>
                              </w:divBdr>
                              <w:divsChild>
                                <w:div w:id="375737238">
                                  <w:marLeft w:val="0"/>
                                  <w:marRight w:val="0"/>
                                  <w:marTop w:val="0"/>
                                  <w:marBottom w:val="0"/>
                                  <w:divBdr>
                                    <w:top w:val="none" w:sz="0" w:space="0" w:color="auto"/>
                                    <w:left w:val="none" w:sz="0" w:space="0" w:color="auto"/>
                                    <w:bottom w:val="none" w:sz="0" w:space="0" w:color="auto"/>
                                    <w:right w:val="none" w:sz="0" w:space="0" w:color="auto"/>
                                  </w:divBdr>
                                </w:div>
                                <w:div w:id="1435402059">
                                  <w:marLeft w:val="0"/>
                                  <w:marRight w:val="0"/>
                                  <w:marTop w:val="0"/>
                                  <w:marBottom w:val="0"/>
                                  <w:divBdr>
                                    <w:top w:val="none" w:sz="0" w:space="0" w:color="auto"/>
                                    <w:left w:val="none" w:sz="0" w:space="0" w:color="auto"/>
                                    <w:bottom w:val="none" w:sz="0" w:space="0" w:color="auto"/>
                                    <w:right w:val="none" w:sz="0" w:space="0" w:color="auto"/>
                                  </w:divBdr>
                                </w:div>
                              </w:divsChild>
                            </w:div>
                            <w:div w:id="706682287">
                              <w:marLeft w:val="0"/>
                              <w:marRight w:val="0"/>
                              <w:marTop w:val="0"/>
                              <w:marBottom w:val="0"/>
                              <w:divBdr>
                                <w:top w:val="none" w:sz="0" w:space="0" w:color="auto"/>
                                <w:left w:val="none" w:sz="0" w:space="0" w:color="auto"/>
                                <w:bottom w:val="none" w:sz="0" w:space="0" w:color="auto"/>
                                <w:right w:val="none" w:sz="0" w:space="0" w:color="auto"/>
                              </w:divBdr>
                            </w:div>
                          </w:divsChild>
                        </w:div>
                        <w:div w:id="526601732">
                          <w:marLeft w:val="0"/>
                          <w:marRight w:val="0"/>
                          <w:marTop w:val="0"/>
                          <w:marBottom w:val="0"/>
                          <w:divBdr>
                            <w:top w:val="none" w:sz="0" w:space="0" w:color="auto"/>
                            <w:left w:val="none" w:sz="0" w:space="0" w:color="auto"/>
                            <w:bottom w:val="none" w:sz="0" w:space="0" w:color="auto"/>
                            <w:right w:val="none" w:sz="0" w:space="0" w:color="auto"/>
                          </w:divBdr>
                        </w:div>
                      </w:divsChild>
                    </w:div>
                    <w:div w:id="760374031">
                      <w:marLeft w:val="0"/>
                      <w:marRight w:val="0"/>
                      <w:marTop w:val="0"/>
                      <w:marBottom w:val="0"/>
                      <w:divBdr>
                        <w:top w:val="none" w:sz="0" w:space="0" w:color="auto"/>
                        <w:left w:val="none" w:sz="0" w:space="0" w:color="auto"/>
                        <w:bottom w:val="none" w:sz="0" w:space="0" w:color="auto"/>
                        <w:right w:val="none" w:sz="0" w:space="0" w:color="auto"/>
                      </w:divBdr>
                    </w:div>
                  </w:divsChild>
                </w:div>
                <w:div w:id="431246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oi.org.il/boi_files/Statistics/mns0603e_a.pdf" TargetMode="External"/><Relationship Id="rId5" Type="http://schemas.openxmlformats.org/officeDocument/2006/relationships/hyperlink" Target="https://www.boi.org.il/roles/%D7%9E%D7%97%D7%A7%D7%A8-%D7%95%D7%A4%D7%A8%D7%A1%D7%95%D7%9E%D7%99%D7%9D/%D7%A0%D7%99%D7%99%D7%A8%D7%95%D7%AA-%D7%AA%D7%A7%D7%95%D7%A4%D7%AA%D7%99%D7%99%D7%9D/%D7%94%D7%A9%D7%A4%D7%A2%D7%AA-%D7%94%D7%A2%D7%95%D7%A0%D7%AA%D7%99%D7%95%D7%AA-%D7%91%D7%9E%D7%93%D7%93-%D7%A2%D7%9C-%D7%90%D7%95%D7%9E%D7%93%D7%A0%D7%99-%D7%94%D7%A6%D7%99%D7%A4%D7%99%D7%95%D7%AA-%D7%9C%D7%90%D7%99%D7%A0%D7%A4%D7%9C%D7%A6%D7%99%D7%94/" TargetMode="External"/><Relationship Id="rId4" Type="http://schemas.openxmlformats.org/officeDocument/2006/relationships/hyperlink" Target="https://www.boi.org.il/roles/%D7%9E%D7%97%D7%A7%D7%A8-%D7%95%D7%A4%D7%A8%D7%A1%D7%95%D7%9E%D7%99%D7%9D/%D7%A0%D7%99%D7%99%D7%A8%D7%95%D7%AA-%D7%AA%D7%A7%D7%95%D7%A4%D7%AA%D7%99%D7%99%D7%9D/%D7%A9%D7%93%D7%A8%D7%95%D7%92-%D7%94%D7%9E%D7%95%D7%93%D7%9C-%D7%9C%D7%90%D7%9E%D7%99%D7%93%D7%AA-%D7%A2%D7%A7%D7%95%D7%9D-%D7%94%D7%AA%D7%A9%D7%95%D7%90%D7%95%D7%AA-%D7%94%D7%9E%D7%99%D7%95%D7%A9%D7%9D-%D7%91%D7%91%D7%A0%D7%A7-%D7%99%D7%A9%D7%A8%D7%90%D7%9C/"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949</Words>
  <Characters>4746</Characters>
  <Application>Microsoft Office Word</Application>
  <DocSecurity>4</DocSecurity>
  <Lines>39</Lines>
  <Paragraphs>11</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BOI</Company>
  <LinksUpToDate>false</LinksUpToDate>
  <CharactersWithSpaces>5684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internet</dc:creator>
  <cp:keywords/>
  <dc:description/>
  <cp:lastModifiedBy>אורי שניאור</cp:lastModifiedBy>
  <cp:revision>2</cp:revision>
  <dcterms:created xsi:type="dcterms:W3CDTF">2023-01-18T12:38:00Z</dcterms:created>
  <dcterms:modified xsi:type="dcterms:W3CDTF">2023-01-18T12:38:00Z</dcterms:modified>
</cp:coreProperties>
</file>