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bookmarkStart w:id="0" w:name="_GoBack"/>
            <w:bookmarkEnd w:id="0"/>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87676">
            <w:pPr>
              <w:jc w:val="center"/>
            </w:pPr>
            <w:r>
              <w:rPr>
                <w:noProof/>
                <w:lang w:eastAsia="en-US"/>
              </w:rPr>
              <w:drawing>
                <wp:inline distT="0" distB="0" distL="0" distR="0" wp14:anchorId="7D6235B5" wp14:editId="3BB3502C">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C04A6B">
            <w:pPr>
              <w:spacing w:line="480" w:lineRule="auto"/>
              <w:rPr>
                <w:rFonts w:cs="David"/>
                <w:sz w:val="24"/>
                <w:szCs w:val="24"/>
                <w:rtl/>
              </w:rPr>
            </w:pPr>
            <w:r>
              <w:rPr>
                <w:rFonts w:cs="David" w:hint="eastAsia"/>
                <w:sz w:val="24"/>
                <w:szCs w:val="24"/>
                <w:rtl/>
              </w:rPr>
              <w:t>‏</w:t>
            </w:r>
            <w:r w:rsidR="00C04A6B">
              <w:rPr>
                <w:rFonts w:cs="David" w:hint="cs"/>
                <w:sz w:val="24"/>
                <w:szCs w:val="24"/>
                <w:rtl/>
              </w:rPr>
              <w:t>ט</w:t>
            </w:r>
            <w:r w:rsidR="001E5A00">
              <w:rPr>
                <w:rFonts w:cs="David" w:hint="cs"/>
                <w:sz w:val="24"/>
                <w:szCs w:val="24"/>
                <w:rtl/>
              </w:rPr>
              <w:t>"</w:t>
            </w:r>
            <w:r w:rsidR="00C04A6B">
              <w:rPr>
                <w:rFonts w:cs="David" w:hint="cs"/>
                <w:sz w:val="24"/>
                <w:szCs w:val="24"/>
                <w:rtl/>
              </w:rPr>
              <w:t>ו</w:t>
            </w:r>
            <w:r w:rsidR="004B5D8D">
              <w:rPr>
                <w:rFonts w:cs="David" w:hint="cs"/>
                <w:sz w:val="24"/>
                <w:szCs w:val="24"/>
                <w:rtl/>
              </w:rPr>
              <w:t xml:space="preserve"> באלול</w:t>
            </w:r>
            <w:r>
              <w:rPr>
                <w:rFonts w:cs="David"/>
                <w:sz w:val="24"/>
                <w:szCs w:val="24"/>
                <w:rtl/>
              </w:rPr>
              <w:t>, תשע"ג</w:t>
            </w:r>
          </w:p>
          <w:p w:rsidR="00DD5923" w:rsidRPr="00DF107C" w:rsidRDefault="00DD5923" w:rsidP="00C04A6B">
            <w:pPr>
              <w:spacing w:line="480" w:lineRule="auto"/>
              <w:rPr>
                <w:rFonts w:cs="David"/>
                <w:sz w:val="24"/>
                <w:szCs w:val="24"/>
              </w:rPr>
            </w:pPr>
            <w:r>
              <w:rPr>
                <w:rFonts w:cs="David" w:hint="eastAsia"/>
                <w:sz w:val="24"/>
                <w:szCs w:val="24"/>
                <w:rtl/>
              </w:rPr>
              <w:t>‏‏</w:t>
            </w:r>
            <w:r w:rsidR="00C04A6B">
              <w:rPr>
                <w:rFonts w:cs="David" w:hint="cs"/>
                <w:sz w:val="24"/>
                <w:szCs w:val="24"/>
                <w:rtl/>
              </w:rPr>
              <w:t>21</w:t>
            </w:r>
            <w:r w:rsidR="00E85E11">
              <w:rPr>
                <w:rFonts w:cs="David" w:hint="cs"/>
                <w:sz w:val="24"/>
                <w:szCs w:val="24"/>
                <w:rtl/>
              </w:rPr>
              <w:t xml:space="preserve"> באוגוסט</w:t>
            </w:r>
            <w:r>
              <w:rPr>
                <w:rFonts w:cs="David"/>
                <w:sz w:val="24"/>
                <w:szCs w:val="24"/>
                <w:rtl/>
              </w:rPr>
              <w:t>, 2013</w:t>
            </w:r>
          </w:p>
        </w:tc>
      </w:tr>
    </w:tbl>
    <w:p w:rsidR="00CB1F25" w:rsidRPr="00CB1F25" w:rsidRDefault="00CB1F25" w:rsidP="00CB1F25">
      <w:pPr>
        <w:bidi/>
        <w:spacing w:line="360" w:lineRule="auto"/>
        <w:rPr>
          <w:rFonts w:eastAsiaTheme="minorHAnsi" w:cs="David"/>
          <w:b/>
          <w:bCs/>
          <w:sz w:val="24"/>
          <w:szCs w:val="24"/>
          <w:rtl/>
          <w:lang w:eastAsia="en-US"/>
        </w:rPr>
      </w:pPr>
      <w:r w:rsidRPr="00CB1F25">
        <w:rPr>
          <w:rFonts w:eastAsiaTheme="minorHAnsi" w:cs="David" w:hint="cs"/>
          <w:b/>
          <w:bCs/>
          <w:sz w:val="24"/>
          <w:szCs w:val="24"/>
          <w:rtl/>
          <w:lang w:eastAsia="en-US"/>
        </w:rPr>
        <w:t>הודעה לעיתונות:</w:t>
      </w:r>
    </w:p>
    <w:p w:rsidR="00CB1F25" w:rsidRPr="00CB1F25" w:rsidRDefault="00CB1F25" w:rsidP="00CB1F25">
      <w:pPr>
        <w:bidi/>
        <w:spacing w:line="360" w:lineRule="auto"/>
        <w:rPr>
          <w:rFonts w:eastAsiaTheme="minorHAnsi" w:cs="David"/>
          <w:b/>
          <w:bCs/>
          <w:sz w:val="24"/>
          <w:szCs w:val="24"/>
          <w:u w:val="single"/>
          <w:rtl/>
          <w:lang w:eastAsia="en-US"/>
        </w:rPr>
      </w:pPr>
    </w:p>
    <w:p w:rsidR="00CB1F25" w:rsidRPr="00CB1F25" w:rsidRDefault="00CB1F25" w:rsidP="00CB1F25">
      <w:pPr>
        <w:bidi/>
        <w:spacing w:line="360" w:lineRule="auto"/>
        <w:rPr>
          <w:rFonts w:eastAsiaTheme="minorHAnsi" w:cs="David"/>
          <w:b/>
          <w:bCs/>
          <w:sz w:val="24"/>
          <w:szCs w:val="24"/>
          <w:u w:val="single"/>
          <w:rtl/>
          <w:lang w:eastAsia="en-US"/>
        </w:rPr>
      </w:pPr>
      <w:r w:rsidRPr="00CB1F25">
        <w:rPr>
          <w:rFonts w:eastAsiaTheme="minorHAnsi" w:cs="David" w:hint="cs"/>
          <w:b/>
          <w:bCs/>
          <w:sz w:val="24"/>
          <w:szCs w:val="24"/>
          <w:u w:val="single"/>
          <w:rtl/>
          <w:lang w:eastAsia="en-US"/>
        </w:rPr>
        <w:t>המפקח על הבנקים פרסם טיוטת הנחיות בדבר הגבלות על הלוואות לדיור (משכנתאות)</w:t>
      </w:r>
    </w:p>
    <w:p w:rsidR="00CB1F25" w:rsidRPr="00CB1F25" w:rsidRDefault="00CB1F25" w:rsidP="00CB1F25">
      <w:pPr>
        <w:bidi/>
        <w:spacing w:line="360" w:lineRule="auto"/>
        <w:jc w:val="both"/>
        <w:rPr>
          <w:rFonts w:eastAsiaTheme="minorHAnsi" w:cs="David"/>
          <w:b/>
          <w:bCs/>
          <w:sz w:val="24"/>
          <w:szCs w:val="24"/>
          <w:u w:val="single"/>
          <w:rtl/>
          <w:lang w:eastAsia="en-US"/>
        </w:rPr>
      </w:pPr>
    </w:p>
    <w:p w:rsidR="00CB1F25" w:rsidRPr="00CB1F25" w:rsidRDefault="00CB1F25" w:rsidP="00CB1F25">
      <w:pPr>
        <w:bidi/>
        <w:spacing w:line="360" w:lineRule="auto"/>
        <w:jc w:val="both"/>
        <w:rPr>
          <w:rFonts w:eastAsiaTheme="minorHAnsi" w:cs="David"/>
          <w:sz w:val="24"/>
          <w:szCs w:val="24"/>
          <w:rtl/>
          <w:lang w:eastAsia="en-US"/>
        </w:rPr>
      </w:pPr>
      <w:r w:rsidRPr="00CB1F25">
        <w:rPr>
          <w:rFonts w:eastAsiaTheme="minorHAnsi" w:cs="David" w:hint="cs"/>
          <w:sz w:val="24"/>
          <w:szCs w:val="24"/>
          <w:rtl/>
          <w:lang w:eastAsia="en-US"/>
        </w:rPr>
        <w:t xml:space="preserve">המפקח על הבנקים, דוד זקן, פרסם היום טיוטת הנחיות להתייעצות עם הוועדה המייעצת לענייני בנקאות בנושא הגבלות על מתן הלוואות לדיור (משכנתאות). ההנחיות החדשות מגבילות, בהתייחס להלוואות לדיור, את שיעור ההחזר מן ההכנסה, את חלק ההלוואה שניתן בריבית משתנה ואת התקופה הסופית לפירעון ההלוואה. מטרת ההנחיות היא להפחית את הסיכון, ובפרט את סיכון הריבית, של הציבור שנוטל משכנתאות בתנאים שעלולים לסכן את יכולתו העתידית לפרוע את המשכנתה וכפועל יוצא את הסיכון הגלום בהלוואות אלו למערכת הבנקאית. </w:t>
      </w:r>
    </w:p>
    <w:p w:rsidR="00CB1F25" w:rsidRPr="00CB1F25" w:rsidRDefault="00CB1F25" w:rsidP="00CB1F25">
      <w:pPr>
        <w:bidi/>
        <w:spacing w:line="360" w:lineRule="auto"/>
        <w:jc w:val="both"/>
        <w:rPr>
          <w:rFonts w:eastAsiaTheme="minorHAnsi" w:cs="David"/>
          <w:sz w:val="24"/>
          <w:szCs w:val="24"/>
          <w:rtl/>
          <w:lang w:eastAsia="en-US"/>
        </w:rPr>
      </w:pPr>
      <w:r w:rsidRPr="00CB1F25">
        <w:rPr>
          <w:rFonts w:eastAsiaTheme="minorHAnsi" w:cs="David" w:hint="cs"/>
          <w:sz w:val="24"/>
          <w:szCs w:val="24"/>
          <w:rtl/>
          <w:lang w:eastAsia="en-US"/>
        </w:rPr>
        <w:t>לאחר דיון בוועדה המייעצת, ההנחיות החדשות תחולנה על הלוואות שניתן להן אישור עקרוני מיום 1.9.2013 ואילך והן המשך לצעדים קודמים שננקטו על ידי הפיקוח על הבנקים בשוק האשראי לדיור.</w:t>
      </w:r>
    </w:p>
    <w:p w:rsidR="00CB1F25" w:rsidRPr="00CB1F25" w:rsidRDefault="00CB1F25" w:rsidP="00CB1F25">
      <w:pPr>
        <w:bidi/>
        <w:spacing w:line="360" w:lineRule="auto"/>
        <w:jc w:val="both"/>
        <w:rPr>
          <w:rFonts w:eastAsiaTheme="minorHAnsi" w:cs="David"/>
          <w:sz w:val="24"/>
          <w:szCs w:val="24"/>
          <w:rtl/>
          <w:lang w:eastAsia="en-US"/>
        </w:rPr>
      </w:pPr>
    </w:p>
    <w:p w:rsidR="00CB1F25" w:rsidRPr="00CB1F25" w:rsidRDefault="00CB1F25" w:rsidP="00CB1F25">
      <w:pPr>
        <w:bidi/>
        <w:spacing w:line="360" w:lineRule="auto"/>
        <w:jc w:val="both"/>
        <w:rPr>
          <w:rFonts w:eastAsiaTheme="minorHAnsi" w:cs="David"/>
          <w:b/>
          <w:bCs/>
          <w:sz w:val="24"/>
          <w:szCs w:val="24"/>
          <w:rtl/>
          <w:lang w:eastAsia="en-US"/>
        </w:rPr>
      </w:pPr>
      <w:r w:rsidRPr="00CB1F25">
        <w:rPr>
          <w:rFonts w:eastAsiaTheme="minorHAnsi" w:cs="David" w:hint="cs"/>
          <w:b/>
          <w:bCs/>
          <w:sz w:val="24"/>
          <w:szCs w:val="24"/>
          <w:rtl/>
          <w:lang w:eastAsia="en-US"/>
        </w:rPr>
        <w:t>להלן עיקרי ההנחיות אשר נכללו בטיוטה החדשה:</w:t>
      </w:r>
    </w:p>
    <w:p w:rsidR="00CB1F25" w:rsidRPr="00CB1F25" w:rsidRDefault="00CB1F25" w:rsidP="00CB1F25">
      <w:pPr>
        <w:numPr>
          <w:ilvl w:val="0"/>
          <w:numId w:val="1"/>
        </w:numPr>
        <w:bidi/>
        <w:spacing w:line="360" w:lineRule="auto"/>
        <w:contextualSpacing/>
        <w:jc w:val="both"/>
        <w:rPr>
          <w:rFonts w:eastAsiaTheme="minorHAnsi" w:cs="David"/>
          <w:sz w:val="24"/>
          <w:szCs w:val="24"/>
          <w:lang w:eastAsia="en-US"/>
        </w:rPr>
      </w:pPr>
      <w:r w:rsidRPr="00CB1F25">
        <w:rPr>
          <w:rFonts w:eastAsiaTheme="minorHAnsi" w:cs="David" w:hint="cs"/>
          <w:sz w:val="24"/>
          <w:szCs w:val="24"/>
          <w:rtl/>
          <w:lang w:eastAsia="en-US"/>
        </w:rPr>
        <w:t>תאגיד בנקאי לא יאשר הלוואה לדיור (משכנתה) כאשר שיעור ההחזר החודשי של המשכנתה מתוך ההכנסה החודשית של הלווה עולה על 50%. הלוואות לדיור, בהן שיעור ההחזר החודשי מההכנסה הוא בין 40% ל- 50%, ישוקללו ב- 100% לצורך חישוב יחס הלימות ההון.</w:t>
      </w:r>
    </w:p>
    <w:p w:rsidR="00CB1F25" w:rsidRPr="00CB1F25" w:rsidRDefault="00CB1F25" w:rsidP="00CB1F25">
      <w:pPr>
        <w:numPr>
          <w:ilvl w:val="0"/>
          <w:numId w:val="1"/>
        </w:numPr>
        <w:bidi/>
        <w:spacing w:line="360" w:lineRule="auto"/>
        <w:contextualSpacing/>
        <w:jc w:val="both"/>
        <w:rPr>
          <w:rFonts w:eastAsiaTheme="minorHAnsi" w:cs="David"/>
          <w:sz w:val="24"/>
          <w:szCs w:val="24"/>
          <w:lang w:eastAsia="en-US"/>
        </w:rPr>
      </w:pPr>
      <w:r w:rsidRPr="00CB1F25">
        <w:rPr>
          <w:rFonts w:eastAsiaTheme="minorHAnsi" w:cs="David" w:hint="cs"/>
          <w:sz w:val="24"/>
          <w:szCs w:val="24"/>
          <w:rtl/>
          <w:lang w:eastAsia="en-US"/>
        </w:rPr>
        <w:t xml:space="preserve">תאגיד בנקאי לא יאשר הלוואה לדיור שבה היחס בין חלק ההלוואה לדיור בריבית משתנה, לבין סך ההלוואה, עולה על  66.7% (שני שלישים). המגבלה תחול על הלוואות בריבית משתנה לכל טווחי הזמן, והיא מתווספת להגבלה הקיימת המגבילה לשליש את חלק ההלוואה לדיור שניתן בריבית משתנה לתקופה קצרה מ- 5 שנים. </w:t>
      </w:r>
    </w:p>
    <w:p w:rsidR="00CB1F25" w:rsidRPr="00CB1F25" w:rsidRDefault="00CB1F25" w:rsidP="00CB1F25">
      <w:pPr>
        <w:numPr>
          <w:ilvl w:val="0"/>
          <w:numId w:val="1"/>
        </w:numPr>
        <w:bidi/>
        <w:spacing w:line="360" w:lineRule="auto"/>
        <w:contextualSpacing/>
        <w:jc w:val="both"/>
        <w:rPr>
          <w:rFonts w:eastAsiaTheme="minorHAnsi" w:cs="David"/>
          <w:sz w:val="24"/>
          <w:szCs w:val="24"/>
          <w:lang w:eastAsia="en-US"/>
        </w:rPr>
      </w:pPr>
      <w:r w:rsidRPr="00CB1F25">
        <w:rPr>
          <w:rFonts w:eastAsiaTheme="minorHAnsi" w:cs="David" w:hint="cs"/>
          <w:sz w:val="24"/>
          <w:szCs w:val="24"/>
          <w:rtl/>
          <w:lang w:eastAsia="en-US"/>
        </w:rPr>
        <w:t>תאגיד בנקאי לא יאשר הלוואה לדיור לתקופה לפירעון סופי העולה על 30 שנים.</w:t>
      </w:r>
    </w:p>
    <w:p w:rsidR="00CB1F25" w:rsidRPr="00CB1F25" w:rsidRDefault="00CB1F25" w:rsidP="00CB1F25">
      <w:pPr>
        <w:bidi/>
        <w:spacing w:line="360" w:lineRule="auto"/>
        <w:jc w:val="both"/>
        <w:rPr>
          <w:rFonts w:eastAsiaTheme="minorHAnsi" w:cs="David"/>
          <w:sz w:val="24"/>
          <w:szCs w:val="24"/>
          <w:rtl/>
          <w:lang w:eastAsia="en-US"/>
        </w:rPr>
      </w:pPr>
    </w:p>
    <w:p w:rsidR="00CB1F25" w:rsidRPr="00CB1F25" w:rsidRDefault="00CB1F25" w:rsidP="00CB1F25">
      <w:pPr>
        <w:bidi/>
        <w:spacing w:line="360" w:lineRule="auto"/>
        <w:jc w:val="both"/>
        <w:rPr>
          <w:rFonts w:eastAsiaTheme="minorHAnsi" w:cs="David"/>
          <w:sz w:val="24"/>
          <w:szCs w:val="24"/>
          <w:rtl/>
          <w:lang w:eastAsia="en-US"/>
        </w:rPr>
      </w:pPr>
      <w:r w:rsidRPr="00CB1F25">
        <w:rPr>
          <w:rFonts w:eastAsiaTheme="minorHAnsi" w:cs="David" w:hint="cs"/>
          <w:sz w:val="24"/>
          <w:szCs w:val="24"/>
          <w:rtl/>
          <w:lang w:eastAsia="en-US"/>
        </w:rPr>
        <w:t xml:space="preserve">טיוטת ההנחיות גובשה לנוכח המשך המגמות בשוק הדיור, ובעיקר, חלקן הגבוה של ההלוואות לדיור בתיק האשראי הבנקאי וגידולו בשנים האחרונות, </w:t>
      </w:r>
      <w:r w:rsidRPr="00CB1F25">
        <w:rPr>
          <w:rFonts w:eastAsiaTheme="minorHAnsi" w:cs="David" w:hint="cs"/>
          <w:color w:val="FF0000"/>
          <w:sz w:val="24"/>
          <w:szCs w:val="24"/>
          <w:rtl/>
          <w:lang w:eastAsia="en-US"/>
        </w:rPr>
        <w:t xml:space="preserve">(ראה איורים 1 ו- 2) </w:t>
      </w:r>
      <w:r w:rsidRPr="00CB1F25">
        <w:rPr>
          <w:rFonts w:eastAsiaTheme="minorHAnsi" w:cs="David" w:hint="cs"/>
          <w:sz w:val="24"/>
          <w:szCs w:val="24"/>
          <w:rtl/>
          <w:lang w:eastAsia="en-US"/>
        </w:rPr>
        <w:t xml:space="preserve">המשך העלייה המהירה בהיקף המשכנתאות החדשות והמאפיינים שלהן: חלק ניכר מהמשכנתאות (17%) ניתן בשיעורי החזר גבוהים מן ההכנסה (מעל 40%), חלק ניכר מהמשכנתאות ניתן בריבית משתנה, לרבות בתקופה של 5 שנים ומעלה (72%) </w:t>
      </w:r>
      <w:r w:rsidRPr="00CB1F25">
        <w:rPr>
          <w:rFonts w:eastAsiaTheme="minorHAnsi" w:cs="David" w:hint="cs"/>
          <w:color w:val="FF0000"/>
          <w:sz w:val="24"/>
          <w:szCs w:val="24"/>
          <w:rtl/>
          <w:lang w:eastAsia="en-US"/>
        </w:rPr>
        <w:t>(ראה איור 3)</w:t>
      </w:r>
      <w:r w:rsidRPr="00CB1F25">
        <w:rPr>
          <w:rFonts w:eastAsiaTheme="minorHAnsi" w:cs="David" w:hint="cs"/>
          <w:sz w:val="24"/>
          <w:szCs w:val="24"/>
          <w:rtl/>
          <w:lang w:eastAsia="en-US"/>
        </w:rPr>
        <w:t xml:space="preserve">, וחלק מהמשכנתאות ניתן לתקופות זמן ארוכות של שלושים שנים ומעלה. מאפיינים אלה טומנים בחובם סיכון עתידי ללווים, אשר קיים חשש שנטלו על עצמם התחייבות גבוהה ואשר בתנאים מסוימים עלולים שלא לעמוד בהחזרי המשכנתה, זאת על רקע הגידול ביחס שבין יתרת ההלוואות לדיור להכנסה הפנויה </w:t>
      </w:r>
      <w:r w:rsidRPr="00CB1F25">
        <w:rPr>
          <w:rFonts w:eastAsiaTheme="minorHAnsi" w:cs="David" w:hint="cs"/>
          <w:color w:val="FF0000"/>
          <w:sz w:val="24"/>
          <w:szCs w:val="24"/>
          <w:rtl/>
          <w:lang w:eastAsia="en-US"/>
        </w:rPr>
        <w:t>(ראה איור 4)</w:t>
      </w:r>
      <w:r w:rsidRPr="00CB1F25">
        <w:rPr>
          <w:rFonts w:eastAsiaTheme="minorHAnsi" w:cs="David" w:hint="cs"/>
          <w:sz w:val="24"/>
          <w:szCs w:val="24"/>
          <w:rtl/>
          <w:lang w:eastAsia="en-US"/>
        </w:rPr>
        <w:t xml:space="preserve">. מדובר בסיכון הכרוך באפשרות שהריבית תעלה בעתיד ותגדיל באופן ניכר את תשלומי המשכנתה וכן בסיכון הכרוך בשינויים בסביבה הכלכלית, כגון הרעה בתנאי שוק העבודה. התממשות של שני </w:t>
      </w:r>
      <w:r w:rsidRPr="00CB1F25">
        <w:rPr>
          <w:rFonts w:eastAsiaTheme="minorHAnsi" w:cs="David" w:hint="cs"/>
          <w:sz w:val="24"/>
          <w:szCs w:val="24"/>
          <w:rtl/>
          <w:lang w:eastAsia="en-US"/>
        </w:rPr>
        <w:lastRenderedPageBreak/>
        <w:t>הסיכונים יחד בעת ובעונה אחת, אף תעצים את ההשפעה על יכולת ההחזר של הלווים ותגדיל את הסיכון שהם ייקלעו לקשיים בהחזר המשכנתה.</w:t>
      </w:r>
    </w:p>
    <w:p w:rsidR="00CB1F25" w:rsidRPr="00CB1F25" w:rsidRDefault="00CB1F25" w:rsidP="00CB1F25">
      <w:pPr>
        <w:bidi/>
        <w:spacing w:line="360" w:lineRule="auto"/>
        <w:jc w:val="both"/>
        <w:rPr>
          <w:rFonts w:eastAsiaTheme="minorHAnsi" w:cs="David"/>
          <w:sz w:val="24"/>
          <w:szCs w:val="24"/>
          <w:rtl/>
          <w:lang w:eastAsia="en-US"/>
        </w:rPr>
      </w:pPr>
      <w:r w:rsidRPr="00CB1F25">
        <w:rPr>
          <w:rFonts w:eastAsiaTheme="minorHAnsi" w:cs="David" w:hint="cs"/>
          <w:sz w:val="24"/>
          <w:szCs w:val="24"/>
          <w:rtl/>
          <w:lang w:eastAsia="en-US"/>
        </w:rPr>
        <w:t xml:space="preserve">פועל יוצא של חשש זה, על רקע העליות המתמשכות במחירי הדיור, מאפייני המשכנתאות וסביבת הריבית הנמוכה, הוא הגידול בסיכון למערכת הבנקאית. ההנחיות המוצעות מכוונות להקטנת הסיכונים עבור נוטלי המשכנתאות ולמערכת הבנקאית בכללותה. </w:t>
      </w:r>
    </w:p>
    <w:p w:rsidR="00CB1F25" w:rsidRPr="00CB1F25" w:rsidRDefault="00CB1F25" w:rsidP="00CB1F25">
      <w:pPr>
        <w:bidi/>
        <w:spacing w:line="360" w:lineRule="auto"/>
        <w:jc w:val="both"/>
        <w:rPr>
          <w:rFonts w:eastAsiaTheme="minorHAnsi" w:cs="David"/>
          <w:sz w:val="24"/>
          <w:szCs w:val="24"/>
          <w:rtl/>
          <w:lang w:eastAsia="en-US"/>
        </w:rPr>
      </w:pPr>
    </w:p>
    <w:tbl>
      <w:tblPr>
        <w:bidiVisual/>
        <w:tblW w:w="0" w:type="auto"/>
        <w:tblLook w:val="01E0" w:firstRow="1" w:lastRow="1" w:firstColumn="1" w:lastColumn="1" w:noHBand="0" w:noVBand="0"/>
      </w:tblPr>
      <w:tblGrid>
        <w:gridCol w:w="8522"/>
      </w:tblGrid>
      <w:tr w:rsidR="00CB1F25" w:rsidRPr="00CB1F25" w:rsidTr="00986D26">
        <w:tc>
          <w:tcPr>
            <w:tcW w:w="8522" w:type="dxa"/>
          </w:tcPr>
          <w:p w:rsidR="00CB1F25" w:rsidRPr="00CB1F25" w:rsidRDefault="00CB1F25" w:rsidP="00CB1F25">
            <w:pPr>
              <w:bidi/>
              <w:spacing w:before="120"/>
              <w:jc w:val="center"/>
              <w:rPr>
                <w:rFonts w:eastAsiaTheme="minorHAnsi" w:cs="David"/>
                <w:b/>
                <w:bCs/>
                <w:sz w:val="24"/>
                <w:szCs w:val="24"/>
                <w:rtl/>
                <w:lang w:eastAsia="en-US"/>
              </w:rPr>
            </w:pPr>
            <w:r w:rsidRPr="00CB1F25">
              <w:rPr>
                <w:rFonts w:eastAsiaTheme="minorHAnsi" w:cs="David"/>
                <w:b/>
                <w:bCs/>
                <w:sz w:val="24"/>
                <w:szCs w:val="24"/>
                <w:rtl/>
                <w:lang w:eastAsia="en-US"/>
              </w:rPr>
              <w:t xml:space="preserve">איור </w:t>
            </w:r>
            <w:r w:rsidRPr="00CB1F25">
              <w:rPr>
                <w:rFonts w:eastAsiaTheme="minorHAnsi" w:cs="David" w:hint="cs"/>
                <w:b/>
                <w:bCs/>
                <w:sz w:val="24"/>
                <w:szCs w:val="24"/>
                <w:rtl/>
                <w:lang w:eastAsia="en-US"/>
              </w:rPr>
              <w:t>1</w:t>
            </w:r>
          </w:p>
          <w:p w:rsidR="00CB1F25" w:rsidRPr="00CB1F25" w:rsidRDefault="00CB1F25" w:rsidP="00CB1F25">
            <w:pPr>
              <w:bidi/>
              <w:jc w:val="center"/>
              <w:rPr>
                <w:rFonts w:eastAsiaTheme="minorHAnsi" w:cs="David"/>
                <w:b/>
                <w:bCs/>
                <w:sz w:val="24"/>
                <w:szCs w:val="24"/>
                <w:rtl/>
                <w:lang w:eastAsia="en-US"/>
              </w:rPr>
            </w:pPr>
            <w:r w:rsidRPr="00CB1F25">
              <w:rPr>
                <w:rFonts w:eastAsiaTheme="minorHAnsi" w:cs="David" w:hint="cs"/>
                <w:b/>
                <w:bCs/>
                <w:sz w:val="24"/>
                <w:szCs w:val="24"/>
                <w:rtl/>
                <w:lang w:eastAsia="en-US"/>
              </w:rPr>
              <w:t>התפלגות יתרת האשראי המאזני</w:t>
            </w:r>
            <w:r w:rsidRPr="00CB1F25">
              <w:rPr>
                <w:rFonts w:eastAsiaTheme="minorHAnsi" w:cs="David"/>
                <w:b/>
                <w:bCs/>
                <w:sz w:val="24"/>
                <w:szCs w:val="24"/>
                <w:rtl/>
                <w:lang w:eastAsia="en-US"/>
              </w:rPr>
              <w:t xml:space="preserve">, </w:t>
            </w:r>
            <w:r w:rsidRPr="00CB1F25">
              <w:rPr>
                <w:rFonts w:eastAsiaTheme="minorHAnsi" w:cs="David" w:hint="cs"/>
                <w:b/>
                <w:bCs/>
                <w:sz w:val="24"/>
                <w:szCs w:val="24"/>
                <w:rtl/>
                <w:lang w:eastAsia="en-US"/>
              </w:rPr>
              <w:t xml:space="preserve">חמש הקבוצות הבנקאיות, </w:t>
            </w:r>
          </w:p>
          <w:p w:rsidR="00CB1F25" w:rsidRPr="00CB1F25" w:rsidRDefault="00CB1F25" w:rsidP="00CB1F25">
            <w:pPr>
              <w:bidi/>
              <w:jc w:val="center"/>
              <w:rPr>
                <w:rFonts w:eastAsiaTheme="minorHAnsi" w:cs="David"/>
                <w:sz w:val="24"/>
                <w:szCs w:val="24"/>
                <w:rtl/>
                <w:lang w:eastAsia="en-US"/>
              </w:rPr>
            </w:pPr>
            <w:r w:rsidRPr="00CB1F25">
              <w:rPr>
                <w:rFonts w:eastAsiaTheme="minorHAnsi" w:cs="David" w:hint="cs"/>
                <w:b/>
                <w:bCs/>
                <w:sz w:val="24"/>
                <w:szCs w:val="24"/>
                <w:rtl/>
                <w:lang w:eastAsia="en-US"/>
              </w:rPr>
              <w:t>דצמבר</w:t>
            </w:r>
            <w:r w:rsidRPr="00CB1F25">
              <w:rPr>
                <w:rFonts w:eastAsiaTheme="minorHAnsi" w:cs="David"/>
                <w:b/>
                <w:bCs/>
                <w:sz w:val="24"/>
                <w:szCs w:val="24"/>
                <w:rtl/>
                <w:lang w:eastAsia="en-US"/>
              </w:rPr>
              <w:t xml:space="preserve"> </w:t>
            </w:r>
            <w:r w:rsidRPr="00CB1F25">
              <w:rPr>
                <w:rFonts w:eastAsiaTheme="minorHAnsi" w:cs="David" w:hint="cs"/>
                <w:b/>
                <w:bCs/>
                <w:sz w:val="24"/>
                <w:szCs w:val="24"/>
                <w:rtl/>
                <w:lang w:eastAsia="en-US"/>
              </w:rPr>
              <w:t>2007</w:t>
            </w:r>
            <w:r w:rsidRPr="00CB1F25">
              <w:rPr>
                <w:rFonts w:eastAsiaTheme="minorHAnsi" w:cs="David"/>
                <w:b/>
                <w:bCs/>
                <w:sz w:val="24"/>
                <w:szCs w:val="24"/>
                <w:rtl/>
                <w:lang w:eastAsia="en-US"/>
              </w:rPr>
              <w:t xml:space="preserve"> </w:t>
            </w:r>
            <w:r w:rsidRPr="00CB1F25">
              <w:rPr>
                <w:rFonts w:eastAsiaTheme="minorHAnsi" w:cs="David" w:hint="cs"/>
                <w:b/>
                <w:bCs/>
                <w:sz w:val="24"/>
                <w:szCs w:val="24"/>
                <w:rtl/>
                <w:lang w:eastAsia="en-US"/>
              </w:rPr>
              <w:t>ומרץ</w:t>
            </w:r>
            <w:r w:rsidRPr="00CB1F25">
              <w:rPr>
                <w:rFonts w:eastAsiaTheme="minorHAnsi" w:cs="David"/>
                <w:b/>
                <w:bCs/>
                <w:sz w:val="24"/>
                <w:szCs w:val="24"/>
                <w:rtl/>
                <w:lang w:eastAsia="en-US"/>
              </w:rPr>
              <w:t xml:space="preserve"> </w:t>
            </w:r>
            <w:r w:rsidRPr="00CB1F25">
              <w:rPr>
                <w:rFonts w:eastAsiaTheme="minorHAnsi" w:cs="David" w:hint="cs"/>
                <w:b/>
                <w:bCs/>
                <w:sz w:val="24"/>
                <w:szCs w:val="24"/>
                <w:rtl/>
                <w:lang w:eastAsia="en-US"/>
              </w:rPr>
              <w:t>2013</w:t>
            </w:r>
          </w:p>
          <w:p w:rsidR="00CB1F25" w:rsidRPr="00CB1F25" w:rsidRDefault="00CB1F25" w:rsidP="00CB1F25">
            <w:pPr>
              <w:bidi/>
              <w:jc w:val="center"/>
              <w:rPr>
                <w:rFonts w:eastAsiaTheme="minorHAnsi" w:cs="David"/>
                <w:rtl/>
                <w:lang w:eastAsia="en-US"/>
              </w:rPr>
            </w:pPr>
          </w:p>
        </w:tc>
      </w:tr>
      <w:tr w:rsidR="00CB1F25" w:rsidRPr="00CB1F25" w:rsidTr="00986D26">
        <w:tc>
          <w:tcPr>
            <w:tcW w:w="8522" w:type="dxa"/>
          </w:tcPr>
          <w:p w:rsidR="00CB1F25" w:rsidRPr="00CB1F25" w:rsidRDefault="00CB1F25" w:rsidP="00CB1F25">
            <w:pPr>
              <w:bidi/>
              <w:jc w:val="center"/>
              <w:rPr>
                <w:rFonts w:eastAsiaTheme="minorHAnsi" w:cs="David"/>
                <w:rtl/>
                <w:lang w:eastAsia="en-US"/>
              </w:rPr>
            </w:pPr>
            <w:r w:rsidRPr="00CB1F25">
              <w:rPr>
                <w:rFonts w:eastAsiaTheme="minorHAnsi" w:cs="David"/>
                <w:noProof/>
                <w:rtl/>
                <w:lang w:eastAsia="en-US"/>
              </w:rPr>
              <w:drawing>
                <wp:inline distT="0" distB="0" distL="0" distR="0" wp14:anchorId="334FE30D" wp14:editId="1AC6480F">
                  <wp:extent cx="5274945" cy="1520825"/>
                  <wp:effectExtent l="0" t="0" r="1905" b="317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945" cy="1520825"/>
                          </a:xfrm>
                          <a:prstGeom prst="rect">
                            <a:avLst/>
                          </a:prstGeom>
                          <a:noFill/>
                          <a:ln>
                            <a:noFill/>
                          </a:ln>
                        </pic:spPr>
                      </pic:pic>
                    </a:graphicData>
                  </a:graphic>
                </wp:inline>
              </w:drawing>
            </w:r>
          </w:p>
        </w:tc>
      </w:tr>
      <w:tr w:rsidR="00CB1F25" w:rsidRPr="00CB1F25" w:rsidTr="00986D26">
        <w:tc>
          <w:tcPr>
            <w:tcW w:w="8522" w:type="dxa"/>
          </w:tcPr>
          <w:p w:rsidR="00CB1F25" w:rsidRPr="00CB1F25" w:rsidRDefault="00CB1F25" w:rsidP="00CB1F25">
            <w:pPr>
              <w:tabs>
                <w:tab w:val="left" w:pos="0"/>
              </w:tabs>
              <w:bidi/>
              <w:ind w:left="368"/>
              <w:jc w:val="both"/>
              <w:rPr>
                <w:rFonts w:eastAsiaTheme="minorHAnsi" w:cs="David"/>
                <w:b/>
                <w:bCs/>
                <w:highlight w:val="yellow"/>
                <w:lang w:eastAsia="en-US"/>
              </w:rPr>
            </w:pPr>
            <w:r w:rsidRPr="00CB1F25">
              <w:rPr>
                <w:rFonts w:eastAsiaTheme="minorHAnsi" w:cs="David"/>
                <w:b/>
                <w:bCs/>
                <w:rtl/>
                <w:lang w:eastAsia="en-US"/>
              </w:rPr>
              <w:t>המקור: דיווחים לפיקוח על הבנקים.</w:t>
            </w:r>
          </w:p>
        </w:tc>
      </w:tr>
      <w:tr w:rsidR="00CB1F25" w:rsidRPr="00CB1F25" w:rsidTr="00986D26">
        <w:tc>
          <w:tcPr>
            <w:tcW w:w="8522" w:type="dxa"/>
          </w:tcPr>
          <w:p w:rsidR="00CB1F25" w:rsidRPr="00CB1F25" w:rsidRDefault="00CB1F25" w:rsidP="00CB1F25">
            <w:pPr>
              <w:bidi/>
              <w:spacing w:before="120"/>
              <w:jc w:val="center"/>
              <w:rPr>
                <w:rFonts w:eastAsiaTheme="minorHAnsi" w:cs="David"/>
                <w:b/>
                <w:bCs/>
                <w:rtl/>
                <w:lang w:eastAsia="en-US"/>
              </w:rPr>
            </w:pPr>
          </w:p>
          <w:tbl>
            <w:tblPr>
              <w:bidiVisual/>
              <w:tblW w:w="0" w:type="auto"/>
              <w:tblLook w:val="01E0" w:firstRow="1" w:lastRow="1" w:firstColumn="1" w:lastColumn="1" w:noHBand="0" w:noVBand="0"/>
            </w:tblPr>
            <w:tblGrid>
              <w:gridCol w:w="8306"/>
            </w:tblGrid>
            <w:tr w:rsidR="00CB1F25" w:rsidRPr="00CB1F25" w:rsidTr="00986D26">
              <w:tc>
                <w:tcPr>
                  <w:tcW w:w="8937" w:type="dxa"/>
                </w:tcPr>
                <w:p w:rsidR="00CB1F25" w:rsidRPr="00CB1F25" w:rsidRDefault="00CB1F25" w:rsidP="00CB1F25">
                  <w:pPr>
                    <w:bidi/>
                    <w:spacing w:before="120"/>
                    <w:jc w:val="center"/>
                    <w:rPr>
                      <w:rFonts w:eastAsiaTheme="minorHAnsi" w:cs="David"/>
                      <w:b/>
                      <w:bCs/>
                      <w:rtl/>
                      <w:lang w:eastAsia="en-US"/>
                    </w:rPr>
                  </w:pPr>
                </w:p>
                <w:p w:rsidR="00CB1F25" w:rsidRPr="00CB1F25" w:rsidRDefault="00CB1F25" w:rsidP="00CB1F25">
                  <w:pPr>
                    <w:bidi/>
                    <w:spacing w:before="120"/>
                    <w:jc w:val="center"/>
                    <w:rPr>
                      <w:rFonts w:eastAsiaTheme="minorHAnsi" w:cs="David"/>
                      <w:b/>
                      <w:bCs/>
                      <w:rtl/>
                      <w:lang w:eastAsia="en-US"/>
                    </w:rPr>
                  </w:pPr>
                </w:p>
                <w:p w:rsidR="00CB1F25" w:rsidRPr="00CB1F25" w:rsidRDefault="00CB1F25" w:rsidP="00CB1F25">
                  <w:pPr>
                    <w:bidi/>
                    <w:spacing w:before="120"/>
                    <w:jc w:val="center"/>
                    <w:rPr>
                      <w:rFonts w:eastAsiaTheme="minorHAnsi" w:cs="David"/>
                      <w:b/>
                      <w:bCs/>
                      <w:sz w:val="24"/>
                      <w:szCs w:val="24"/>
                      <w:rtl/>
                      <w:lang w:eastAsia="en-US"/>
                    </w:rPr>
                  </w:pPr>
                  <w:r w:rsidRPr="00CB1F25">
                    <w:rPr>
                      <w:rFonts w:eastAsiaTheme="minorHAnsi" w:cs="David"/>
                      <w:b/>
                      <w:bCs/>
                      <w:sz w:val="24"/>
                      <w:szCs w:val="24"/>
                      <w:rtl/>
                      <w:lang w:eastAsia="en-US"/>
                    </w:rPr>
                    <w:t xml:space="preserve">איור </w:t>
                  </w:r>
                  <w:r w:rsidRPr="00CB1F25">
                    <w:rPr>
                      <w:rFonts w:eastAsiaTheme="minorHAnsi" w:cs="David" w:hint="cs"/>
                      <w:b/>
                      <w:bCs/>
                      <w:sz w:val="24"/>
                      <w:szCs w:val="24"/>
                      <w:rtl/>
                      <w:lang w:eastAsia="en-US"/>
                    </w:rPr>
                    <w:t>2</w:t>
                  </w:r>
                </w:p>
                <w:p w:rsidR="00CB1F25" w:rsidRPr="00CB1F25" w:rsidRDefault="00CB1F25" w:rsidP="00CB1F25">
                  <w:pPr>
                    <w:bidi/>
                    <w:jc w:val="center"/>
                    <w:rPr>
                      <w:rFonts w:eastAsiaTheme="minorHAnsi" w:cs="David"/>
                      <w:b/>
                      <w:bCs/>
                      <w:sz w:val="24"/>
                      <w:szCs w:val="24"/>
                      <w:rtl/>
                      <w:lang w:eastAsia="en-US"/>
                    </w:rPr>
                  </w:pPr>
                  <w:r w:rsidRPr="00CB1F25">
                    <w:rPr>
                      <w:rFonts w:eastAsiaTheme="minorHAnsi" w:cs="David" w:hint="cs"/>
                      <w:b/>
                      <w:bCs/>
                      <w:sz w:val="24"/>
                      <w:szCs w:val="24"/>
                      <w:rtl/>
                      <w:lang w:eastAsia="en-US"/>
                    </w:rPr>
                    <w:t>יתרת הלוואות למטרת מגורים</w:t>
                  </w:r>
                  <w:r w:rsidRPr="00CB1F25">
                    <w:rPr>
                      <w:rFonts w:eastAsiaTheme="minorHAnsi" w:cs="David"/>
                      <w:b/>
                      <w:bCs/>
                      <w:sz w:val="24"/>
                      <w:szCs w:val="24"/>
                      <w:rtl/>
                      <w:lang w:eastAsia="en-US"/>
                    </w:rPr>
                    <w:t xml:space="preserve">, </w:t>
                  </w:r>
                  <w:r w:rsidRPr="00CB1F25">
                    <w:rPr>
                      <w:rFonts w:eastAsiaTheme="minorHAnsi" w:cs="David" w:hint="cs"/>
                      <w:b/>
                      <w:bCs/>
                      <w:sz w:val="24"/>
                      <w:szCs w:val="24"/>
                      <w:rtl/>
                      <w:lang w:eastAsia="en-US"/>
                    </w:rPr>
                    <w:t>סך המערכת הבנקאית,</w:t>
                  </w:r>
                </w:p>
                <w:p w:rsidR="00CB1F25" w:rsidRPr="00CB1F25" w:rsidRDefault="00CB1F25" w:rsidP="00CB1F25">
                  <w:pPr>
                    <w:bidi/>
                    <w:jc w:val="center"/>
                    <w:rPr>
                      <w:rFonts w:eastAsiaTheme="minorHAnsi" w:cs="David"/>
                      <w:rtl/>
                      <w:lang w:eastAsia="en-US"/>
                    </w:rPr>
                  </w:pPr>
                  <w:r w:rsidRPr="00CB1F25">
                    <w:rPr>
                      <w:rFonts w:eastAsiaTheme="minorHAnsi" w:cs="David" w:hint="cs"/>
                      <w:b/>
                      <w:bCs/>
                      <w:sz w:val="24"/>
                      <w:szCs w:val="24"/>
                      <w:rtl/>
                      <w:lang w:eastAsia="en-US"/>
                    </w:rPr>
                    <w:t>ינואר</w:t>
                  </w:r>
                  <w:r w:rsidRPr="00CB1F25">
                    <w:rPr>
                      <w:rFonts w:eastAsiaTheme="minorHAnsi" w:cs="David"/>
                      <w:b/>
                      <w:bCs/>
                      <w:sz w:val="24"/>
                      <w:szCs w:val="24"/>
                      <w:rtl/>
                      <w:lang w:eastAsia="en-US"/>
                    </w:rPr>
                    <w:t xml:space="preserve"> 20</w:t>
                  </w:r>
                  <w:r w:rsidRPr="00CB1F25">
                    <w:rPr>
                      <w:rFonts w:eastAsiaTheme="minorHAnsi" w:cs="David" w:hint="cs"/>
                      <w:b/>
                      <w:bCs/>
                      <w:sz w:val="24"/>
                      <w:szCs w:val="24"/>
                      <w:rtl/>
                      <w:lang w:eastAsia="en-US"/>
                    </w:rPr>
                    <w:t>04</w:t>
                  </w:r>
                  <w:r w:rsidRPr="00CB1F25">
                    <w:rPr>
                      <w:rFonts w:eastAsiaTheme="minorHAnsi" w:cs="David"/>
                      <w:b/>
                      <w:bCs/>
                      <w:sz w:val="24"/>
                      <w:szCs w:val="24"/>
                      <w:rtl/>
                      <w:lang w:eastAsia="en-US"/>
                    </w:rPr>
                    <w:t xml:space="preserve"> עד </w:t>
                  </w:r>
                  <w:r w:rsidRPr="00CB1F25">
                    <w:rPr>
                      <w:rFonts w:eastAsiaTheme="minorHAnsi" w:cs="David" w:hint="cs"/>
                      <w:b/>
                      <w:bCs/>
                      <w:sz w:val="24"/>
                      <w:szCs w:val="24"/>
                      <w:rtl/>
                      <w:lang w:eastAsia="en-US"/>
                    </w:rPr>
                    <w:t>יוני</w:t>
                  </w:r>
                  <w:r w:rsidRPr="00CB1F25">
                    <w:rPr>
                      <w:rFonts w:eastAsiaTheme="minorHAnsi" w:cs="David"/>
                      <w:b/>
                      <w:bCs/>
                      <w:sz w:val="24"/>
                      <w:szCs w:val="24"/>
                      <w:rtl/>
                      <w:lang w:eastAsia="en-US"/>
                    </w:rPr>
                    <w:t xml:space="preserve"> </w:t>
                  </w:r>
                  <w:r w:rsidRPr="00CB1F25">
                    <w:rPr>
                      <w:rFonts w:eastAsiaTheme="minorHAnsi" w:cs="David" w:hint="cs"/>
                      <w:b/>
                      <w:bCs/>
                      <w:sz w:val="24"/>
                      <w:szCs w:val="24"/>
                      <w:rtl/>
                      <w:lang w:eastAsia="en-US"/>
                    </w:rPr>
                    <w:t>2013</w:t>
                  </w:r>
                </w:p>
              </w:tc>
            </w:tr>
            <w:tr w:rsidR="00CB1F25" w:rsidRPr="00CB1F25" w:rsidTr="00986D26">
              <w:tc>
                <w:tcPr>
                  <w:tcW w:w="8937" w:type="dxa"/>
                </w:tcPr>
                <w:p w:rsidR="00CB1F25" w:rsidRPr="00CB1F25" w:rsidRDefault="00CB1F25" w:rsidP="00CB1F25">
                  <w:pPr>
                    <w:bidi/>
                    <w:jc w:val="center"/>
                    <w:rPr>
                      <w:rFonts w:eastAsiaTheme="minorHAnsi" w:cs="David"/>
                      <w:rtl/>
                      <w:lang w:eastAsia="en-US"/>
                    </w:rPr>
                  </w:pPr>
                  <w:r w:rsidRPr="00CB1F25">
                    <w:rPr>
                      <w:rFonts w:eastAsiaTheme="minorHAnsi" w:cs="David" w:hint="cs"/>
                      <w:b/>
                      <w:bCs/>
                      <w:noProof/>
                      <w:rtl/>
                      <w:lang w:eastAsia="en-US"/>
                    </w:rPr>
                    <w:drawing>
                      <wp:inline distT="0" distB="0" distL="0" distR="0" wp14:anchorId="43C7353A" wp14:editId="4C51BA60">
                        <wp:extent cx="5158467" cy="3205212"/>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8898" cy="3205480"/>
                                </a:xfrm>
                                <a:prstGeom prst="rect">
                                  <a:avLst/>
                                </a:prstGeom>
                                <a:noFill/>
                                <a:ln>
                                  <a:noFill/>
                                </a:ln>
                              </pic:spPr>
                            </pic:pic>
                          </a:graphicData>
                        </a:graphic>
                      </wp:inline>
                    </w:drawing>
                  </w:r>
                </w:p>
              </w:tc>
            </w:tr>
            <w:tr w:rsidR="00CB1F25" w:rsidRPr="00CB1F25" w:rsidTr="00986D26">
              <w:tc>
                <w:tcPr>
                  <w:tcW w:w="8937" w:type="dxa"/>
                </w:tcPr>
                <w:p w:rsidR="00CB1F25" w:rsidRPr="00CB1F25" w:rsidRDefault="00CB1F25" w:rsidP="00CB1F25">
                  <w:pPr>
                    <w:bidi/>
                    <w:ind w:left="1100"/>
                    <w:jc w:val="both"/>
                    <w:rPr>
                      <w:rFonts w:eastAsiaTheme="minorHAnsi" w:cs="David"/>
                      <w:b/>
                      <w:bCs/>
                      <w:rtl/>
                      <w:lang w:eastAsia="en-US"/>
                    </w:rPr>
                  </w:pPr>
                </w:p>
                <w:p w:rsidR="00CB1F25" w:rsidRPr="00CB1F25" w:rsidRDefault="00CB1F25" w:rsidP="00CB1F25">
                  <w:pPr>
                    <w:tabs>
                      <w:tab w:val="left" w:pos="84"/>
                    </w:tabs>
                    <w:bidi/>
                    <w:jc w:val="both"/>
                    <w:rPr>
                      <w:rFonts w:eastAsiaTheme="minorHAnsi" w:cs="David"/>
                      <w:b/>
                      <w:bCs/>
                      <w:highlight w:val="yellow"/>
                      <w:lang w:eastAsia="en-US"/>
                    </w:rPr>
                  </w:pPr>
                  <w:r w:rsidRPr="00CB1F25">
                    <w:rPr>
                      <w:rFonts w:eastAsiaTheme="minorHAnsi" w:cs="David"/>
                      <w:b/>
                      <w:bCs/>
                      <w:rtl/>
                      <w:lang w:eastAsia="en-US"/>
                    </w:rPr>
                    <w:t xml:space="preserve">המקור: </w:t>
                  </w:r>
                  <w:r w:rsidRPr="00CB1F25">
                    <w:rPr>
                      <w:rFonts w:eastAsiaTheme="minorHAnsi" w:cs="David" w:hint="cs"/>
                      <w:b/>
                      <w:bCs/>
                      <w:rtl/>
                      <w:lang w:eastAsia="en-US"/>
                    </w:rPr>
                    <w:t>ה</w:t>
                  </w:r>
                  <w:r w:rsidRPr="00CB1F25">
                    <w:rPr>
                      <w:rFonts w:eastAsiaTheme="minorHAnsi" w:cs="David"/>
                      <w:b/>
                      <w:bCs/>
                      <w:rtl/>
                      <w:lang w:eastAsia="en-US"/>
                    </w:rPr>
                    <w:t>דיווחים לפיקוח על הבנקים.</w:t>
                  </w:r>
                </w:p>
              </w:tc>
            </w:tr>
          </w:tbl>
          <w:p w:rsidR="00CB1F25" w:rsidRPr="00CB1F25" w:rsidRDefault="00CB1F25" w:rsidP="00CB1F25">
            <w:pPr>
              <w:bidi/>
              <w:jc w:val="center"/>
              <w:rPr>
                <w:rFonts w:eastAsiaTheme="minorHAnsi" w:cs="David"/>
                <w:rtl/>
                <w:lang w:eastAsia="en-US"/>
              </w:rPr>
            </w:pPr>
          </w:p>
        </w:tc>
      </w:tr>
      <w:tr w:rsidR="00CB1F25" w:rsidRPr="00CB1F25" w:rsidTr="00986D26">
        <w:tc>
          <w:tcPr>
            <w:tcW w:w="8522" w:type="dxa"/>
          </w:tcPr>
          <w:p w:rsidR="00CB1F25" w:rsidRPr="00CB1F25" w:rsidRDefault="00CB1F25" w:rsidP="00CB1F25">
            <w:pPr>
              <w:bidi/>
              <w:jc w:val="center"/>
              <w:rPr>
                <w:rFonts w:eastAsiaTheme="minorHAnsi" w:cs="David"/>
                <w:rtl/>
                <w:lang w:eastAsia="en-US"/>
              </w:rPr>
            </w:pPr>
          </w:p>
        </w:tc>
      </w:tr>
      <w:tr w:rsidR="00CB1F25" w:rsidRPr="00CB1F25" w:rsidTr="00986D26">
        <w:tc>
          <w:tcPr>
            <w:tcW w:w="8522" w:type="dxa"/>
          </w:tcPr>
          <w:p w:rsidR="00CB1F25" w:rsidRDefault="00CB1F25" w:rsidP="00CB1F25">
            <w:pPr>
              <w:bidi/>
              <w:spacing w:before="120"/>
              <w:jc w:val="center"/>
              <w:rPr>
                <w:rFonts w:eastAsiaTheme="minorHAnsi" w:cs="David"/>
                <w:b/>
                <w:bCs/>
                <w:sz w:val="24"/>
                <w:szCs w:val="24"/>
                <w:rtl/>
                <w:lang w:eastAsia="en-US"/>
              </w:rPr>
            </w:pPr>
          </w:p>
          <w:p w:rsidR="00CB1F25" w:rsidRPr="00CB1F25" w:rsidRDefault="00CB1F25" w:rsidP="00CB1F25">
            <w:pPr>
              <w:bidi/>
              <w:spacing w:before="120"/>
              <w:jc w:val="center"/>
              <w:rPr>
                <w:rFonts w:eastAsiaTheme="minorHAnsi" w:cs="David"/>
                <w:b/>
                <w:bCs/>
                <w:sz w:val="24"/>
                <w:szCs w:val="24"/>
                <w:rtl/>
                <w:lang w:eastAsia="en-US"/>
              </w:rPr>
            </w:pPr>
            <w:r w:rsidRPr="00CB1F25">
              <w:rPr>
                <w:rFonts w:eastAsiaTheme="minorHAnsi" w:cs="David"/>
                <w:b/>
                <w:bCs/>
                <w:sz w:val="24"/>
                <w:szCs w:val="24"/>
                <w:rtl/>
                <w:lang w:eastAsia="en-US"/>
              </w:rPr>
              <w:lastRenderedPageBreak/>
              <w:t xml:space="preserve">איור </w:t>
            </w:r>
            <w:r w:rsidRPr="00CB1F25">
              <w:rPr>
                <w:rFonts w:eastAsiaTheme="minorHAnsi" w:cs="David" w:hint="cs"/>
                <w:b/>
                <w:bCs/>
                <w:sz w:val="24"/>
                <w:szCs w:val="24"/>
                <w:rtl/>
                <w:lang w:eastAsia="en-US"/>
              </w:rPr>
              <w:t>3</w:t>
            </w:r>
          </w:p>
          <w:p w:rsidR="00CB1F25" w:rsidRPr="00CB1F25" w:rsidRDefault="00CB1F25" w:rsidP="00CB1F25">
            <w:pPr>
              <w:bidi/>
              <w:jc w:val="center"/>
              <w:rPr>
                <w:rFonts w:eastAsiaTheme="minorHAnsi" w:cs="David"/>
                <w:b/>
                <w:bCs/>
                <w:sz w:val="24"/>
                <w:szCs w:val="24"/>
                <w:rtl/>
                <w:lang w:eastAsia="en-US"/>
              </w:rPr>
            </w:pPr>
            <w:r w:rsidRPr="00CB1F25">
              <w:rPr>
                <w:rFonts w:eastAsiaTheme="minorHAnsi" w:cs="David" w:hint="cs"/>
                <w:b/>
                <w:bCs/>
                <w:sz w:val="24"/>
                <w:szCs w:val="24"/>
                <w:rtl/>
                <w:lang w:eastAsia="en-US"/>
              </w:rPr>
              <w:t>משקל ההלוואות למטרת מגורים בריבית משתנה</w:t>
            </w:r>
            <w:r w:rsidRPr="00CB1F25">
              <w:rPr>
                <w:rFonts w:eastAsiaTheme="minorHAnsi" w:cs="David" w:hint="cs"/>
                <w:b/>
                <w:bCs/>
                <w:sz w:val="24"/>
                <w:szCs w:val="24"/>
                <w:vertAlign w:val="superscript"/>
                <w:rtl/>
                <w:lang w:eastAsia="en-US"/>
              </w:rPr>
              <w:t>1</w:t>
            </w:r>
            <w:r w:rsidRPr="00CB1F25">
              <w:rPr>
                <w:rFonts w:eastAsiaTheme="minorHAnsi" w:cs="David"/>
                <w:b/>
                <w:bCs/>
                <w:sz w:val="24"/>
                <w:szCs w:val="24"/>
                <w:rtl/>
                <w:lang w:eastAsia="en-US"/>
              </w:rPr>
              <w:t xml:space="preserve">, </w:t>
            </w:r>
            <w:r w:rsidRPr="00CB1F25">
              <w:rPr>
                <w:rFonts w:eastAsiaTheme="minorHAnsi" w:cs="David" w:hint="cs"/>
                <w:b/>
                <w:bCs/>
                <w:sz w:val="24"/>
                <w:szCs w:val="24"/>
                <w:rtl/>
                <w:lang w:eastAsia="en-US"/>
              </w:rPr>
              <w:t>סך המערכת הבנקאית,</w:t>
            </w:r>
          </w:p>
          <w:p w:rsidR="00CB1F25" w:rsidRPr="00CB1F25" w:rsidRDefault="00CB1F25" w:rsidP="00CB1F25">
            <w:pPr>
              <w:bidi/>
              <w:jc w:val="center"/>
              <w:rPr>
                <w:rFonts w:eastAsiaTheme="minorHAnsi" w:cs="David"/>
                <w:rtl/>
                <w:lang w:eastAsia="en-US"/>
              </w:rPr>
            </w:pPr>
            <w:r w:rsidRPr="00CB1F25">
              <w:rPr>
                <w:rFonts w:eastAsiaTheme="minorHAnsi" w:cs="David" w:hint="cs"/>
                <w:b/>
                <w:bCs/>
                <w:sz w:val="24"/>
                <w:szCs w:val="24"/>
                <w:rtl/>
                <w:lang w:eastAsia="en-US"/>
              </w:rPr>
              <w:t>ינואר</w:t>
            </w:r>
            <w:r w:rsidRPr="00CB1F25">
              <w:rPr>
                <w:rFonts w:eastAsiaTheme="minorHAnsi" w:cs="David"/>
                <w:b/>
                <w:bCs/>
                <w:sz w:val="24"/>
                <w:szCs w:val="24"/>
                <w:rtl/>
                <w:lang w:eastAsia="en-US"/>
              </w:rPr>
              <w:t xml:space="preserve"> 20</w:t>
            </w:r>
            <w:r w:rsidRPr="00CB1F25">
              <w:rPr>
                <w:rFonts w:eastAsiaTheme="minorHAnsi" w:cs="David" w:hint="cs"/>
                <w:b/>
                <w:bCs/>
                <w:sz w:val="24"/>
                <w:szCs w:val="24"/>
                <w:rtl/>
                <w:lang w:eastAsia="en-US"/>
              </w:rPr>
              <w:t>04</w:t>
            </w:r>
            <w:r w:rsidRPr="00CB1F25">
              <w:rPr>
                <w:rFonts w:eastAsiaTheme="minorHAnsi" w:cs="David"/>
                <w:b/>
                <w:bCs/>
                <w:sz w:val="24"/>
                <w:szCs w:val="24"/>
                <w:rtl/>
                <w:lang w:eastAsia="en-US"/>
              </w:rPr>
              <w:t xml:space="preserve"> עד </w:t>
            </w:r>
            <w:r w:rsidRPr="00CB1F25">
              <w:rPr>
                <w:rFonts w:eastAsiaTheme="minorHAnsi" w:cs="David" w:hint="cs"/>
                <w:b/>
                <w:bCs/>
                <w:sz w:val="24"/>
                <w:szCs w:val="24"/>
                <w:rtl/>
                <w:lang w:eastAsia="en-US"/>
              </w:rPr>
              <w:t>יוני</w:t>
            </w:r>
            <w:r w:rsidRPr="00CB1F25">
              <w:rPr>
                <w:rFonts w:eastAsiaTheme="minorHAnsi" w:cs="David"/>
                <w:b/>
                <w:bCs/>
                <w:sz w:val="24"/>
                <w:szCs w:val="24"/>
                <w:rtl/>
                <w:lang w:eastAsia="en-US"/>
              </w:rPr>
              <w:t xml:space="preserve"> </w:t>
            </w:r>
            <w:r w:rsidRPr="00CB1F25">
              <w:rPr>
                <w:rFonts w:eastAsiaTheme="minorHAnsi" w:cs="David" w:hint="cs"/>
                <w:b/>
                <w:bCs/>
                <w:sz w:val="24"/>
                <w:szCs w:val="24"/>
                <w:rtl/>
                <w:lang w:eastAsia="en-US"/>
              </w:rPr>
              <w:t>2013</w:t>
            </w:r>
          </w:p>
        </w:tc>
      </w:tr>
      <w:tr w:rsidR="00CB1F25" w:rsidRPr="00CB1F25" w:rsidTr="00986D26">
        <w:tc>
          <w:tcPr>
            <w:tcW w:w="8522" w:type="dxa"/>
          </w:tcPr>
          <w:p w:rsidR="00CB1F25" w:rsidRPr="00CB1F25" w:rsidRDefault="00CB1F25" w:rsidP="00CB1F25">
            <w:pPr>
              <w:bidi/>
              <w:jc w:val="center"/>
              <w:rPr>
                <w:rFonts w:eastAsiaTheme="minorHAnsi" w:cs="David"/>
                <w:rtl/>
                <w:lang w:eastAsia="en-US"/>
              </w:rPr>
            </w:pPr>
            <w:r w:rsidRPr="00CB1F25">
              <w:rPr>
                <w:rFonts w:eastAsiaTheme="minorHAnsi" w:cs="David" w:hint="cs"/>
                <w:noProof/>
                <w:sz w:val="24"/>
                <w:szCs w:val="24"/>
                <w:rtl/>
                <w:lang w:eastAsia="en-US"/>
              </w:rPr>
              <w:lastRenderedPageBreak/>
              <w:drawing>
                <wp:inline distT="0" distB="0" distL="0" distR="0" wp14:anchorId="7667D993" wp14:editId="0912E167">
                  <wp:extent cx="5264785" cy="3435985"/>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4785" cy="3435985"/>
                          </a:xfrm>
                          <a:prstGeom prst="rect">
                            <a:avLst/>
                          </a:prstGeom>
                          <a:noFill/>
                          <a:ln>
                            <a:noFill/>
                          </a:ln>
                        </pic:spPr>
                      </pic:pic>
                    </a:graphicData>
                  </a:graphic>
                </wp:inline>
              </w:drawing>
            </w:r>
          </w:p>
        </w:tc>
      </w:tr>
      <w:tr w:rsidR="00CB1F25" w:rsidRPr="00CB1F25" w:rsidTr="00986D26">
        <w:tc>
          <w:tcPr>
            <w:tcW w:w="8522" w:type="dxa"/>
          </w:tcPr>
          <w:p w:rsidR="00CB1F25" w:rsidRPr="00CB1F25" w:rsidRDefault="00CB1F25" w:rsidP="00CB1F25">
            <w:pPr>
              <w:tabs>
                <w:tab w:val="left" w:pos="226"/>
              </w:tabs>
              <w:bidi/>
              <w:ind w:left="226"/>
              <w:jc w:val="both"/>
              <w:rPr>
                <w:rFonts w:eastAsiaTheme="minorHAnsi" w:cs="David"/>
                <w:b/>
                <w:bCs/>
                <w:rtl/>
                <w:lang w:eastAsia="en-US"/>
              </w:rPr>
            </w:pPr>
            <w:r w:rsidRPr="00CB1F25">
              <w:rPr>
                <w:rFonts w:eastAsiaTheme="minorHAnsi" w:cs="David" w:hint="cs"/>
                <w:b/>
                <w:bCs/>
                <w:rtl/>
                <w:lang w:eastAsia="en-US"/>
              </w:rPr>
              <w:t>1) כולל: הלוואות לא צמודות בריבית משתנה והלוואות צמודות בריבית משתנה (לרבות 5 שנים ומעלה), וללא הלוואות במט"ח בריבית משתנה.</w:t>
            </w:r>
          </w:p>
          <w:p w:rsidR="00CB1F25" w:rsidRPr="00CB1F25" w:rsidRDefault="00CB1F25" w:rsidP="00CB1F25">
            <w:pPr>
              <w:tabs>
                <w:tab w:val="left" w:pos="226"/>
              </w:tabs>
              <w:bidi/>
              <w:ind w:left="226"/>
              <w:jc w:val="both"/>
              <w:rPr>
                <w:rFonts w:eastAsiaTheme="minorHAnsi" w:cs="David"/>
                <w:b/>
                <w:bCs/>
                <w:highlight w:val="yellow"/>
                <w:rtl/>
                <w:lang w:eastAsia="en-US"/>
              </w:rPr>
            </w:pPr>
            <w:r w:rsidRPr="00CB1F25">
              <w:rPr>
                <w:rFonts w:eastAsiaTheme="minorHAnsi" w:cs="David"/>
                <w:b/>
                <w:bCs/>
                <w:rtl/>
                <w:lang w:eastAsia="en-US"/>
              </w:rPr>
              <w:t>המקור: דיווחים לפיקוח על הבנקים.</w:t>
            </w:r>
          </w:p>
          <w:p w:rsidR="00CB1F25" w:rsidRPr="00CB1F25" w:rsidRDefault="00CB1F25" w:rsidP="00CB1F25">
            <w:pPr>
              <w:tabs>
                <w:tab w:val="left" w:pos="226"/>
              </w:tabs>
              <w:bidi/>
              <w:ind w:left="226"/>
              <w:jc w:val="both"/>
              <w:rPr>
                <w:rFonts w:eastAsiaTheme="minorHAnsi" w:cs="David"/>
                <w:b/>
                <w:bCs/>
                <w:highlight w:val="yellow"/>
                <w:rtl/>
                <w:lang w:eastAsia="en-US"/>
              </w:rPr>
            </w:pPr>
          </w:p>
          <w:p w:rsidR="00CB1F25" w:rsidRPr="00CB1F25" w:rsidRDefault="00CB1F25" w:rsidP="00CB1F25">
            <w:pPr>
              <w:bidi/>
              <w:spacing w:before="120"/>
              <w:jc w:val="center"/>
              <w:rPr>
                <w:rFonts w:eastAsiaTheme="minorHAnsi" w:cs="David"/>
                <w:b/>
                <w:bCs/>
                <w:sz w:val="24"/>
                <w:szCs w:val="24"/>
                <w:rtl/>
                <w:lang w:eastAsia="en-US"/>
              </w:rPr>
            </w:pPr>
            <w:r w:rsidRPr="00CB1F25">
              <w:rPr>
                <w:rFonts w:eastAsiaTheme="minorHAnsi" w:cs="David"/>
                <w:b/>
                <w:bCs/>
                <w:sz w:val="24"/>
                <w:szCs w:val="24"/>
                <w:rtl/>
                <w:lang w:eastAsia="en-US"/>
              </w:rPr>
              <w:t xml:space="preserve">איור </w:t>
            </w:r>
            <w:r w:rsidRPr="00CB1F25">
              <w:rPr>
                <w:rFonts w:eastAsiaTheme="minorHAnsi" w:cs="David" w:hint="cs"/>
                <w:b/>
                <w:bCs/>
                <w:sz w:val="24"/>
                <w:szCs w:val="24"/>
                <w:rtl/>
                <w:lang w:eastAsia="en-US"/>
              </w:rPr>
              <w:t>4</w:t>
            </w:r>
          </w:p>
          <w:p w:rsidR="00CB1F25" w:rsidRPr="00CB1F25" w:rsidRDefault="00CB1F25" w:rsidP="00CB1F25">
            <w:pPr>
              <w:bidi/>
              <w:jc w:val="center"/>
              <w:rPr>
                <w:rFonts w:eastAsiaTheme="minorHAnsi" w:cs="David"/>
                <w:b/>
                <w:bCs/>
                <w:sz w:val="24"/>
                <w:szCs w:val="24"/>
                <w:rtl/>
                <w:lang w:eastAsia="en-US"/>
              </w:rPr>
            </w:pPr>
            <w:r w:rsidRPr="00CB1F25">
              <w:rPr>
                <w:rFonts w:eastAsiaTheme="minorHAnsi" w:cs="David" w:hint="cs"/>
                <w:b/>
                <w:bCs/>
                <w:sz w:val="24"/>
                <w:szCs w:val="24"/>
                <w:rtl/>
                <w:lang w:eastAsia="en-US"/>
              </w:rPr>
              <w:t>היחס שבין יתרת ההלוואות למטרת מגורים להכנסה פנויה</w:t>
            </w:r>
            <w:r w:rsidRPr="00CB1F25">
              <w:rPr>
                <w:rFonts w:eastAsiaTheme="minorHAnsi" w:cs="David"/>
                <w:b/>
                <w:bCs/>
                <w:sz w:val="24"/>
                <w:szCs w:val="24"/>
                <w:rtl/>
                <w:lang w:eastAsia="en-US"/>
              </w:rPr>
              <w:t xml:space="preserve">, </w:t>
            </w:r>
            <w:r w:rsidRPr="00CB1F25">
              <w:rPr>
                <w:rFonts w:eastAsiaTheme="minorHAnsi" w:cs="David" w:hint="cs"/>
                <w:b/>
                <w:bCs/>
                <w:sz w:val="24"/>
                <w:szCs w:val="24"/>
                <w:rtl/>
                <w:lang w:eastAsia="en-US"/>
              </w:rPr>
              <w:t>סך המערכת הבנקאית,</w:t>
            </w:r>
          </w:p>
          <w:p w:rsidR="00CB1F25" w:rsidRPr="00CB1F25" w:rsidRDefault="00CB1F25" w:rsidP="00CB1F25">
            <w:pPr>
              <w:tabs>
                <w:tab w:val="left" w:pos="226"/>
              </w:tabs>
              <w:bidi/>
              <w:ind w:left="226"/>
              <w:jc w:val="center"/>
              <w:rPr>
                <w:rFonts w:eastAsiaTheme="minorHAnsi" w:cs="David"/>
                <w:b/>
                <w:bCs/>
                <w:highlight w:val="yellow"/>
                <w:lang w:eastAsia="en-US"/>
              </w:rPr>
            </w:pPr>
            <w:r w:rsidRPr="00CB1F25">
              <w:rPr>
                <w:rFonts w:eastAsiaTheme="minorHAnsi" w:cs="David"/>
                <w:b/>
                <w:bCs/>
                <w:sz w:val="24"/>
                <w:szCs w:val="24"/>
                <w:rtl/>
                <w:lang w:eastAsia="en-US"/>
              </w:rPr>
              <w:t>20</w:t>
            </w:r>
            <w:r w:rsidRPr="00CB1F25">
              <w:rPr>
                <w:rFonts w:eastAsiaTheme="minorHAnsi" w:cs="David" w:hint="cs"/>
                <w:b/>
                <w:bCs/>
                <w:sz w:val="24"/>
                <w:szCs w:val="24"/>
                <w:rtl/>
                <w:lang w:eastAsia="en-US"/>
              </w:rPr>
              <w:t>04</w:t>
            </w:r>
            <w:r w:rsidRPr="00CB1F25">
              <w:rPr>
                <w:rFonts w:eastAsiaTheme="minorHAnsi" w:cs="David"/>
                <w:b/>
                <w:bCs/>
                <w:sz w:val="24"/>
                <w:szCs w:val="24"/>
                <w:rtl/>
                <w:lang w:eastAsia="en-US"/>
              </w:rPr>
              <w:t xml:space="preserve"> עד 201</w:t>
            </w:r>
            <w:r w:rsidRPr="00CB1F25">
              <w:rPr>
                <w:rFonts w:eastAsiaTheme="minorHAnsi" w:cs="David" w:hint="cs"/>
                <w:b/>
                <w:bCs/>
                <w:sz w:val="24"/>
                <w:szCs w:val="24"/>
                <w:rtl/>
                <w:lang w:eastAsia="en-US"/>
              </w:rPr>
              <w:t>2</w:t>
            </w:r>
          </w:p>
        </w:tc>
      </w:tr>
    </w:tbl>
    <w:p w:rsidR="00CB1F25" w:rsidRPr="00CB1F25" w:rsidRDefault="00CB1F25" w:rsidP="00CB1F25">
      <w:pPr>
        <w:bidi/>
        <w:spacing w:line="360" w:lineRule="auto"/>
        <w:jc w:val="both"/>
        <w:rPr>
          <w:rFonts w:eastAsiaTheme="minorHAnsi" w:cs="David"/>
          <w:sz w:val="24"/>
          <w:szCs w:val="24"/>
          <w:rtl/>
          <w:lang w:eastAsia="en-US"/>
        </w:rPr>
      </w:pPr>
      <w:r w:rsidRPr="00CB1F25">
        <w:rPr>
          <w:rFonts w:eastAsiaTheme="minorHAnsi" w:cs="David" w:hint="cs"/>
          <w:noProof/>
          <w:sz w:val="24"/>
          <w:szCs w:val="24"/>
          <w:rtl/>
          <w:lang w:eastAsia="en-US"/>
        </w:rPr>
        <w:drawing>
          <wp:inline distT="0" distB="0" distL="0" distR="0" wp14:anchorId="345DEFC8" wp14:editId="12C48A73">
            <wp:extent cx="5274310" cy="3434083"/>
            <wp:effectExtent l="0" t="0" r="254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3434083"/>
                    </a:xfrm>
                    <a:prstGeom prst="rect">
                      <a:avLst/>
                    </a:prstGeom>
                    <a:noFill/>
                    <a:ln>
                      <a:noFill/>
                    </a:ln>
                  </pic:spPr>
                </pic:pic>
              </a:graphicData>
            </a:graphic>
          </wp:inline>
        </w:drawing>
      </w:r>
    </w:p>
    <w:tbl>
      <w:tblPr>
        <w:bidiVisual/>
        <w:tblW w:w="0" w:type="auto"/>
        <w:tblLook w:val="01E0" w:firstRow="1" w:lastRow="1" w:firstColumn="1" w:lastColumn="1" w:noHBand="0" w:noVBand="0"/>
      </w:tblPr>
      <w:tblGrid>
        <w:gridCol w:w="8522"/>
      </w:tblGrid>
      <w:tr w:rsidR="00CB1F25" w:rsidRPr="00CB1F25" w:rsidTr="00986D26">
        <w:tc>
          <w:tcPr>
            <w:tcW w:w="8937" w:type="dxa"/>
          </w:tcPr>
          <w:p w:rsidR="00CB1F25" w:rsidRPr="00CB1F25" w:rsidRDefault="00CB1F25" w:rsidP="00CB1F25">
            <w:pPr>
              <w:tabs>
                <w:tab w:val="left" w:pos="226"/>
              </w:tabs>
              <w:bidi/>
              <w:ind w:left="226"/>
              <w:jc w:val="both"/>
              <w:rPr>
                <w:rFonts w:eastAsiaTheme="minorHAnsi" w:cs="David"/>
                <w:b/>
                <w:bCs/>
                <w:highlight w:val="yellow"/>
                <w:lang w:eastAsia="en-US"/>
              </w:rPr>
            </w:pPr>
            <w:r w:rsidRPr="00CB1F25">
              <w:rPr>
                <w:rFonts w:eastAsiaTheme="minorHAnsi" w:cs="David"/>
                <w:b/>
                <w:bCs/>
                <w:rtl/>
                <w:lang w:eastAsia="en-US"/>
              </w:rPr>
              <w:t xml:space="preserve">המקור: </w:t>
            </w:r>
            <w:r w:rsidRPr="00CB1F25">
              <w:rPr>
                <w:rFonts w:eastAsiaTheme="minorHAnsi" w:cs="David" w:hint="cs"/>
                <w:b/>
                <w:bCs/>
                <w:rtl/>
                <w:lang w:eastAsia="en-US"/>
              </w:rPr>
              <w:t>הלשכה המרכזית לסטטיסטיקה וה</w:t>
            </w:r>
            <w:r w:rsidRPr="00CB1F25">
              <w:rPr>
                <w:rFonts w:eastAsiaTheme="minorHAnsi" w:cs="David"/>
                <w:b/>
                <w:bCs/>
                <w:rtl/>
                <w:lang w:eastAsia="en-US"/>
              </w:rPr>
              <w:t>דיווחים לפיקוח על הבנקים.</w:t>
            </w:r>
          </w:p>
        </w:tc>
      </w:tr>
    </w:tbl>
    <w:p w:rsidR="00FE034E" w:rsidRDefault="00FE034E" w:rsidP="007E18EE">
      <w:pPr>
        <w:bidi/>
        <w:rPr>
          <w:rtl/>
        </w:rPr>
      </w:pPr>
    </w:p>
    <w:sectPr w:rsidR="00FE034E" w:rsidSect="00AE591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9" w:rsidRDefault="004C3F7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141253"/>
      <w:docPartObj>
        <w:docPartGallery w:val="Page Numbers (Bottom of Page)"/>
        <w:docPartUnique/>
      </w:docPartObj>
    </w:sdtPr>
    <w:sdtEndPr/>
    <w:sdtContent>
      <w:p w:rsidR="00C04A6B" w:rsidRDefault="00C04A6B">
        <w:pPr>
          <w:pStyle w:val="a7"/>
        </w:pPr>
        <w:r>
          <w:rPr>
            <w:noProof/>
            <w:rtl/>
            <w:lang w:eastAsia="en-US"/>
          </w:rPr>
          <mc:AlternateContent>
            <mc:Choice Requires="wps">
              <w:drawing>
                <wp:anchor distT="0" distB="0" distL="114300" distR="114300" simplePos="0" relativeHeight="251659264" behindDoc="0" locked="0" layoutInCell="1" allowOverlap="1" wp14:anchorId="65410E8D" wp14:editId="0BD8188F">
                  <wp:simplePos x="0" y="0"/>
                  <wp:positionH relativeFrom="leftMargin">
                    <wp:align>center</wp:align>
                  </wp:positionH>
                  <wp:positionV relativeFrom="bottomMargin">
                    <wp:align>center</wp:align>
                  </wp:positionV>
                  <wp:extent cx="565785" cy="191770"/>
                  <wp:effectExtent l="0" t="0" r="0" b="0"/>
                  <wp:wrapNone/>
                  <wp:docPr id="650" name="מלבן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04A6B" w:rsidRDefault="00C04A6B">
                              <w:pPr>
                                <w:pBdr>
                                  <w:top w:val="single" w:sz="4" w:space="1" w:color="7F7F7F" w:themeColor="background1" w:themeShade="7F"/>
                                </w:pBdr>
                                <w:jc w:val="center"/>
                                <w:rPr>
                                  <w:color w:val="C0504D" w:themeColor="accent2"/>
                                  <w:rtl/>
                                  <w:cs/>
                                </w:rPr>
                              </w:pPr>
                              <w:r>
                                <w:fldChar w:fldCharType="begin"/>
                              </w:r>
                              <w:r>
                                <w:rPr>
                                  <w:rtl/>
                                  <w:cs/>
                                </w:rPr>
                                <w:instrText>PAGE   \* MERGEFORMAT</w:instrText>
                              </w:r>
                              <w:r>
                                <w:fldChar w:fldCharType="separate"/>
                              </w:r>
                              <w:r w:rsidR="004C3F79" w:rsidRPr="004C3F79">
                                <w:rPr>
                                  <w:rFonts w:cs="Times New Roman"/>
                                  <w:noProof/>
                                  <w:color w:val="C0504D" w:themeColor="accent2"/>
                                  <w:lang w:val="he-IL"/>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מלבן 650" o:spid="_x0000_s1026" style="position:absolute;margin-left:0;margin-top:0;width:44.55pt;height:15.1pt;rotation:180;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" filled="f" fillcolor="#c0504d" stroked="f" strokecolor="#5c83b4" strokeweight="2.25pt">
                  <v:textbox inset=",0,,0">
                    <w:txbxContent>
                      <w:p w:rsidR="00C04A6B" w:rsidRDefault="00C04A6B">
                        <w:pPr>
                          <w:pBdr>
                            <w:top w:val="single" w:sz="4" w:space="1" w:color="7F7F7F" w:themeColor="background1" w:themeShade="7F"/>
                          </w:pBdr>
                          <w:jc w:val="center"/>
                          <w:rPr>
                            <w:color w:val="C0504D" w:themeColor="accent2"/>
                            <w:rtl/>
                            <w:cs/>
                          </w:rPr>
                        </w:pPr>
                        <w:r>
                          <w:fldChar w:fldCharType="begin"/>
                        </w:r>
                        <w:r>
                          <w:rPr>
                            <w:rtl/>
                            <w:cs/>
                          </w:rPr>
                          <w:instrText>PAGE   \* MERGEFORMAT</w:instrText>
                        </w:r>
                        <w:r>
                          <w:fldChar w:fldCharType="separate"/>
                        </w:r>
                        <w:r w:rsidR="004C3F79" w:rsidRPr="004C3F79">
                          <w:rPr>
                            <w:rFonts w:cs="Times New Roman"/>
                            <w:noProof/>
                            <w:color w:val="C0504D" w:themeColor="accent2"/>
                            <w:lang w:val="he-IL"/>
                          </w:rPr>
                          <w:t>2</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9" w:rsidRDefault="004C3F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9" w:rsidRDefault="004C3F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9" w:rsidRDefault="004C3F7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9" w:rsidRDefault="004C3F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72EE9"/>
    <w:multiLevelType w:val="hybridMultilevel"/>
    <w:tmpl w:val="46E2C4F0"/>
    <w:lvl w:ilvl="0" w:tplc="9DC87D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E5A00"/>
    <w:rsid w:val="002B3FB0"/>
    <w:rsid w:val="004B5D8D"/>
    <w:rsid w:val="004C3F79"/>
    <w:rsid w:val="004F06E0"/>
    <w:rsid w:val="00502068"/>
    <w:rsid w:val="007E18EE"/>
    <w:rsid w:val="00963547"/>
    <w:rsid w:val="009C16BD"/>
    <w:rsid w:val="00AB409F"/>
    <w:rsid w:val="00AD759C"/>
    <w:rsid w:val="00AE591E"/>
    <w:rsid w:val="00B2503D"/>
    <w:rsid w:val="00C04A6B"/>
    <w:rsid w:val="00C45C9C"/>
    <w:rsid w:val="00CB1B2B"/>
    <w:rsid w:val="00CB1F25"/>
    <w:rsid w:val="00D87DC1"/>
    <w:rsid w:val="00DD5923"/>
    <w:rsid w:val="00E85E11"/>
    <w:rsid w:val="00ED153D"/>
    <w:rsid w:val="00F96916"/>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443E5-2104-429E-9A22-DC2500FB3EB1}"/>
</file>

<file path=customXml/itemProps2.xml><?xml version="1.0" encoding="utf-8"?>
<ds:datastoreItem xmlns:ds="http://schemas.openxmlformats.org/officeDocument/2006/customXml" ds:itemID="{BE1543E7-EF49-4A2B-8813-E35258DA2D3D}"/>
</file>

<file path=customXml/itemProps3.xml><?xml version="1.0" encoding="utf-8"?>
<ds:datastoreItem xmlns:ds="http://schemas.openxmlformats.org/officeDocument/2006/customXml" ds:itemID="{EBCD5517-6F5E-4500-BAB8-823E4F484471}"/>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2710</Characters>
  <Application>Microsoft Office Word</Application>
  <DocSecurity>0</DocSecurity>
  <Lines>22</Lines>
  <Paragraphs>6</Paragraphs>
  <ScaleCrop>false</ScaleCrop>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2013-08-21T08:26:00Z</dcterms:created>
  <dcterms:modified xsi:type="dcterms:W3CDTF">2013-08-21T08:27:00Z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