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EB1AF6" w:rsidRPr="00F0374B" w:rsidTr="00065BF6">
        <w:tc>
          <w:tcPr>
            <w:tcW w:w="2840" w:type="dxa"/>
            <w:tcBorders>
              <w:top w:val="nil"/>
              <w:left w:val="nil"/>
              <w:bottom w:val="nil"/>
              <w:right w:val="nil"/>
            </w:tcBorders>
            <w:vAlign w:val="center"/>
          </w:tcPr>
          <w:p w:rsidR="00EB1AF6" w:rsidRPr="00C004D3" w:rsidRDefault="00EB1AF6" w:rsidP="00065BF6">
            <w:pPr>
              <w:tabs>
                <w:tab w:val="left" w:pos="567"/>
                <w:tab w:val="left" w:pos="1134"/>
                <w:tab w:val="left" w:pos="1814"/>
                <w:tab w:val="left" w:pos="2665"/>
              </w:tabs>
              <w:spacing w:line="360" w:lineRule="auto"/>
              <w:jc w:val="center"/>
              <w:rPr>
                <w:rFonts w:cs="David"/>
                <w:b/>
                <w:bCs/>
                <w:sz w:val="28"/>
                <w:szCs w:val="28"/>
              </w:rPr>
            </w:pPr>
            <w:r w:rsidRPr="00C004D3">
              <w:rPr>
                <w:rFonts w:cs="David"/>
                <w:b/>
                <w:bCs/>
                <w:sz w:val="28"/>
                <w:szCs w:val="28"/>
                <w:rtl/>
              </w:rPr>
              <w:t>בנק ישראל</w:t>
            </w:r>
          </w:p>
          <w:p w:rsidR="00EB1AF6" w:rsidRPr="00C004D3" w:rsidRDefault="00EB1AF6" w:rsidP="00065BF6">
            <w:pPr>
              <w:tabs>
                <w:tab w:val="left" w:pos="567"/>
                <w:tab w:val="left" w:pos="1134"/>
                <w:tab w:val="left" w:pos="1814"/>
                <w:tab w:val="left" w:pos="2665"/>
              </w:tabs>
              <w:spacing w:line="360" w:lineRule="auto"/>
              <w:ind w:right="-101"/>
              <w:jc w:val="center"/>
              <w:rPr>
                <w:rFonts w:cs="David"/>
              </w:rPr>
            </w:pPr>
            <w:r w:rsidRPr="00F0374B">
              <w:rPr>
                <w:rFonts w:cs="David"/>
                <w:sz w:val="24"/>
                <w:szCs w:val="24"/>
                <w:rtl/>
              </w:rPr>
              <w:t>דוברות והסברה כלכלית</w:t>
            </w:r>
          </w:p>
        </w:tc>
        <w:tc>
          <w:tcPr>
            <w:tcW w:w="2596" w:type="dxa"/>
            <w:tcBorders>
              <w:top w:val="nil"/>
              <w:left w:val="nil"/>
              <w:bottom w:val="nil"/>
              <w:right w:val="nil"/>
            </w:tcBorders>
          </w:tcPr>
          <w:p w:rsidR="00EB1AF6" w:rsidRPr="00C004D3" w:rsidRDefault="00EB1AF6" w:rsidP="00065BF6">
            <w:pPr>
              <w:tabs>
                <w:tab w:val="left" w:pos="567"/>
                <w:tab w:val="left" w:pos="1134"/>
                <w:tab w:val="left" w:pos="1814"/>
                <w:tab w:val="left" w:pos="2665"/>
              </w:tabs>
              <w:spacing w:line="360" w:lineRule="auto"/>
              <w:jc w:val="center"/>
              <w:rPr>
                <w:rFonts w:cs="David"/>
              </w:rPr>
            </w:pPr>
            <w:r>
              <w:rPr>
                <w:rFonts w:cs="David"/>
                <w:noProof/>
              </w:rPr>
              <w:drawing>
                <wp:inline distT="0" distB="0" distL="0" distR="0" wp14:anchorId="65779EA9" wp14:editId="390EAA3D">
                  <wp:extent cx="779145" cy="715645"/>
                  <wp:effectExtent l="0" t="0" r="1905" b="8255"/>
                  <wp:docPr id="2" name="תמונה 2" descr="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לוגו בנק ישראל"/>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9145" cy="71564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EB1AF6" w:rsidRPr="00F0374B" w:rsidRDefault="00EB1AF6" w:rsidP="00EB1AF6">
            <w:pPr>
              <w:tabs>
                <w:tab w:val="left" w:pos="567"/>
                <w:tab w:val="left" w:pos="1134"/>
                <w:tab w:val="left" w:pos="1814"/>
                <w:tab w:val="left" w:pos="2665"/>
              </w:tabs>
              <w:bidi w:val="0"/>
              <w:spacing w:line="480" w:lineRule="auto"/>
              <w:rPr>
                <w:rFonts w:cs="David"/>
                <w:sz w:val="24"/>
                <w:szCs w:val="24"/>
                <w:rtl/>
              </w:rPr>
            </w:pPr>
            <w:r w:rsidRPr="00F0374B">
              <w:rPr>
                <w:rFonts w:cs="David" w:hint="eastAsia"/>
                <w:sz w:val="24"/>
                <w:szCs w:val="24"/>
                <w:rtl/>
              </w:rPr>
              <w:t>‏</w:t>
            </w:r>
            <w:r w:rsidRPr="00F0374B">
              <w:rPr>
                <w:rFonts w:cs="David"/>
                <w:sz w:val="24"/>
                <w:szCs w:val="24"/>
                <w:rtl/>
              </w:rPr>
              <w:t>ירושלים, כ</w:t>
            </w:r>
            <w:r w:rsidRPr="00F0374B">
              <w:rPr>
                <w:rFonts w:cs="David" w:hint="cs"/>
                <w:sz w:val="24"/>
                <w:szCs w:val="24"/>
                <w:rtl/>
              </w:rPr>
              <w:t>"</w:t>
            </w:r>
            <w:r>
              <w:rPr>
                <w:rFonts w:cs="David" w:hint="cs"/>
                <w:sz w:val="24"/>
                <w:szCs w:val="24"/>
                <w:rtl/>
              </w:rPr>
              <w:t>ד</w:t>
            </w:r>
            <w:r w:rsidRPr="00F0374B">
              <w:rPr>
                <w:rFonts w:cs="David"/>
                <w:sz w:val="24"/>
                <w:szCs w:val="24"/>
                <w:rtl/>
              </w:rPr>
              <w:t xml:space="preserve"> ב</w:t>
            </w:r>
            <w:r w:rsidRPr="00F0374B">
              <w:rPr>
                <w:rFonts w:cs="David" w:hint="cs"/>
                <w:sz w:val="24"/>
                <w:szCs w:val="24"/>
                <w:rtl/>
              </w:rPr>
              <w:t>אלול</w:t>
            </w:r>
            <w:r w:rsidRPr="00F0374B">
              <w:rPr>
                <w:rFonts w:cs="David"/>
                <w:sz w:val="24"/>
                <w:szCs w:val="24"/>
                <w:rtl/>
              </w:rPr>
              <w:t>, תשע"ט</w:t>
            </w:r>
          </w:p>
          <w:p w:rsidR="00EB1AF6" w:rsidRPr="00F0374B" w:rsidRDefault="00EB1AF6" w:rsidP="00EB1AF6">
            <w:pPr>
              <w:tabs>
                <w:tab w:val="left" w:pos="567"/>
                <w:tab w:val="left" w:pos="1134"/>
                <w:tab w:val="left" w:pos="1814"/>
                <w:tab w:val="left" w:pos="2665"/>
              </w:tabs>
              <w:bidi w:val="0"/>
              <w:spacing w:line="480" w:lineRule="auto"/>
              <w:rPr>
                <w:rFonts w:cs="David"/>
                <w:sz w:val="24"/>
                <w:szCs w:val="24"/>
              </w:rPr>
            </w:pPr>
            <w:r w:rsidRPr="00F0374B">
              <w:rPr>
                <w:rFonts w:cs="David" w:hint="eastAsia"/>
                <w:sz w:val="24"/>
                <w:szCs w:val="24"/>
                <w:rtl/>
              </w:rPr>
              <w:t>‏‏</w:t>
            </w:r>
            <w:r w:rsidRPr="00F0374B">
              <w:rPr>
                <w:rFonts w:cs="David"/>
                <w:sz w:val="24"/>
                <w:szCs w:val="24"/>
                <w:rtl/>
              </w:rPr>
              <w:t>2</w:t>
            </w:r>
            <w:r>
              <w:rPr>
                <w:rFonts w:cs="David" w:hint="cs"/>
                <w:sz w:val="24"/>
                <w:szCs w:val="24"/>
                <w:rtl/>
              </w:rPr>
              <w:t>4</w:t>
            </w:r>
            <w:r w:rsidRPr="00F0374B">
              <w:rPr>
                <w:rFonts w:cs="David"/>
                <w:sz w:val="24"/>
                <w:szCs w:val="24"/>
                <w:rtl/>
              </w:rPr>
              <w:t xml:space="preserve"> ב</w:t>
            </w:r>
            <w:r w:rsidRPr="00F0374B">
              <w:rPr>
                <w:rFonts w:cs="David" w:hint="cs"/>
                <w:sz w:val="24"/>
                <w:szCs w:val="24"/>
                <w:rtl/>
              </w:rPr>
              <w:t>ספטמבר</w:t>
            </w:r>
            <w:r w:rsidRPr="00F0374B">
              <w:rPr>
                <w:rFonts w:cs="David"/>
                <w:sz w:val="24"/>
                <w:szCs w:val="24"/>
                <w:rtl/>
              </w:rPr>
              <w:t xml:space="preserve"> 2019</w:t>
            </w:r>
            <w:r w:rsidRPr="00F0374B">
              <w:rPr>
                <w:rFonts w:cs="David" w:hint="cs"/>
                <w:sz w:val="24"/>
                <w:szCs w:val="24"/>
                <w:rtl/>
              </w:rPr>
              <w:t xml:space="preserve">  </w:t>
            </w:r>
          </w:p>
        </w:tc>
      </w:tr>
    </w:tbl>
    <w:p w:rsidR="00EB1AF6" w:rsidRDefault="00EB1AF6" w:rsidP="00EB1AF6">
      <w:pPr>
        <w:jc w:val="both"/>
        <w:rPr>
          <w:rFonts w:ascii="David" w:hAnsi="David" w:cs="David"/>
          <w:b/>
          <w:bCs/>
          <w:sz w:val="24"/>
          <w:szCs w:val="24"/>
          <w:rtl/>
        </w:rPr>
      </w:pPr>
    </w:p>
    <w:p w:rsidR="00F4333D" w:rsidRDefault="00F4333D" w:rsidP="00EB1AF6">
      <w:pPr>
        <w:jc w:val="center"/>
        <w:rPr>
          <w:rFonts w:ascii="David" w:hAnsi="David" w:cs="David"/>
          <w:b/>
          <w:bCs/>
          <w:sz w:val="28"/>
          <w:szCs w:val="28"/>
          <w:rtl/>
        </w:rPr>
      </w:pPr>
      <w:bookmarkStart w:id="0" w:name="_GoBack"/>
      <w:r w:rsidRPr="00EB1AF6">
        <w:rPr>
          <w:rFonts w:ascii="David" w:hAnsi="David" w:cs="David"/>
          <w:b/>
          <w:bCs/>
          <w:sz w:val="28"/>
          <w:szCs w:val="28"/>
          <w:rtl/>
        </w:rPr>
        <w:t>שאלות ותשובות בנושא מתן האישור להקמת בנק חדש</w:t>
      </w:r>
    </w:p>
    <w:bookmarkEnd w:id="0"/>
    <w:p w:rsidR="00EB1AF6" w:rsidRPr="00EB1AF6" w:rsidRDefault="00EB1AF6" w:rsidP="00EB1AF6">
      <w:pPr>
        <w:jc w:val="center"/>
        <w:rPr>
          <w:rFonts w:ascii="David" w:hAnsi="David" w:cs="David"/>
          <w:b/>
          <w:bCs/>
          <w:sz w:val="28"/>
          <w:szCs w:val="28"/>
          <w:rtl/>
        </w:rPr>
      </w:pPr>
    </w:p>
    <w:p w:rsidR="00F4333D" w:rsidRPr="00EB1AF6" w:rsidRDefault="00F4333D" w:rsidP="00EB1AF6">
      <w:pPr>
        <w:spacing w:line="360" w:lineRule="auto"/>
        <w:jc w:val="both"/>
        <w:rPr>
          <w:rFonts w:ascii="David" w:hAnsi="David" w:cs="David"/>
          <w:b/>
          <w:bCs/>
          <w:sz w:val="24"/>
          <w:szCs w:val="24"/>
          <w:rtl/>
        </w:rPr>
      </w:pPr>
      <w:r w:rsidRPr="00EB1AF6">
        <w:rPr>
          <w:rFonts w:ascii="David" w:hAnsi="David" w:cs="David"/>
          <w:b/>
          <w:bCs/>
          <w:sz w:val="24"/>
          <w:szCs w:val="24"/>
          <w:rtl/>
        </w:rPr>
        <w:t>מה המשמעות של קבלת רישיון בנק מבנק ישראל?</w:t>
      </w:r>
    </w:p>
    <w:p w:rsidR="00F4333D" w:rsidRPr="00EB1AF6" w:rsidRDefault="00F4333D" w:rsidP="00EB1AF6">
      <w:pPr>
        <w:spacing w:line="360" w:lineRule="auto"/>
        <w:jc w:val="both"/>
        <w:rPr>
          <w:rFonts w:ascii="David" w:hAnsi="David" w:cs="David"/>
          <w:sz w:val="24"/>
          <w:szCs w:val="24"/>
          <w:rtl/>
        </w:rPr>
      </w:pPr>
      <w:r w:rsidRPr="00EB1AF6">
        <w:rPr>
          <w:rFonts w:ascii="David" w:hAnsi="David" w:cs="David"/>
          <w:sz w:val="24"/>
          <w:szCs w:val="24"/>
          <w:rtl/>
        </w:rPr>
        <w:t>המשמעות של קבלת רישיון היא שבנק ישראל בדק את הבעלים שמעוניינים להקים את הבנק ואת התוכנית העסקית המתוכננת ומצא שהם הולמים. בהתייחס לבעלים, הבדיקה מצאה שההון שלהם עומד בדרישות, שכוללות את הסכום שעליהם להזרים כהון לבנק (שנגזר מההון הראשוני הרגולטורי, 50 מיליוני ש"ח, ומהון נוסף שנובע מתוכנית הצמיחה הצפויה) ו"כרית" נוספת (חוסן פיננסי של הבעלים) שנועדה לביטחון; ושהמשקיעים עברו תהליך בדיקת נאותות לגבי היושר והיושרה שלהם ומקורות ההון (</w:t>
      </w:r>
      <w:r w:rsidRPr="00EB1AF6">
        <w:rPr>
          <w:rFonts w:ascii="David" w:hAnsi="David" w:cs="David"/>
          <w:sz w:val="24"/>
          <w:szCs w:val="24"/>
        </w:rPr>
        <w:t>Fit and Proper</w:t>
      </w:r>
      <w:r w:rsidRPr="00EB1AF6">
        <w:rPr>
          <w:rFonts w:ascii="David" w:hAnsi="David" w:cs="David"/>
          <w:sz w:val="24"/>
          <w:szCs w:val="24"/>
          <w:rtl/>
        </w:rPr>
        <w:t xml:space="preserve">). בנוסף, הפיקוח על הבנקים בדק את התוכנית העסקית המתוכננת של הבנק, כדי לוודא שאין בה סיכונים מופרזים ושהמודל העסקי יאפשר שמירה על פיקדונות הציבור. </w:t>
      </w:r>
    </w:p>
    <w:p w:rsidR="00F4333D" w:rsidRPr="00157F69" w:rsidRDefault="00F4333D" w:rsidP="00157F69">
      <w:pPr>
        <w:spacing w:line="360" w:lineRule="auto"/>
        <w:jc w:val="both"/>
        <w:rPr>
          <w:rFonts w:ascii="David" w:hAnsi="David" w:cs="David"/>
          <w:sz w:val="24"/>
          <w:szCs w:val="24"/>
          <w:rtl/>
        </w:rPr>
      </w:pPr>
      <w:r w:rsidRPr="00EB1AF6">
        <w:rPr>
          <w:rFonts w:ascii="David" w:hAnsi="David" w:cs="David"/>
          <w:sz w:val="24"/>
          <w:szCs w:val="24"/>
          <w:rtl/>
        </w:rPr>
        <w:t xml:space="preserve">משמעות נוספת של קבלת </w:t>
      </w:r>
      <w:r w:rsidRPr="00157F69">
        <w:rPr>
          <w:rFonts w:ascii="David" w:hAnsi="David" w:cs="David"/>
          <w:sz w:val="24"/>
          <w:szCs w:val="24"/>
          <w:rtl/>
        </w:rPr>
        <w:t xml:space="preserve">רישיון בנק היא שהבנק </w:t>
      </w:r>
      <w:proofErr w:type="spellStart"/>
      <w:r w:rsidRPr="00157F69">
        <w:rPr>
          <w:rFonts w:ascii="David" w:hAnsi="David" w:cs="David"/>
          <w:sz w:val="24"/>
          <w:szCs w:val="24"/>
          <w:rtl/>
        </w:rPr>
        <w:t>יפוקח</w:t>
      </w:r>
      <w:proofErr w:type="spellEnd"/>
      <w:r w:rsidRPr="00157F69">
        <w:rPr>
          <w:rFonts w:ascii="David" w:hAnsi="David" w:cs="David"/>
          <w:sz w:val="24"/>
          <w:szCs w:val="24"/>
          <w:rtl/>
        </w:rPr>
        <w:t xml:space="preserve"> על-ידי הפיקוח על הבנקים בבנק ישראל להבטחת יציבותו ושמירה על כספי המפקידים בו.</w:t>
      </w:r>
      <w:r w:rsidR="00157F69" w:rsidRPr="00157F69">
        <w:rPr>
          <w:rFonts w:ascii="David" w:hAnsi="David" w:cs="David" w:hint="cs"/>
          <w:sz w:val="24"/>
          <w:szCs w:val="24"/>
          <w:rtl/>
        </w:rPr>
        <w:t xml:space="preserve"> </w:t>
      </w:r>
      <w:r w:rsidRPr="00157F69">
        <w:rPr>
          <w:rFonts w:ascii="David" w:hAnsi="David" w:cs="David"/>
          <w:sz w:val="24"/>
          <w:szCs w:val="24"/>
          <w:rtl/>
        </w:rPr>
        <w:t xml:space="preserve">בשנים הראשונות הבנק ילווה באופן צמוד כדי לתמוך בתהליך ההקמה. כמו כן, הבנק יקבל גישה לנזילות מבנק ישראל, באמצעות גישה להלוואות מוניטריות ולפיקדונות מוניטריים להפקדת עודפי הנזילות. זאת לצד אפשרות לנהל חשבון בבנק ישראל ולהתחבר למערכות התשלומים השונות שבאמצעותן יוכלו לקוחות הבנק לבצע פעולות תשלום שונות, לרבות ביצוע עסקאות בכרטיסי חיוב, העברות תשלומים, העברות בזמן אמת (זה"ב), משיכת כספים בכספומטים וכדומה. שירותים אלו יאפשרו לבנק לפעול בדומה לבנקים מסורתיים בכל הנוגע לעולם התשלומים בהתאם לאופי הפעילות הייחודי שלו כבנק דיגיטלי. </w:t>
      </w:r>
    </w:p>
    <w:p w:rsidR="00F4333D" w:rsidRPr="00EB1AF6" w:rsidRDefault="00F4333D" w:rsidP="00EB1AF6">
      <w:pPr>
        <w:spacing w:line="360" w:lineRule="auto"/>
        <w:jc w:val="both"/>
        <w:rPr>
          <w:rFonts w:ascii="David" w:hAnsi="David" w:cs="David"/>
          <w:rtl/>
        </w:rPr>
      </w:pPr>
      <w:r w:rsidRPr="00EB1AF6">
        <w:rPr>
          <w:rFonts w:ascii="David" w:hAnsi="David" w:cs="David"/>
          <w:sz w:val="24"/>
          <w:szCs w:val="24"/>
          <w:rtl/>
        </w:rPr>
        <w:t xml:space="preserve">בנוסף, הוחלט על הקמת צוות מלווה שבו של הפיקוח על הבנקים ורשות התחרות, שילווה בהיבטי תחרות את ההקמה של הבנק החדש ובנקים חדשים נוספים ככל שיקומו. </w:t>
      </w:r>
    </w:p>
    <w:p w:rsidR="00F4333D" w:rsidRPr="00EB1AF6" w:rsidRDefault="00F4333D" w:rsidP="00EB1AF6">
      <w:pPr>
        <w:spacing w:line="360" w:lineRule="auto"/>
        <w:jc w:val="both"/>
        <w:rPr>
          <w:rFonts w:ascii="David" w:hAnsi="David" w:cs="David"/>
          <w:sz w:val="24"/>
          <w:szCs w:val="24"/>
          <w:rtl/>
        </w:rPr>
      </w:pPr>
      <w:r w:rsidRPr="00EB1AF6">
        <w:rPr>
          <w:rFonts w:ascii="David" w:hAnsi="David" w:cs="David"/>
          <w:color w:val="1F497D"/>
        </w:rPr>
        <w:t> </w:t>
      </w:r>
    </w:p>
    <w:p w:rsidR="00F4333D" w:rsidRPr="00EB1AF6" w:rsidRDefault="00F4333D" w:rsidP="00EB1AF6">
      <w:pPr>
        <w:spacing w:line="360" w:lineRule="auto"/>
        <w:jc w:val="both"/>
        <w:rPr>
          <w:rFonts w:ascii="David" w:hAnsi="David" w:cs="David"/>
          <w:b/>
          <w:bCs/>
          <w:sz w:val="24"/>
          <w:szCs w:val="24"/>
          <w:rtl/>
        </w:rPr>
      </w:pPr>
      <w:r w:rsidRPr="00EB1AF6">
        <w:rPr>
          <w:rFonts w:ascii="David" w:hAnsi="David" w:cs="David"/>
          <w:b/>
          <w:bCs/>
          <w:sz w:val="24"/>
          <w:szCs w:val="24"/>
          <w:rtl/>
        </w:rPr>
        <w:t xml:space="preserve">מה תחומי העיסוק המתוכננים של הבנק הדיגיטלי ולמי הוא מיועד? </w:t>
      </w:r>
    </w:p>
    <w:p w:rsidR="00F4333D" w:rsidRPr="00EB1AF6" w:rsidRDefault="00F4333D" w:rsidP="00EB1AF6">
      <w:pPr>
        <w:spacing w:line="360" w:lineRule="auto"/>
        <w:jc w:val="both"/>
        <w:rPr>
          <w:rFonts w:ascii="David" w:hAnsi="David" w:cs="David"/>
          <w:sz w:val="24"/>
          <w:szCs w:val="24"/>
          <w:rtl/>
        </w:rPr>
      </w:pPr>
      <w:r w:rsidRPr="00EB1AF6">
        <w:rPr>
          <w:rFonts w:ascii="David" w:hAnsi="David" w:cs="David"/>
          <w:sz w:val="24"/>
          <w:szCs w:val="24"/>
          <w:rtl/>
        </w:rPr>
        <w:t>בשלב הראשון הבנק מתכנן להתמקד במשקי בית, ולהציע שירותי אשראי, פיקדונות, תשלומים, ניירות ערך, ושירותים בנקאיים נוספים. בשלב השני הבנק מתכנן לספק שירותי בנקאות גם לעסקים קטנים.</w:t>
      </w:r>
    </w:p>
    <w:p w:rsidR="00F4333D" w:rsidRPr="00EB1AF6" w:rsidRDefault="00F4333D" w:rsidP="00EB1AF6">
      <w:pPr>
        <w:spacing w:line="360" w:lineRule="auto"/>
        <w:jc w:val="both"/>
        <w:rPr>
          <w:rFonts w:ascii="David" w:hAnsi="David" w:cs="David"/>
          <w:b/>
          <w:bCs/>
          <w:sz w:val="24"/>
          <w:szCs w:val="24"/>
          <w:rtl/>
        </w:rPr>
      </w:pPr>
      <w:r w:rsidRPr="00EB1AF6">
        <w:rPr>
          <w:rFonts w:ascii="David" w:hAnsi="David" w:cs="David"/>
          <w:b/>
          <w:bCs/>
          <w:sz w:val="24"/>
          <w:szCs w:val="24"/>
          <w:rtl/>
        </w:rPr>
        <w:t xml:space="preserve">מתי יחל הבנק הדיגיטלי לפעול אל מול הציבור? </w:t>
      </w:r>
    </w:p>
    <w:p w:rsidR="00F4333D" w:rsidRPr="00EB1AF6" w:rsidRDefault="00F4333D" w:rsidP="00EB1AF6">
      <w:pPr>
        <w:spacing w:line="360" w:lineRule="auto"/>
        <w:jc w:val="both"/>
        <w:rPr>
          <w:rFonts w:ascii="David" w:hAnsi="David" w:cs="David"/>
          <w:sz w:val="24"/>
          <w:szCs w:val="24"/>
          <w:rtl/>
        </w:rPr>
      </w:pPr>
      <w:r w:rsidRPr="00EB1AF6">
        <w:rPr>
          <w:rFonts w:ascii="David" w:hAnsi="David" w:cs="David"/>
          <w:sz w:val="24"/>
          <w:szCs w:val="24"/>
          <w:rtl/>
        </w:rPr>
        <w:t xml:space="preserve">מיד לאחר קבלת הרישיון מבנק ישראל היזמים וצוות ההקמה של הבנק יתמקדו בהשלמת ההיערכות התפעולית הנדרשת, שצפויה להימשך כשנה וחצי. משך הזמן נובע בראש ובראשונה </w:t>
      </w:r>
      <w:r w:rsidRPr="00EB1AF6">
        <w:rPr>
          <w:rFonts w:ascii="David" w:hAnsi="David" w:cs="David"/>
          <w:sz w:val="24"/>
          <w:szCs w:val="24"/>
          <w:rtl/>
        </w:rPr>
        <w:lastRenderedPageBreak/>
        <w:t xml:space="preserve">מהצורך להשלים את הקמת מרכז שירותי המחשוב, שיספק לבנק הדיגיטלי את המערכת </w:t>
      </w:r>
      <w:proofErr w:type="spellStart"/>
      <w:r w:rsidRPr="00EB1AF6">
        <w:rPr>
          <w:rFonts w:ascii="David" w:hAnsi="David" w:cs="David"/>
          <w:sz w:val="24"/>
          <w:szCs w:val="24"/>
          <w:rtl/>
        </w:rPr>
        <w:t>המיכונית</w:t>
      </w:r>
      <w:proofErr w:type="spellEnd"/>
      <w:r w:rsidRPr="00EB1AF6">
        <w:rPr>
          <w:rFonts w:ascii="David" w:hAnsi="David" w:cs="David"/>
          <w:sz w:val="24"/>
          <w:szCs w:val="24"/>
          <w:rtl/>
        </w:rPr>
        <w:t xml:space="preserve">. </w:t>
      </w:r>
    </w:p>
    <w:p w:rsidR="00F4333D" w:rsidRPr="00EB1AF6" w:rsidRDefault="00F4333D" w:rsidP="00EB1AF6">
      <w:pPr>
        <w:spacing w:line="360" w:lineRule="auto"/>
        <w:jc w:val="both"/>
        <w:rPr>
          <w:rFonts w:ascii="David" w:hAnsi="David" w:cs="David"/>
          <w:b/>
          <w:bCs/>
          <w:sz w:val="24"/>
          <w:szCs w:val="24"/>
          <w:rtl/>
        </w:rPr>
      </w:pPr>
      <w:r w:rsidRPr="00EB1AF6">
        <w:rPr>
          <w:rFonts w:ascii="David" w:hAnsi="David" w:cs="David"/>
          <w:b/>
          <w:bCs/>
          <w:sz w:val="24"/>
          <w:szCs w:val="24"/>
          <w:rtl/>
        </w:rPr>
        <w:t>מה השלבים הבאים שעל הבנק לבצע לפני תחילת הפעילות?</w:t>
      </w:r>
    </w:p>
    <w:p w:rsidR="00F4333D" w:rsidRPr="00EB1AF6" w:rsidRDefault="00F4333D" w:rsidP="00EB1AF6">
      <w:pPr>
        <w:spacing w:line="360" w:lineRule="auto"/>
        <w:jc w:val="both"/>
        <w:rPr>
          <w:rFonts w:ascii="David" w:hAnsi="David" w:cs="David"/>
          <w:sz w:val="24"/>
          <w:szCs w:val="24"/>
          <w:rtl/>
        </w:rPr>
      </w:pPr>
      <w:r w:rsidRPr="00EB1AF6">
        <w:rPr>
          <w:rFonts w:ascii="David" w:hAnsi="David" w:cs="David"/>
          <w:sz w:val="24"/>
          <w:szCs w:val="24"/>
          <w:rtl/>
        </w:rPr>
        <w:t>הבנק נדרש להיערך באופן תפעולי לצורך התחלת פעילות. האמור כולל בראש ובראשונה את ההקמה של מערכת מחשוב שנדרשת לבנק (מערכת אותה הוא ירכוש במיקור חוץ מלשכת שירותי המחשוב שמוקמת בימים אלה ביוזמת ותמיכת משרד האוצר); גיוס כוח האדם הנוסף הנדרש להקמת הבנק; ובניית המדיניות שלו בתחומי הפעילות המרכזיים. צוות ההיערכות ימשיך לפעול באופן צמוד עם צוות הפיקוח על הבנקים ויציג לו את ההתקדמות לפי אבני דרך שנקבעו.</w:t>
      </w:r>
    </w:p>
    <w:p w:rsidR="00F4333D" w:rsidRPr="00EB1AF6" w:rsidRDefault="00F4333D" w:rsidP="00733DDD">
      <w:pPr>
        <w:spacing w:line="360" w:lineRule="auto"/>
        <w:jc w:val="both"/>
        <w:rPr>
          <w:rFonts w:ascii="David" w:hAnsi="David" w:cs="David"/>
          <w:b/>
          <w:bCs/>
          <w:sz w:val="24"/>
          <w:szCs w:val="24"/>
          <w:rtl/>
        </w:rPr>
      </w:pPr>
      <w:r w:rsidRPr="00EB1AF6">
        <w:rPr>
          <w:rFonts w:ascii="David" w:hAnsi="David" w:cs="David"/>
          <w:b/>
          <w:bCs/>
          <w:sz w:val="24"/>
          <w:szCs w:val="24"/>
          <w:rtl/>
        </w:rPr>
        <w:t xml:space="preserve">מה המחויבות של הבעלים של הבנק? </w:t>
      </w:r>
    </w:p>
    <w:p w:rsidR="00F4333D" w:rsidRPr="00EB1AF6" w:rsidRDefault="00F4333D" w:rsidP="00EB1AF6">
      <w:pPr>
        <w:spacing w:line="360" w:lineRule="auto"/>
        <w:jc w:val="both"/>
        <w:rPr>
          <w:rFonts w:ascii="David" w:hAnsi="David" w:cs="David"/>
          <w:sz w:val="24"/>
          <w:szCs w:val="24"/>
          <w:rtl/>
        </w:rPr>
      </w:pPr>
      <w:r w:rsidRPr="00EB1AF6">
        <w:rPr>
          <w:rFonts w:ascii="David" w:hAnsi="David" w:cs="David"/>
          <w:sz w:val="24"/>
          <w:szCs w:val="24"/>
          <w:rtl/>
        </w:rPr>
        <w:t xml:space="preserve">הבעלים של הבנק התחייבו להחזיק גרעין שליטה של 50.1% בבנק, ולהזרים לו סך של כ-420 מיליון שקלים עד תחילת הפעילות, מחצית מזה מהונם האישי. סכום זה גבוה מהסכום המינימאלי שנדרש על-ידי הפיקוח על הבנקים - 50 מיליון שקלים.  </w:t>
      </w:r>
    </w:p>
    <w:p w:rsidR="00F4333D" w:rsidRPr="00EB1AF6" w:rsidRDefault="00F4333D" w:rsidP="00EB1AF6">
      <w:pPr>
        <w:spacing w:line="360" w:lineRule="auto"/>
        <w:jc w:val="both"/>
        <w:rPr>
          <w:rFonts w:ascii="David" w:hAnsi="David" w:cs="David"/>
          <w:b/>
          <w:bCs/>
          <w:sz w:val="24"/>
          <w:szCs w:val="24"/>
          <w:rtl/>
        </w:rPr>
      </w:pPr>
      <w:r w:rsidRPr="00EB1AF6">
        <w:rPr>
          <w:rFonts w:ascii="David" w:hAnsi="David" w:cs="David"/>
          <w:b/>
          <w:bCs/>
          <w:sz w:val="24"/>
          <w:szCs w:val="24"/>
          <w:rtl/>
        </w:rPr>
        <w:t>האם יש עוד יזמים שפנו לבנק ישראל בבקשה להקים בנק חדש?</w:t>
      </w:r>
    </w:p>
    <w:p w:rsidR="00F4333D" w:rsidRPr="00EB1AF6" w:rsidRDefault="00F4333D" w:rsidP="00EB1AF6">
      <w:pPr>
        <w:spacing w:line="360" w:lineRule="auto"/>
        <w:jc w:val="both"/>
        <w:rPr>
          <w:rFonts w:ascii="David" w:hAnsi="David" w:cs="David"/>
          <w:sz w:val="24"/>
          <w:szCs w:val="24"/>
          <w:rtl/>
        </w:rPr>
      </w:pPr>
      <w:r w:rsidRPr="00EB1AF6">
        <w:rPr>
          <w:rFonts w:ascii="David" w:hAnsi="David" w:cs="David"/>
          <w:sz w:val="24"/>
          <w:szCs w:val="24"/>
          <w:rtl/>
        </w:rPr>
        <w:t>כן. הפיקוח על הבנקים מקבל פניות מיזמים שונים שמעוניינים להקים בנק חדש בישראל ומלווה אותם בתהליך.</w:t>
      </w:r>
    </w:p>
    <w:p w:rsidR="00C33F14" w:rsidRPr="00EB1AF6" w:rsidRDefault="00C33F14" w:rsidP="00EB1AF6">
      <w:pPr>
        <w:spacing w:line="360" w:lineRule="auto"/>
        <w:jc w:val="both"/>
        <w:rPr>
          <w:rFonts w:ascii="David" w:hAnsi="David" w:cs="David"/>
        </w:rPr>
      </w:pPr>
    </w:p>
    <w:sectPr w:rsidR="00C33F14" w:rsidRPr="00EB1AF6" w:rsidSect="00A320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3D"/>
    <w:rsid w:val="00033A30"/>
    <w:rsid w:val="000700EB"/>
    <w:rsid w:val="000B0764"/>
    <w:rsid w:val="00157F69"/>
    <w:rsid w:val="00233E54"/>
    <w:rsid w:val="003B4FB5"/>
    <w:rsid w:val="0042046B"/>
    <w:rsid w:val="004638A1"/>
    <w:rsid w:val="004E3DD5"/>
    <w:rsid w:val="005E56A7"/>
    <w:rsid w:val="0063130F"/>
    <w:rsid w:val="006662C9"/>
    <w:rsid w:val="00733DDD"/>
    <w:rsid w:val="00822619"/>
    <w:rsid w:val="00A3206E"/>
    <w:rsid w:val="00C33F14"/>
    <w:rsid w:val="00EB1AF6"/>
    <w:rsid w:val="00F4333D"/>
    <w:rsid w:val="00F67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6EEB7-F9D3-49B9-BB31-27C6D15C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3D"/>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DC644-4DDF-4892-A516-96FC09E76C65}"/>
</file>

<file path=customXml/itemProps2.xml><?xml version="1.0" encoding="utf-8"?>
<ds:datastoreItem xmlns:ds="http://schemas.openxmlformats.org/officeDocument/2006/customXml" ds:itemID="{6DC8764C-0004-4E11-A514-E9B41B4CA019}"/>
</file>

<file path=customXml/itemProps3.xml><?xml version="1.0" encoding="utf-8"?>
<ds:datastoreItem xmlns:ds="http://schemas.openxmlformats.org/officeDocument/2006/customXml" ds:itemID="{D4A7B2F7-88DD-4A92-AB13-947E65C03102}"/>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2436</Characters>
  <Application>Microsoft Office Word</Application>
  <DocSecurity>4</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סופר</dc:creator>
  <cp:keywords/>
  <dc:description/>
  <cp:lastModifiedBy>מיטל רולניצקי</cp:lastModifiedBy>
  <cp:revision>2</cp:revision>
  <dcterms:created xsi:type="dcterms:W3CDTF">2019-09-24T06:53:00Z</dcterms:created>
  <dcterms:modified xsi:type="dcterms:W3CDTF">2019-09-24T06:53:00Z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