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15B" w:rsidRPr="00374436" w:rsidRDefault="006A415B" w:rsidP="00E608A6">
      <w:pPr>
        <w:pStyle w:val="1"/>
        <w:numPr>
          <w:ilvl w:val="0"/>
          <w:numId w:val="0"/>
        </w:numPr>
        <w:bidi w:val="0"/>
        <w:spacing w:line="240" w:lineRule="auto"/>
        <w:ind w:right="32"/>
        <w:rPr>
          <w:rFonts w:asciiTheme="minorHAnsi" w:hAnsiTheme="minorHAnsi" w:cstheme="minorHAnsi"/>
          <w:rtl/>
          <w:lang w:eastAsia="en-US"/>
        </w:rPr>
      </w:pPr>
    </w:p>
    <w:p w:rsidR="006A415B" w:rsidRPr="00374436" w:rsidRDefault="00E608A6" w:rsidP="00E608A6">
      <w:pPr>
        <w:pStyle w:val="aa"/>
        <w:bidi w:val="0"/>
        <w:spacing w:line="240" w:lineRule="auto"/>
        <w:rPr>
          <w:rFonts w:asciiTheme="minorHAnsi" w:hAnsiTheme="minorHAnsi" w:cstheme="minorHAnsi"/>
        </w:rPr>
      </w:pPr>
      <w:r>
        <w:rPr>
          <w:rFonts w:asciiTheme="minorHAnsi" w:hAnsiTheme="minorHAnsi" w:cstheme="minorHAnsi"/>
        </w:rPr>
        <w:t>October</w:t>
      </w:r>
      <w:r w:rsidR="00040DC3" w:rsidRPr="00374436">
        <w:rPr>
          <w:rFonts w:asciiTheme="minorHAnsi" w:hAnsiTheme="minorHAnsi" w:cstheme="minorHAnsi"/>
        </w:rPr>
        <w:t xml:space="preserve"> </w:t>
      </w:r>
      <w:r>
        <w:rPr>
          <w:rFonts w:asciiTheme="minorHAnsi" w:hAnsiTheme="minorHAnsi" w:cstheme="minorHAnsi"/>
        </w:rPr>
        <w:t>2</w:t>
      </w:r>
      <w:r w:rsidR="00040DC3" w:rsidRPr="00374436">
        <w:rPr>
          <w:rFonts w:asciiTheme="minorHAnsi" w:hAnsiTheme="minorHAnsi" w:cstheme="minorHAnsi"/>
        </w:rPr>
        <w:t>1</w:t>
      </w:r>
      <w:r w:rsidR="00221F10" w:rsidRPr="00374436">
        <w:rPr>
          <w:rFonts w:asciiTheme="minorHAnsi" w:hAnsiTheme="minorHAnsi" w:cstheme="minorHAnsi"/>
        </w:rPr>
        <w:t>,</w:t>
      </w:r>
      <w:r w:rsidR="00A40585" w:rsidRPr="00374436">
        <w:rPr>
          <w:rFonts w:asciiTheme="minorHAnsi" w:hAnsiTheme="minorHAnsi" w:cstheme="minorHAnsi"/>
        </w:rPr>
        <w:t xml:space="preserve"> 2026</w:t>
      </w:r>
    </w:p>
    <w:p w:rsidR="006A415B" w:rsidRPr="00374436" w:rsidRDefault="00064421" w:rsidP="00E608A6">
      <w:pPr>
        <w:jc w:val="center"/>
        <w:rPr>
          <w:rFonts w:asciiTheme="minorHAnsi" w:hAnsiTheme="minorHAnsi" w:cstheme="minorHAnsi"/>
          <w:rtl/>
        </w:rPr>
      </w:pPr>
      <w:r w:rsidRPr="00374436">
        <w:rPr>
          <w:rFonts w:asciiTheme="minorHAnsi" w:hAnsiTheme="minorHAnsi" w:cstheme="minorHAnsi"/>
        </w:rPr>
        <w:t>Press Release</w:t>
      </w:r>
    </w:p>
    <w:p w:rsidR="00E608A6" w:rsidRDefault="00E608A6" w:rsidP="00E608A6">
      <w:pPr>
        <w:tabs>
          <w:tab w:val="left" w:pos="450"/>
        </w:tabs>
        <w:jc w:val="center"/>
        <w:rPr>
          <w:rFonts w:asciiTheme="minorHAnsi" w:hAnsiTheme="minorHAnsi" w:cstheme="minorHAnsi"/>
          <w:b/>
          <w:bCs/>
        </w:rPr>
      </w:pPr>
    </w:p>
    <w:p w:rsidR="00E608A6" w:rsidRPr="00E608A6" w:rsidRDefault="00E608A6" w:rsidP="00E608A6">
      <w:pPr>
        <w:tabs>
          <w:tab w:val="left" w:pos="450"/>
        </w:tabs>
        <w:jc w:val="center"/>
        <w:rPr>
          <w:rFonts w:asciiTheme="minorHAnsi" w:hAnsiTheme="minorHAnsi" w:cstheme="minorHAnsi"/>
          <w:b/>
          <w:bCs/>
          <w:sz w:val="32"/>
          <w:szCs w:val="32"/>
        </w:rPr>
      </w:pPr>
      <w:r w:rsidRPr="00E608A6">
        <w:rPr>
          <w:rFonts w:asciiTheme="minorHAnsi" w:hAnsiTheme="minorHAnsi" w:cstheme="minorHAnsi"/>
          <w:b/>
          <w:bCs/>
          <w:sz w:val="32"/>
          <w:szCs w:val="32"/>
        </w:rPr>
        <w:t>Remarks by the Governor of the Bank of Israel at the press briefing on monetary policy held today at the Bank of Israel</w:t>
      </w:r>
    </w:p>
    <w:p w:rsidR="00374436" w:rsidRPr="00374436" w:rsidRDefault="00374436" w:rsidP="00E608A6">
      <w:pPr>
        <w:jc w:val="both"/>
        <w:rPr>
          <w:rFonts w:asciiTheme="minorHAnsi" w:hAnsiTheme="minorHAnsi" w:cstheme="minorHAnsi"/>
          <w:b/>
          <w:bCs/>
        </w:rPr>
      </w:pPr>
    </w:p>
    <w:p w:rsidR="00374436" w:rsidRPr="00374436" w:rsidRDefault="00374436" w:rsidP="00E608A6">
      <w:pPr>
        <w:pStyle w:val="NormalWeb"/>
        <w:jc w:val="both"/>
        <w:rPr>
          <w:rFonts w:asciiTheme="minorHAnsi" w:hAnsiTheme="minorHAnsi" w:cstheme="minorHAnsi"/>
        </w:rPr>
      </w:pPr>
      <w:bookmarkStart w:id="0" w:name="_GoBack"/>
      <w:r w:rsidRPr="00374436">
        <w:rPr>
          <w:rFonts w:asciiTheme="minorHAnsi" w:hAnsiTheme="minorHAnsi" w:cstheme="minorHAnsi"/>
        </w:rPr>
        <w:t>Good afternoon, everyone.</w:t>
      </w:r>
    </w:p>
    <w:p w:rsidR="00374436" w:rsidRPr="00374436" w:rsidRDefault="00374436" w:rsidP="00E608A6">
      <w:pPr>
        <w:pStyle w:val="NormalWeb"/>
        <w:jc w:val="both"/>
        <w:rPr>
          <w:rFonts w:asciiTheme="minorHAnsi" w:hAnsiTheme="minorHAnsi" w:cstheme="minorHAnsi"/>
        </w:rPr>
      </w:pPr>
      <w:r w:rsidRPr="00374436">
        <w:rPr>
          <w:rFonts w:asciiTheme="minorHAnsi" w:hAnsiTheme="minorHAnsi" w:cstheme="minorHAnsi"/>
        </w:rPr>
        <w:t xml:space="preserve">Yesterday and today, the Monetary Committee of the Bank of Israel </w:t>
      </w:r>
      <w:r w:rsidR="00E608A6">
        <w:rPr>
          <w:rFonts w:asciiTheme="minorHAnsi" w:hAnsiTheme="minorHAnsi" w:cstheme="minorHAnsi"/>
        </w:rPr>
        <w:t>held discussions in order to</w:t>
      </w:r>
      <w:r w:rsidRPr="00374436">
        <w:rPr>
          <w:rFonts w:asciiTheme="minorHAnsi" w:hAnsiTheme="minorHAnsi" w:cstheme="minorHAnsi"/>
        </w:rPr>
        <w:t xml:space="preserve"> decide on monetary policy. As announced at the conclusion of its discussions, the Committee decided to </w:t>
      </w:r>
      <w:proofErr w:type="spellStart"/>
      <w:r w:rsidRPr="00374436">
        <w:rPr>
          <w:rFonts w:asciiTheme="minorHAnsi" w:hAnsiTheme="minorHAnsi" w:cstheme="minorHAnsi"/>
        </w:rPr>
        <w:t>xxxxx</w:t>
      </w:r>
      <w:proofErr w:type="spellEnd"/>
      <w:r w:rsidRPr="00374436">
        <w:rPr>
          <w:rFonts w:asciiTheme="minorHAnsi" w:hAnsiTheme="minorHAnsi" w:cstheme="minorHAnsi"/>
        </w:rPr>
        <w:t>.</w:t>
      </w:r>
    </w:p>
    <w:p w:rsidR="00374436" w:rsidRPr="00374436" w:rsidRDefault="00374436" w:rsidP="00BA7CE4">
      <w:pPr>
        <w:pStyle w:val="NormalWeb"/>
        <w:jc w:val="both"/>
        <w:rPr>
          <w:rFonts w:asciiTheme="minorHAnsi" w:hAnsiTheme="minorHAnsi" w:cstheme="minorHAnsi"/>
        </w:rPr>
      </w:pPr>
      <w:r w:rsidRPr="00374436">
        <w:rPr>
          <w:rFonts w:asciiTheme="minorHAnsi" w:hAnsiTheme="minorHAnsi" w:cstheme="minorHAnsi"/>
        </w:rPr>
        <w:t xml:space="preserve">Inflation in Israel remains slightly below the midpoint of the target range. At the same time, </w:t>
      </w:r>
      <w:r w:rsidR="00BA7CE4">
        <w:rPr>
          <w:rFonts w:asciiTheme="minorHAnsi" w:hAnsiTheme="minorHAnsi" w:cstheme="minorHAnsi"/>
        </w:rPr>
        <w:t>the Israeli economy</w:t>
      </w:r>
      <w:r w:rsidRPr="00374436">
        <w:rPr>
          <w:rFonts w:asciiTheme="minorHAnsi" w:hAnsiTheme="minorHAnsi" w:cstheme="minorHAnsi"/>
        </w:rPr>
        <w:t xml:space="preserve"> </w:t>
      </w:r>
      <w:r w:rsidR="00E608A6">
        <w:rPr>
          <w:rFonts w:asciiTheme="minorHAnsi" w:hAnsiTheme="minorHAnsi" w:cstheme="minorHAnsi"/>
        </w:rPr>
        <w:t>remains</w:t>
      </w:r>
      <w:r w:rsidRPr="00374436">
        <w:rPr>
          <w:rFonts w:asciiTheme="minorHAnsi" w:hAnsiTheme="minorHAnsi" w:cstheme="minorHAnsi"/>
        </w:rPr>
        <w:t xml:space="preserve"> resilien</w:t>
      </w:r>
      <w:r w:rsidR="00E608A6">
        <w:rPr>
          <w:rFonts w:asciiTheme="minorHAnsi" w:hAnsiTheme="minorHAnsi" w:cstheme="minorHAnsi"/>
        </w:rPr>
        <w:t>t</w:t>
      </w:r>
      <w:r w:rsidRPr="00374436">
        <w:rPr>
          <w:rFonts w:asciiTheme="minorHAnsi" w:hAnsiTheme="minorHAnsi" w:cstheme="minorHAnsi"/>
        </w:rPr>
        <w:t xml:space="preserve"> and robust. </w:t>
      </w:r>
      <w:r w:rsidR="00E608A6">
        <w:rPr>
          <w:rFonts w:asciiTheme="minorHAnsi" w:hAnsiTheme="minorHAnsi" w:cstheme="minorHAnsi"/>
        </w:rPr>
        <w:t>Third-quarter d</w:t>
      </w:r>
      <w:r w:rsidRPr="00374436">
        <w:rPr>
          <w:rFonts w:asciiTheme="minorHAnsi" w:hAnsiTheme="minorHAnsi" w:cstheme="minorHAnsi"/>
        </w:rPr>
        <w:t xml:space="preserve">ata indicate continued growth, following the rapid recovery in the second quarter. Nevertheless, uncertainty remains elevated in view of geopolitical developments. During the </w:t>
      </w:r>
      <w:r w:rsidR="00E608A6">
        <w:rPr>
          <w:rFonts w:asciiTheme="minorHAnsi" w:hAnsiTheme="minorHAnsi" w:cstheme="minorHAnsi"/>
        </w:rPr>
        <w:t xml:space="preserve">reviewed </w:t>
      </w:r>
      <w:r w:rsidRPr="00A535C4">
        <w:rPr>
          <w:rFonts w:asciiTheme="minorHAnsi" w:hAnsiTheme="minorHAnsi" w:cstheme="minorHAnsi"/>
        </w:rPr>
        <w:t xml:space="preserve">period, the shekel depreciated, and Israel’s risk premium increased </w:t>
      </w:r>
      <w:r w:rsidR="00E608A6" w:rsidRPr="00A535C4">
        <w:rPr>
          <w:rFonts w:asciiTheme="minorHAnsi" w:hAnsiTheme="minorHAnsi" w:cstheme="minorHAnsi"/>
        </w:rPr>
        <w:t>slightly</w:t>
      </w:r>
      <w:r w:rsidRPr="00A535C4">
        <w:rPr>
          <w:rFonts w:asciiTheme="minorHAnsi" w:hAnsiTheme="minorHAnsi" w:cstheme="minorHAnsi"/>
        </w:rPr>
        <w:t>, although it remains</w:t>
      </w:r>
      <w:r w:rsidRPr="00374436">
        <w:rPr>
          <w:rFonts w:asciiTheme="minorHAnsi" w:hAnsiTheme="minorHAnsi" w:cstheme="minorHAnsi"/>
        </w:rPr>
        <w:t xml:space="preserve"> close to the levels that prevailed prior to </w:t>
      </w:r>
      <w:r w:rsidR="00A535C4">
        <w:rPr>
          <w:rFonts w:asciiTheme="minorHAnsi" w:hAnsiTheme="minorHAnsi" w:cstheme="minorHAnsi"/>
        </w:rPr>
        <w:t xml:space="preserve">the </w:t>
      </w:r>
      <w:r w:rsidRPr="00374436">
        <w:rPr>
          <w:rFonts w:asciiTheme="minorHAnsi" w:hAnsiTheme="minorHAnsi" w:cstheme="minorHAnsi"/>
        </w:rPr>
        <w:t>October 7</w:t>
      </w:r>
      <w:r w:rsidR="00A535C4">
        <w:rPr>
          <w:rFonts w:asciiTheme="minorHAnsi" w:hAnsiTheme="minorHAnsi" w:cstheme="minorHAnsi"/>
        </w:rPr>
        <w:t xml:space="preserve"> war</w:t>
      </w:r>
      <w:r w:rsidRPr="00374436">
        <w:rPr>
          <w:rFonts w:asciiTheme="minorHAnsi" w:hAnsiTheme="minorHAnsi" w:cstheme="minorHAnsi"/>
        </w:rPr>
        <w:t xml:space="preserve">. Globally, inflationary pressures have intensified, reflecting higher energy prices, </w:t>
      </w:r>
      <w:r w:rsidR="00BA7CE4">
        <w:rPr>
          <w:rFonts w:asciiTheme="minorHAnsi" w:hAnsiTheme="minorHAnsi" w:cstheme="minorHAnsi"/>
        </w:rPr>
        <w:t xml:space="preserve">supply chain </w:t>
      </w:r>
      <w:r w:rsidRPr="00374436">
        <w:rPr>
          <w:rFonts w:asciiTheme="minorHAnsi" w:hAnsiTheme="minorHAnsi" w:cstheme="minorHAnsi"/>
        </w:rPr>
        <w:t>disruptions, and continued geopolitical tensions.</w:t>
      </w:r>
    </w:p>
    <w:p w:rsidR="00374436" w:rsidRPr="00374436" w:rsidRDefault="00374436" w:rsidP="00E608A6">
      <w:pPr>
        <w:pStyle w:val="NormalWeb"/>
        <w:jc w:val="both"/>
        <w:rPr>
          <w:rFonts w:asciiTheme="minorHAnsi" w:hAnsiTheme="minorHAnsi" w:cstheme="minorHAnsi"/>
        </w:rPr>
      </w:pPr>
      <w:r w:rsidRPr="00374436">
        <w:rPr>
          <w:rFonts w:asciiTheme="minorHAnsi" w:hAnsiTheme="minorHAnsi" w:cstheme="minorHAnsi"/>
        </w:rPr>
        <w:t>I would now like to elaborate on the principal considerations underlying our decision and to review the main economic developments in Israel and abroad.</w:t>
      </w:r>
    </w:p>
    <w:p w:rsidR="00374436" w:rsidRPr="00374436" w:rsidRDefault="00374436" w:rsidP="00C324CF">
      <w:pPr>
        <w:pStyle w:val="NormalWeb"/>
        <w:jc w:val="both"/>
        <w:rPr>
          <w:rFonts w:asciiTheme="minorHAnsi" w:hAnsiTheme="minorHAnsi" w:cstheme="minorHAnsi"/>
        </w:rPr>
      </w:pPr>
      <w:r w:rsidRPr="00374436">
        <w:rPr>
          <w:rFonts w:asciiTheme="minorHAnsi" w:hAnsiTheme="minorHAnsi" w:cstheme="minorHAnsi"/>
        </w:rPr>
        <w:t xml:space="preserve">In recent months, inflation in Israel has moderated and is now slightly below the midpoint of the target range. In September, inflation over the previous twelve months stood at 1.6 percent. According to </w:t>
      </w:r>
      <w:r w:rsidR="00E608A6">
        <w:rPr>
          <w:rFonts w:asciiTheme="minorHAnsi" w:hAnsiTheme="minorHAnsi" w:cstheme="minorHAnsi"/>
        </w:rPr>
        <w:t>forecasters’ projections</w:t>
      </w:r>
      <w:r w:rsidRPr="00374436">
        <w:rPr>
          <w:rFonts w:asciiTheme="minorHAnsi" w:hAnsiTheme="minorHAnsi" w:cstheme="minorHAnsi"/>
        </w:rPr>
        <w:t xml:space="preserve">, inflation </w:t>
      </w:r>
      <w:proofErr w:type="gramStart"/>
      <w:r w:rsidRPr="00374436">
        <w:rPr>
          <w:rFonts w:asciiTheme="minorHAnsi" w:hAnsiTheme="minorHAnsi" w:cstheme="minorHAnsi"/>
        </w:rPr>
        <w:t>is expected</w:t>
      </w:r>
      <w:proofErr w:type="gramEnd"/>
      <w:r w:rsidRPr="00374436">
        <w:rPr>
          <w:rFonts w:asciiTheme="minorHAnsi" w:hAnsiTheme="minorHAnsi" w:cstheme="minorHAnsi"/>
        </w:rPr>
        <w:t xml:space="preserve"> to remain around this level in the coming months, return to </w:t>
      </w:r>
      <w:r w:rsidR="00C324CF">
        <w:rPr>
          <w:rFonts w:asciiTheme="minorHAnsi" w:hAnsiTheme="minorHAnsi" w:cstheme="minorHAnsi"/>
        </w:rPr>
        <w:t>near</w:t>
      </w:r>
      <w:r w:rsidRPr="00374436">
        <w:rPr>
          <w:rFonts w:asciiTheme="minorHAnsi" w:hAnsiTheme="minorHAnsi" w:cstheme="minorHAnsi"/>
        </w:rPr>
        <w:t xml:space="preserve"> the midpoint of the target range at the beginning of 2027, and remain around that level thereafter. The development of the inflation environment</w:t>
      </w:r>
      <w:r w:rsidR="00E608A6">
        <w:rPr>
          <w:rFonts w:asciiTheme="minorHAnsi" w:hAnsiTheme="minorHAnsi" w:cstheme="minorHAnsi"/>
        </w:rPr>
        <w:t xml:space="preserve"> partly </w:t>
      </w:r>
      <w:r w:rsidRPr="00374436">
        <w:rPr>
          <w:rFonts w:asciiTheme="minorHAnsi" w:hAnsiTheme="minorHAnsi" w:cstheme="minorHAnsi"/>
        </w:rPr>
        <w:t xml:space="preserve">reflects the monetary policy we have pursued in recent years—a data-driven policy that responds to evolving conditions and </w:t>
      </w:r>
      <w:proofErr w:type="gramStart"/>
      <w:r w:rsidRPr="00374436">
        <w:rPr>
          <w:rFonts w:asciiTheme="minorHAnsi" w:hAnsiTheme="minorHAnsi" w:cstheme="minorHAnsi"/>
        </w:rPr>
        <w:t>is guided</w:t>
      </w:r>
      <w:proofErr w:type="gramEnd"/>
      <w:r w:rsidRPr="00374436">
        <w:rPr>
          <w:rFonts w:asciiTheme="minorHAnsi" w:hAnsiTheme="minorHAnsi" w:cstheme="minorHAnsi"/>
        </w:rPr>
        <w:t xml:space="preserve"> by our commitment to returning inflation to the target range.</w:t>
      </w:r>
    </w:p>
    <w:p w:rsidR="00374436" w:rsidRPr="00374436" w:rsidRDefault="00374436" w:rsidP="00E608A6">
      <w:pPr>
        <w:pStyle w:val="NormalWeb"/>
        <w:jc w:val="both"/>
        <w:rPr>
          <w:rFonts w:asciiTheme="minorHAnsi" w:hAnsiTheme="minorHAnsi" w:cstheme="minorHAnsi"/>
        </w:rPr>
      </w:pPr>
      <w:r w:rsidRPr="00374436">
        <w:rPr>
          <w:rFonts w:asciiTheme="minorHAnsi" w:hAnsiTheme="minorHAnsi" w:cstheme="minorHAnsi"/>
        </w:rPr>
        <w:t xml:space="preserve">Looking ahead, several factors may influence the path of inflation in opposing directions. The inflation environment </w:t>
      </w:r>
      <w:proofErr w:type="gramStart"/>
      <w:r w:rsidRPr="00374436">
        <w:rPr>
          <w:rFonts w:asciiTheme="minorHAnsi" w:hAnsiTheme="minorHAnsi" w:cstheme="minorHAnsi"/>
        </w:rPr>
        <w:t>will be shaped</w:t>
      </w:r>
      <w:proofErr w:type="gramEnd"/>
      <w:r w:rsidRPr="00374436">
        <w:rPr>
          <w:rFonts w:asciiTheme="minorHAnsi" w:hAnsiTheme="minorHAnsi" w:cstheme="minorHAnsi"/>
        </w:rPr>
        <w:t xml:space="preserve"> to a considerable extent by geopolitical developments and their implications for economic activity, energy prices, Israel’s risk premium, and the exchange rate; by the evolution of demand alongside supply constraints; and by fiscal developments.</w:t>
      </w:r>
    </w:p>
    <w:p w:rsidR="00374436" w:rsidRPr="00374436" w:rsidRDefault="00374436" w:rsidP="00000CF6">
      <w:pPr>
        <w:pStyle w:val="NormalWeb"/>
        <w:jc w:val="both"/>
        <w:rPr>
          <w:rFonts w:asciiTheme="minorHAnsi" w:hAnsiTheme="minorHAnsi" w:cstheme="minorHAnsi"/>
        </w:rPr>
      </w:pPr>
      <w:r w:rsidRPr="00374436">
        <w:rPr>
          <w:rFonts w:asciiTheme="minorHAnsi" w:hAnsiTheme="minorHAnsi" w:cstheme="minorHAnsi"/>
        </w:rPr>
        <w:t xml:space="preserve">Current indicators suggest that economic activity continued to expand in the third quarter, alongside persistent supply constraints. This follows the rapid recovery in the second quarter </w:t>
      </w:r>
      <w:r w:rsidRPr="00374436">
        <w:rPr>
          <w:rFonts w:asciiTheme="minorHAnsi" w:hAnsiTheme="minorHAnsi" w:cstheme="minorHAnsi"/>
        </w:rPr>
        <w:lastRenderedPageBreak/>
        <w:t xml:space="preserve">after the </w:t>
      </w:r>
      <w:r w:rsidR="00000CF6">
        <w:rPr>
          <w:rFonts w:asciiTheme="minorHAnsi" w:hAnsiTheme="minorHAnsi" w:cstheme="minorHAnsi"/>
        </w:rPr>
        <w:t xml:space="preserve">sharp decline during Operation </w:t>
      </w:r>
      <w:r w:rsidRPr="00374436">
        <w:rPr>
          <w:rFonts w:asciiTheme="minorHAnsi" w:hAnsiTheme="minorHAnsi" w:cstheme="minorHAnsi"/>
        </w:rPr>
        <w:t xml:space="preserve">Roaring Lion. Credit card expenditure data remain volatile and are close to their long-term trend. The aggregate balance in the Central Bureau of Statistics’ Business Tendency Survey for September increased and returned to its level </w:t>
      </w:r>
      <w:r w:rsidR="00000CF6">
        <w:rPr>
          <w:rFonts w:asciiTheme="minorHAnsi" w:hAnsiTheme="minorHAnsi" w:cstheme="minorHAnsi"/>
        </w:rPr>
        <w:t>from before</w:t>
      </w:r>
      <w:r w:rsidRPr="00374436">
        <w:rPr>
          <w:rFonts w:asciiTheme="minorHAnsi" w:hAnsiTheme="minorHAnsi" w:cstheme="minorHAnsi"/>
        </w:rPr>
        <w:t xml:space="preserve"> Operation Roaring Lion. Capital rais</w:t>
      </w:r>
      <w:r w:rsidR="00000CF6">
        <w:rPr>
          <w:rFonts w:asciiTheme="minorHAnsi" w:hAnsiTheme="minorHAnsi" w:cstheme="minorHAnsi"/>
        </w:rPr>
        <w:t>ed</w:t>
      </w:r>
      <w:r w:rsidRPr="00374436">
        <w:rPr>
          <w:rFonts w:asciiTheme="minorHAnsi" w:hAnsiTheme="minorHAnsi" w:cstheme="minorHAnsi"/>
        </w:rPr>
        <w:t xml:space="preserve"> in the high-tech sector in the third quarter </w:t>
      </w:r>
      <w:r w:rsidR="00000CF6">
        <w:rPr>
          <w:rFonts w:asciiTheme="minorHAnsi" w:hAnsiTheme="minorHAnsi" w:cstheme="minorHAnsi"/>
        </w:rPr>
        <w:t xml:space="preserve">totaled </w:t>
      </w:r>
      <w:r w:rsidRPr="00374436">
        <w:rPr>
          <w:rFonts w:asciiTheme="minorHAnsi" w:hAnsiTheme="minorHAnsi" w:cstheme="minorHAnsi"/>
        </w:rPr>
        <w:t xml:space="preserve">approximately </w:t>
      </w:r>
      <w:r w:rsidR="00000CF6">
        <w:rPr>
          <w:rFonts w:asciiTheme="minorHAnsi" w:hAnsiTheme="minorHAnsi" w:cstheme="minorHAnsi"/>
        </w:rPr>
        <w:t xml:space="preserve">US$ </w:t>
      </w:r>
      <w:r w:rsidRPr="00374436">
        <w:rPr>
          <w:rFonts w:asciiTheme="minorHAnsi" w:hAnsiTheme="minorHAnsi" w:cstheme="minorHAnsi"/>
        </w:rPr>
        <w:t>5 billion, a level similar to that recorded in the earlier quarters of the year.</w:t>
      </w:r>
    </w:p>
    <w:p w:rsidR="00374436" w:rsidRPr="00374436" w:rsidRDefault="00374436" w:rsidP="00000CF6">
      <w:pPr>
        <w:pStyle w:val="NormalWeb"/>
        <w:jc w:val="both"/>
        <w:rPr>
          <w:rFonts w:asciiTheme="minorHAnsi" w:hAnsiTheme="minorHAnsi" w:cstheme="minorHAnsi"/>
        </w:rPr>
      </w:pPr>
      <w:r w:rsidRPr="00374436">
        <w:rPr>
          <w:rFonts w:asciiTheme="minorHAnsi" w:hAnsiTheme="minorHAnsi" w:cstheme="minorHAnsi"/>
        </w:rPr>
        <w:t xml:space="preserve">The labor market remains tight, and labor supply constraints are still significant. The unemployment rate is low, and the job vacancy rate remains high, while participation and employment rates are still below the </w:t>
      </w:r>
      <w:r w:rsidR="00000CF6">
        <w:rPr>
          <w:rFonts w:asciiTheme="minorHAnsi" w:hAnsiTheme="minorHAnsi" w:cstheme="minorHAnsi"/>
        </w:rPr>
        <w:t xml:space="preserve">prewar </w:t>
      </w:r>
      <w:r w:rsidRPr="00374436">
        <w:rPr>
          <w:rFonts w:asciiTheme="minorHAnsi" w:hAnsiTheme="minorHAnsi" w:cstheme="minorHAnsi"/>
        </w:rPr>
        <w:t>levels. The pace of nominal wage growth in the economy moderated after accelerating due to temporary factors, and stood at 4.3 percent in June through August compared with the corresponding period a year earlier. In the business sector, wage growth in May through July stood at 5.3 percent relative to the same period last year.</w:t>
      </w:r>
    </w:p>
    <w:p w:rsidR="00374436" w:rsidRPr="00374436" w:rsidRDefault="00374436" w:rsidP="00000CF6">
      <w:pPr>
        <w:pStyle w:val="NormalWeb"/>
        <w:jc w:val="both"/>
        <w:rPr>
          <w:rFonts w:asciiTheme="minorHAnsi" w:hAnsiTheme="minorHAnsi" w:cstheme="minorHAnsi"/>
        </w:rPr>
      </w:pPr>
      <w:r w:rsidRPr="00374436">
        <w:rPr>
          <w:rFonts w:asciiTheme="minorHAnsi" w:hAnsiTheme="minorHAnsi" w:cstheme="minorHAnsi"/>
        </w:rPr>
        <w:t xml:space="preserve">Activity in the construction </w:t>
      </w:r>
      <w:r w:rsidR="00000CF6">
        <w:rPr>
          <w:rFonts w:asciiTheme="minorHAnsi" w:hAnsiTheme="minorHAnsi" w:cstheme="minorHAnsi"/>
        </w:rPr>
        <w:t>industry</w:t>
      </w:r>
      <w:r w:rsidRPr="00374436">
        <w:rPr>
          <w:rFonts w:asciiTheme="minorHAnsi" w:hAnsiTheme="minorHAnsi" w:cstheme="minorHAnsi"/>
        </w:rPr>
        <w:t xml:space="preserve"> remains </w:t>
      </w:r>
      <w:r w:rsidR="00000CF6">
        <w:rPr>
          <w:rFonts w:asciiTheme="minorHAnsi" w:hAnsiTheme="minorHAnsi" w:cstheme="minorHAnsi"/>
        </w:rPr>
        <w:t>high</w:t>
      </w:r>
      <w:r w:rsidRPr="00374436">
        <w:rPr>
          <w:rFonts w:asciiTheme="minorHAnsi" w:hAnsiTheme="minorHAnsi" w:cstheme="minorHAnsi"/>
        </w:rPr>
        <w:t xml:space="preserve">. According to CBS data for the second quarter of the year, the pace of housing starts declined </w:t>
      </w:r>
      <w:r w:rsidR="00000CF6">
        <w:rPr>
          <w:rFonts w:asciiTheme="minorHAnsi" w:hAnsiTheme="minorHAnsi" w:cstheme="minorHAnsi"/>
        </w:rPr>
        <w:t>slightly</w:t>
      </w:r>
      <w:r w:rsidRPr="00374436">
        <w:rPr>
          <w:rFonts w:asciiTheme="minorHAnsi" w:hAnsiTheme="minorHAnsi" w:cstheme="minorHAnsi"/>
        </w:rPr>
        <w:t xml:space="preserve"> compared with the second quarter of last year, but remains high. Building permits and housing completions are also at high levels. The seasonally adjusted </w:t>
      </w:r>
      <w:r w:rsidR="00000CF6" w:rsidRPr="00374436">
        <w:rPr>
          <w:rFonts w:asciiTheme="minorHAnsi" w:hAnsiTheme="minorHAnsi" w:cstheme="minorHAnsi"/>
        </w:rPr>
        <w:t xml:space="preserve">volume </w:t>
      </w:r>
      <w:r w:rsidR="00000CF6">
        <w:rPr>
          <w:rFonts w:asciiTheme="minorHAnsi" w:hAnsiTheme="minorHAnsi" w:cstheme="minorHAnsi"/>
        </w:rPr>
        <w:t xml:space="preserve">of </w:t>
      </w:r>
      <w:r w:rsidRPr="00374436">
        <w:rPr>
          <w:rFonts w:asciiTheme="minorHAnsi" w:hAnsiTheme="minorHAnsi" w:cstheme="minorHAnsi"/>
        </w:rPr>
        <w:t xml:space="preserve">housing transactions moderated in July and August, following an increase in May and June, but overall has remained stable over the past year. The inventory of unsold homes is stable and remains high. In July and August, home prices declined by 0.6 percent, and in annual terms they fell by 1.8 percent. In this context, and as I have emphasized on many occasions, it is important to maintain a high level of housing supply over time. In the September CPI, the annual rate of increase in the housing component </w:t>
      </w:r>
      <w:r w:rsidR="00000CF6">
        <w:rPr>
          <w:rFonts w:asciiTheme="minorHAnsi" w:hAnsiTheme="minorHAnsi" w:cstheme="minorHAnsi"/>
        </w:rPr>
        <w:t>was</w:t>
      </w:r>
      <w:r w:rsidRPr="00374436">
        <w:rPr>
          <w:rFonts w:asciiTheme="minorHAnsi" w:hAnsiTheme="minorHAnsi" w:cstheme="minorHAnsi"/>
        </w:rPr>
        <w:t xml:space="preserve"> 3.8 percent. The rate of price increases in renewed rental contracts </w:t>
      </w:r>
      <w:r w:rsidR="00000CF6">
        <w:rPr>
          <w:rFonts w:asciiTheme="minorHAnsi" w:hAnsiTheme="minorHAnsi" w:cstheme="minorHAnsi"/>
        </w:rPr>
        <w:t>is</w:t>
      </w:r>
      <w:r w:rsidRPr="00374436">
        <w:rPr>
          <w:rFonts w:asciiTheme="minorHAnsi" w:hAnsiTheme="minorHAnsi" w:cstheme="minorHAnsi"/>
        </w:rPr>
        <w:t xml:space="preserve"> at 2.4 percent, while the annual rate of increase in contracts involving a change of tenant rose to 5.3 percent.</w:t>
      </w:r>
    </w:p>
    <w:p w:rsidR="00374436" w:rsidRPr="00374436" w:rsidRDefault="00374436" w:rsidP="00BA7CE4">
      <w:pPr>
        <w:pStyle w:val="NormalWeb"/>
        <w:jc w:val="both"/>
        <w:rPr>
          <w:rFonts w:asciiTheme="minorHAnsi" w:hAnsiTheme="minorHAnsi" w:cstheme="minorHAnsi"/>
        </w:rPr>
      </w:pPr>
      <w:r w:rsidRPr="00374436">
        <w:rPr>
          <w:rFonts w:asciiTheme="minorHAnsi" w:hAnsiTheme="minorHAnsi" w:cstheme="minorHAnsi"/>
        </w:rPr>
        <w:t xml:space="preserve">Business credit continued to expand at a </w:t>
      </w:r>
      <w:r w:rsidR="00BA7CE4">
        <w:rPr>
          <w:rFonts w:asciiTheme="minorHAnsi" w:hAnsiTheme="minorHAnsi" w:cstheme="minorHAnsi"/>
        </w:rPr>
        <w:t xml:space="preserve">rapid </w:t>
      </w:r>
      <w:r w:rsidRPr="00374436">
        <w:rPr>
          <w:rFonts w:asciiTheme="minorHAnsi" w:hAnsiTheme="minorHAnsi" w:cstheme="minorHAnsi"/>
        </w:rPr>
        <w:t xml:space="preserve">pace, </w:t>
      </w:r>
      <w:r w:rsidR="00BA7CE4">
        <w:rPr>
          <w:rFonts w:asciiTheme="minorHAnsi" w:hAnsiTheme="minorHAnsi" w:cstheme="minorHAnsi"/>
        </w:rPr>
        <w:t>as interest</w:t>
      </w:r>
      <w:r w:rsidRPr="00374436">
        <w:rPr>
          <w:rFonts w:asciiTheme="minorHAnsi" w:hAnsiTheme="minorHAnsi" w:cstheme="minorHAnsi"/>
        </w:rPr>
        <w:t xml:space="preserve"> rates</w:t>
      </w:r>
      <w:r w:rsidR="00BA7CE4">
        <w:rPr>
          <w:rFonts w:asciiTheme="minorHAnsi" w:hAnsiTheme="minorHAnsi" w:cstheme="minorHAnsi"/>
        </w:rPr>
        <w:t xml:space="preserve"> on new business credit declined</w:t>
      </w:r>
      <w:r w:rsidRPr="00374436">
        <w:rPr>
          <w:rFonts w:asciiTheme="minorHAnsi" w:hAnsiTheme="minorHAnsi" w:cstheme="minorHAnsi"/>
        </w:rPr>
        <w:t xml:space="preserve">. </w:t>
      </w:r>
      <w:r w:rsidR="00BA7CE4">
        <w:rPr>
          <w:rFonts w:asciiTheme="minorHAnsi" w:hAnsiTheme="minorHAnsi" w:cstheme="minorHAnsi"/>
        </w:rPr>
        <w:t>H</w:t>
      </w:r>
      <w:r w:rsidRPr="00374436">
        <w:rPr>
          <w:rFonts w:asciiTheme="minorHAnsi" w:hAnsiTheme="minorHAnsi" w:cstheme="minorHAnsi"/>
        </w:rPr>
        <w:t xml:space="preserve">ousehold credit continued to grow, </w:t>
      </w:r>
      <w:r w:rsidR="00BA7CE4" w:rsidRPr="00A535C4">
        <w:rPr>
          <w:rFonts w:asciiTheme="minorHAnsi" w:hAnsiTheme="minorHAnsi" w:cstheme="minorHAnsi"/>
        </w:rPr>
        <w:t>and</w:t>
      </w:r>
      <w:r w:rsidRPr="00A535C4">
        <w:rPr>
          <w:rFonts w:asciiTheme="minorHAnsi" w:hAnsiTheme="minorHAnsi" w:cstheme="minorHAnsi"/>
        </w:rPr>
        <w:t xml:space="preserve"> delinquency rates</w:t>
      </w:r>
      <w:r w:rsidR="00BA7CE4">
        <w:rPr>
          <w:rFonts w:asciiTheme="minorHAnsi" w:hAnsiTheme="minorHAnsi" w:cstheme="minorHAnsi"/>
        </w:rPr>
        <w:t xml:space="preserve"> are</w:t>
      </w:r>
      <w:r w:rsidRPr="00374436">
        <w:rPr>
          <w:rFonts w:asciiTheme="minorHAnsi" w:hAnsiTheme="minorHAnsi" w:cstheme="minorHAnsi"/>
        </w:rPr>
        <w:t xml:space="preserve"> low.</w:t>
      </w:r>
    </w:p>
    <w:p w:rsidR="00374436" w:rsidRPr="00374436" w:rsidRDefault="00374436" w:rsidP="005E79F6">
      <w:pPr>
        <w:pStyle w:val="NormalWeb"/>
        <w:jc w:val="both"/>
        <w:rPr>
          <w:rFonts w:asciiTheme="minorHAnsi" w:hAnsiTheme="minorHAnsi" w:cstheme="minorHAnsi"/>
        </w:rPr>
      </w:pPr>
      <w:r w:rsidRPr="00374436">
        <w:rPr>
          <w:rFonts w:asciiTheme="minorHAnsi" w:hAnsiTheme="minorHAnsi" w:cstheme="minorHAnsi"/>
        </w:rPr>
        <w:t xml:space="preserve">In the financial markets, since the previous monetary policy decision, </w:t>
      </w:r>
      <w:r w:rsidRPr="00A00E4D">
        <w:rPr>
          <w:rFonts w:asciiTheme="minorHAnsi" w:hAnsiTheme="minorHAnsi" w:cstheme="minorHAnsi"/>
        </w:rPr>
        <w:t>the shekel has depreciated by approximately 3.</w:t>
      </w:r>
      <w:r w:rsidR="005E79F6">
        <w:rPr>
          <w:rFonts w:asciiTheme="minorHAnsi" w:hAnsiTheme="minorHAnsi" w:cstheme="minorHAnsi"/>
        </w:rPr>
        <w:t>1</w:t>
      </w:r>
      <w:r w:rsidRPr="00A00E4D">
        <w:rPr>
          <w:rFonts w:asciiTheme="minorHAnsi" w:hAnsiTheme="minorHAnsi" w:cstheme="minorHAnsi"/>
        </w:rPr>
        <w:t xml:space="preserve"> percent against the US dollar. Israel’s ri</w:t>
      </w:r>
      <w:r w:rsidRPr="00374436">
        <w:rPr>
          <w:rFonts w:asciiTheme="minorHAnsi" w:hAnsiTheme="minorHAnsi" w:cstheme="minorHAnsi"/>
        </w:rPr>
        <w:t xml:space="preserve">sk premium, as measured by CDS spreads, increased </w:t>
      </w:r>
      <w:r w:rsidR="00A00E4D">
        <w:rPr>
          <w:rFonts w:asciiTheme="minorHAnsi" w:hAnsiTheme="minorHAnsi" w:cstheme="minorHAnsi"/>
        </w:rPr>
        <w:t>slightly</w:t>
      </w:r>
      <w:r w:rsidRPr="00374436">
        <w:rPr>
          <w:rFonts w:asciiTheme="minorHAnsi" w:hAnsiTheme="minorHAnsi" w:cstheme="minorHAnsi"/>
        </w:rPr>
        <w:t>, but remains close to its pre</w:t>
      </w:r>
      <w:r w:rsidR="00A00E4D">
        <w:rPr>
          <w:rFonts w:asciiTheme="minorHAnsi" w:hAnsiTheme="minorHAnsi" w:cstheme="minorHAnsi"/>
        </w:rPr>
        <w:t xml:space="preserve">war </w:t>
      </w:r>
      <w:r w:rsidRPr="00374436">
        <w:rPr>
          <w:rFonts w:asciiTheme="minorHAnsi" w:hAnsiTheme="minorHAnsi" w:cstheme="minorHAnsi"/>
        </w:rPr>
        <w:t xml:space="preserve">level. Domestic equity indices rose during the </w:t>
      </w:r>
      <w:r w:rsidR="00A00E4D">
        <w:rPr>
          <w:rFonts w:asciiTheme="minorHAnsi" w:hAnsiTheme="minorHAnsi" w:cstheme="minorHAnsi"/>
        </w:rPr>
        <w:t xml:space="preserve">reviewed </w:t>
      </w:r>
      <w:r w:rsidRPr="00374436">
        <w:rPr>
          <w:rFonts w:asciiTheme="minorHAnsi" w:hAnsiTheme="minorHAnsi" w:cstheme="minorHAnsi"/>
        </w:rPr>
        <w:t>period, albeit with volatility, following their outperformance over the past two years.</w:t>
      </w:r>
    </w:p>
    <w:p w:rsidR="00374436" w:rsidRDefault="00374436" w:rsidP="00C324CF">
      <w:pPr>
        <w:pStyle w:val="NormalWeb"/>
        <w:jc w:val="both"/>
        <w:rPr>
          <w:rFonts w:asciiTheme="minorHAnsi" w:hAnsiTheme="minorHAnsi" w:cstheme="minorHAnsi"/>
        </w:rPr>
      </w:pPr>
      <w:r w:rsidRPr="00374436">
        <w:rPr>
          <w:rFonts w:asciiTheme="minorHAnsi" w:hAnsiTheme="minorHAnsi" w:cstheme="minorHAnsi"/>
        </w:rPr>
        <w:t>The Research Department has updated its macroeconomic forecast.</w:t>
      </w:r>
      <w:r w:rsidR="00C324CF">
        <w:rPr>
          <w:rFonts w:asciiTheme="minorHAnsi" w:hAnsiTheme="minorHAnsi" w:cstheme="minorHAnsi"/>
        </w:rPr>
        <w:t xml:space="preserve"> </w:t>
      </w:r>
      <w:r w:rsidRPr="00374436">
        <w:rPr>
          <w:rFonts w:asciiTheme="minorHAnsi" w:hAnsiTheme="minorHAnsi" w:cstheme="minorHAnsi"/>
        </w:rPr>
        <w:t xml:space="preserve">Before presenting the forecast, I would like to explain a change we have made this time in the presentation of growth data. This change </w:t>
      </w:r>
      <w:proofErr w:type="gramStart"/>
      <w:r w:rsidRPr="00374436">
        <w:rPr>
          <w:rFonts w:asciiTheme="minorHAnsi" w:hAnsiTheme="minorHAnsi" w:cstheme="minorHAnsi"/>
        </w:rPr>
        <w:t>was made</w:t>
      </w:r>
      <w:proofErr w:type="gramEnd"/>
      <w:r w:rsidRPr="00374436">
        <w:rPr>
          <w:rFonts w:asciiTheme="minorHAnsi" w:hAnsiTheme="minorHAnsi" w:cstheme="minorHAnsi"/>
        </w:rPr>
        <w:t xml:space="preserve"> </w:t>
      </w:r>
      <w:r w:rsidR="00BA7CE4">
        <w:rPr>
          <w:rFonts w:asciiTheme="minorHAnsi" w:hAnsiTheme="minorHAnsi" w:cstheme="minorHAnsi"/>
        </w:rPr>
        <w:t>necessary following</w:t>
      </w:r>
      <w:r w:rsidRPr="00374436">
        <w:rPr>
          <w:rFonts w:asciiTheme="minorHAnsi" w:hAnsiTheme="minorHAnsi" w:cstheme="minorHAnsi"/>
        </w:rPr>
        <w:t xml:space="preserve"> </w:t>
      </w:r>
      <w:r w:rsidR="00BA7CE4">
        <w:rPr>
          <w:rFonts w:asciiTheme="minorHAnsi" w:hAnsiTheme="minorHAnsi" w:cstheme="minorHAnsi"/>
        </w:rPr>
        <w:t>recent CBS revisions to</w:t>
      </w:r>
      <w:r w:rsidRPr="00374436">
        <w:rPr>
          <w:rFonts w:asciiTheme="minorHAnsi" w:hAnsiTheme="minorHAnsi" w:cstheme="minorHAnsi"/>
        </w:rPr>
        <w:t xml:space="preserve"> the </w:t>
      </w:r>
      <w:r w:rsidR="00A00E4D">
        <w:rPr>
          <w:rFonts w:asciiTheme="minorHAnsi" w:hAnsiTheme="minorHAnsi" w:cstheme="minorHAnsi"/>
        </w:rPr>
        <w:t>N</w:t>
      </w:r>
      <w:r w:rsidRPr="00374436">
        <w:rPr>
          <w:rFonts w:asciiTheme="minorHAnsi" w:hAnsiTheme="minorHAnsi" w:cstheme="minorHAnsi"/>
        </w:rPr>
        <w:t xml:space="preserve">ational </w:t>
      </w:r>
      <w:r w:rsidR="00A00E4D">
        <w:rPr>
          <w:rFonts w:asciiTheme="minorHAnsi" w:hAnsiTheme="minorHAnsi" w:cstheme="minorHAnsi"/>
        </w:rPr>
        <w:t>A</w:t>
      </w:r>
      <w:r w:rsidRPr="00374436">
        <w:rPr>
          <w:rFonts w:asciiTheme="minorHAnsi" w:hAnsiTheme="minorHAnsi" w:cstheme="minorHAnsi"/>
        </w:rPr>
        <w:t>ccounts</w:t>
      </w:r>
      <w:r w:rsidR="00BA7CE4">
        <w:rPr>
          <w:rFonts w:asciiTheme="minorHAnsi" w:hAnsiTheme="minorHAnsi" w:cstheme="minorHAnsi"/>
        </w:rPr>
        <w:t xml:space="preserve"> with regard to the significant volume of exports produced abroad</w:t>
      </w:r>
      <w:r w:rsidRPr="00374436">
        <w:rPr>
          <w:rFonts w:asciiTheme="minorHAnsi" w:hAnsiTheme="minorHAnsi" w:cstheme="minorHAnsi"/>
        </w:rPr>
        <w:t xml:space="preserve"> </w:t>
      </w:r>
      <w:r w:rsidR="00BA7CE4">
        <w:rPr>
          <w:rFonts w:asciiTheme="minorHAnsi" w:hAnsiTheme="minorHAnsi" w:cstheme="minorHAnsi"/>
        </w:rPr>
        <w:t>and its rapid growth</w:t>
      </w:r>
      <w:r w:rsidRPr="00374436">
        <w:rPr>
          <w:rFonts w:asciiTheme="minorHAnsi" w:hAnsiTheme="minorHAnsi" w:cstheme="minorHAnsi"/>
        </w:rPr>
        <w:t xml:space="preserve">. In </w:t>
      </w:r>
      <w:r w:rsidR="00BA7CE4">
        <w:rPr>
          <w:rFonts w:asciiTheme="minorHAnsi" w:hAnsiTheme="minorHAnsi" w:cstheme="minorHAnsi"/>
        </w:rPr>
        <w:t>the past two</w:t>
      </w:r>
      <w:r w:rsidRPr="00374436">
        <w:rPr>
          <w:rFonts w:asciiTheme="minorHAnsi" w:hAnsiTheme="minorHAnsi" w:cstheme="minorHAnsi"/>
        </w:rPr>
        <w:t xml:space="preserve"> years, overseas production </w:t>
      </w:r>
      <w:r w:rsidR="00A00E4D">
        <w:rPr>
          <w:rFonts w:asciiTheme="minorHAnsi" w:hAnsiTheme="minorHAnsi" w:cstheme="minorHAnsi"/>
        </w:rPr>
        <w:t>by</w:t>
      </w:r>
      <w:r w:rsidRPr="00374436">
        <w:rPr>
          <w:rFonts w:asciiTheme="minorHAnsi" w:hAnsiTheme="minorHAnsi" w:cstheme="minorHAnsi"/>
        </w:rPr>
        <w:t xml:space="preserve"> Israeli companies has accounted for a rapidly growing share of GDP. This component contributes</w:t>
      </w:r>
      <w:r w:rsidR="00BA7CE4">
        <w:rPr>
          <w:rFonts w:asciiTheme="minorHAnsi" w:hAnsiTheme="minorHAnsi" w:cstheme="minorHAnsi"/>
        </w:rPr>
        <w:t xml:space="preserve"> in part</w:t>
      </w:r>
      <w:r w:rsidRPr="00374436">
        <w:rPr>
          <w:rFonts w:asciiTheme="minorHAnsi" w:hAnsiTheme="minorHAnsi" w:cstheme="minorHAnsi"/>
        </w:rPr>
        <w:t xml:space="preserve"> to government tax revenues, but it does not </w:t>
      </w:r>
      <w:r w:rsidR="00C324CF">
        <w:rPr>
          <w:rFonts w:asciiTheme="minorHAnsi" w:hAnsiTheme="minorHAnsi" w:cstheme="minorHAnsi"/>
        </w:rPr>
        <w:t>utilize</w:t>
      </w:r>
      <w:r w:rsidRPr="00374436">
        <w:rPr>
          <w:rFonts w:asciiTheme="minorHAnsi" w:hAnsiTheme="minorHAnsi" w:cstheme="minorHAnsi"/>
        </w:rPr>
        <w:t xml:space="preserve"> domestic capital or labor, and most of the income it generates does not accrue to Israeli households. As a result, its rapid growth may create a distorted picture of the pace of real domestic economic activity. Accordingly, in this forecast we also present growth excluding the separately estimated component of production abroad. This measure more accurately reflects the internal economic dynamics of the Israeli economy: domestic demand, the supply constraints it faces, the degree of tightness in the labor market, and related developments. I would note that supplementary reporting of GDP excluding </w:t>
      </w:r>
      <w:r w:rsidR="00C324CF">
        <w:rPr>
          <w:rFonts w:asciiTheme="minorHAnsi" w:hAnsiTheme="minorHAnsi" w:cstheme="minorHAnsi"/>
        </w:rPr>
        <w:t>foreign</w:t>
      </w:r>
      <w:r w:rsidRPr="00374436">
        <w:rPr>
          <w:rFonts w:asciiTheme="minorHAnsi" w:hAnsiTheme="minorHAnsi" w:cstheme="minorHAnsi"/>
        </w:rPr>
        <w:t xml:space="preserve"> activity </w:t>
      </w:r>
      <w:proofErr w:type="gramStart"/>
      <w:r w:rsidRPr="00374436">
        <w:rPr>
          <w:rFonts w:asciiTheme="minorHAnsi" w:hAnsiTheme="minorHAnsi" w:cstheme="minorHAnsi"/>
        </w:rPr>
        <w:t>is also used</w:t>
      </w:r>
      <w:proofErr w:type="gramEnd"/>
      <w:r w:rsidRPr="00374436">
        <w:rPr>
          <w:rFonts w:asciiTheme="minorHAnsi" w:hAnsiTheme="minorHAnsi" w:cstheme="minorHAnsi"/>
        </w:rPr>
        <w:t xml:space="preserve"> in </w:t>
      </w:r>
      <w:r w:rsidRPr="00374436">
        <w:rPr>
          <w:rFonts w:asciiTheme="minorHAnsi" w:hAnsiTheme="minorHAnsi" w:cstheme="minorHAnsi"/>
        </w:rPr>
        <w:lastRenderedPageBreak/>
        <w:t>several</w:t>
      </w:r>
      <w:r w:rsidR="00A00E4D">
        <w:rPr>
          <w:rFonts w:asciiTheme="minorHAnsi" w:hAnsiTheme="minorHAnsi" w:cstheme="minorHAnsi"/>
        </w:rPr>
        <w:t xml:space="preserve"> other</w:t>
      </w:r>
      <w:r w:rsidRPr="00374436">
        <w:rPr>
          <w:rFonts w:asciiTheme="minorHAnsi" w:hAnsiTheme="minorHAnsi" w:cstheme="minorHAnsi"/>
        </w:rPr>
        <w:t xml:space="preserve"> advanced economies where there is a material difference between domestic production and total production including output abroad.</w:t>
      </w:r>
    </w:p>
    <w:p w:rsidR="0048423C" w:rsidRPr="0048423C" w:rsidRDefault="0048423C" w:rsidP="0048423C">
      <w:pPr>
        <w:pStyle w:val="NormalWeb"/>
        <w:jc w:val="both"/>
        <w:rPr>
          <w:rFonts w:asciiTheme="minorHAnsi" w:hAnsiTheme="minorHAnsi" w:cstheme="minorHAnsi"/>
        </w:rPr>
      </w:pPr>
      <w:r w:rsidRPr="0048423C">
        <w:rPr>
          <w:rFonts w:asciiTheme="minorHAnsi" w:hAnsiTheme="minorHAnsi" w:cstheme="minorHAnsi"/>
        </w:rPr>
        <w:t xml:space="preserve">The forecast for overall GDP </w:t>
      </w:r>
      <w:proofErr w:type="gramStart"/>
      <w:r w:rsidRPr="0048423C">
        <w:rPr>
          <w:rFonts w:asciiTheme="minorHAnsi" w:hAnsiTheme="minorHAnsi" w:cstheme="minorHAnsi"/>
        </w:rPr>
        <w:t>was constructed</w:t>
      </w:r>
      <w:proofErr w:type="gramEnd"/>
      <w:r w:rsidRPr="0048423C">
        <w:rPr>
          <w:rFonts w:asciiTheme="minorHAnsi" w:hAnsiTheme="minorHAnsi" w:cstheme="minorHAnsi"/>
        </w:rPr>
        <w:t xml:space="preserve"> using a bottom-up approach in two main stages. In the first stage, we applied our regular forecasting tools and models to produce a forecast for GDP excluding production abroad, based on the data series that the Central Bureau of Statistics has only recently begun to publish. In the second stage, we used the data on output generated by production factors located abroad and applied a range of relevant tools and projections in order to forecast its path of development. The forecast for overall GDP is therefore the sum of the forecast for the portion of output produced in Israel and the forecast for the portion produced by production factors abroad. Naturally, and in view of the uncertainty surrounding developments in the technology and artificial intelligence sectors more broadly, the estimate for the portion of GDP produced abroad </w:t>
      </w:r>
      <w:proofErr w:type="gramStart"/>
      <w:r w:rsidRPr="0048423C">
        <w:rPr>
          <w:rFonts w:asciiTheme="minorHAnsi" w:hAnsiTheme="minorHAnsi" w:cstheme="minorHAnsi"/>
        </w:rPr>
        <w:t>is characterized</w:t>
      </w:r>
      <w:proofErr w:type="gramEnd"/>
      <w:r w:rsidRPr="0048423C">
        <w:rPr>
          <w:rFonts w:asciiTheme="minorHAnsi" w:hAnsiTheme="minorHAnsi" w:cstheme="minorHAnsi"/>
        </w:rPr>
        <w:t xml:space="preserve"> by a high degree of variability.</w:t>
      </w:r>
    </w:p>
    <w:p w:rsidR="00374436" w:rsidRPr="00374436" w:rsidRDefault="00374436" w:rsidP="00081BB9">
      <w:pPr>
        <w:pStyle w:val="NormalWeb"/>
        <w:jc w:val="both"/>
        <w:rPr>
          <w:rFonts w:asciiTheme="minorHAnsi" w:hAnsiTheme="minorHAnsi" w:cstheme="minorHAnsi"/>
        </w:rPr>
      </w:pPr>
      <w:r w:rsidRPr="00374436">
        <w:rPr>
          <w:rFonts w:asciiTheme="minorHAnsi" w:hAnsiTheme="minorHAnsi" w:cstheme="minorHAnsi"/>
        </w:rPr>
        <w:t xml:space="preserve">The baseline </w:t>
      </w:r>
      <w:r w:rsidR="00081BB9">
        <w:rPr>
          <w:rFonts w:asciiTheme="minorHAnsi" w:hAnsiTheme="minorHAnsi" w:cstheme="minorHAnsi"/>
        </w:rPr>
        <w:t>assumption</w:t>
      </w:r>
      <w:r w:rsidRPr="00374436">
        <w:rPr>
          <w:rFonts w:asciiTheme="minorHAnsi" w:hAnsiTheme="minorHAnsi" w:cstheme="minorHAnsi"/>
        </w:rPr>
        <w:t xml:space="preserve"> underlying the forecast assumes that the intensity of the fighting will remain low, </w:t>
      </w:r>
      <w:r w:rsidR="00081BB9">
        <w:rPr>
          <w:rFonts w:asciiTheme="minorHAnsi" w:hAnsiTheme="minorHAnsi" w:cstheme="minorHAnsi"/>
        </w:rPr>
        <w:t>similar to the current level</w:t>
      </w:r>
      <w:r w:rsidRPr="00374436">
        <w:rPr>
          <w:rFonts w:asciiTheme="minorHAnsi" w:hAnsiTheme="minorHAnsi" w:cstheme="minorHAnsi"/>
        </w:rPr>
        <w:t>, which may contribute to some easing of the supply constraints facing the economy</w:t>
      </w:r>
      <w:r w:rsidR="00081BB9">
        <w:rPr>
          <w:rFonts w:asciiTheme="minorHAnsi" w:hAnsiTheme="minorHAnsi" w:cstheme="minorHAnsi"/>
        </w:rPr>
        <w:t>,</w:t>
      </w:r>
      <w:r w:rsidRPr="00374436">
        <w:rPr>
          <w:rFonts w:asciiTheme="minorHAnsi" w:hAnsiTheme="minorHAnsi" w:cstheme="minorHAnsi"/>
        </w:rPr>
        <w:t xml:space="preserve"> </w:t>
      </w:r>
      <w:r w:rsidR="00081BB9">
        <w:rPr>
          <w:rFonts w:asciiTheme="minorHAnsi" w:hAnsiTheme="minorHAnsi" w:cstheme="minorHAnsi"/>
        </w:rPr>
        <w:t>and</w:t>
      </w:r>
      <w:r w:rsidRPr="00374436">
        <w:rPr>
          <w:rFonts w:asciiTheme="minorHAnsi" w:hAnsiTheme="minorHAnsi" w:cstheme="minorHAnsi"/>
        </w:rPr>
        <w:t xml:space="preserve"> that the geopolitical environment will remain tense. The forecast does not incorporate possible fiscal legislation measures that </w:t>
      </w:r>
      <w:proofErr w:type="gramStart"/>
      <w:r w:rsidRPr="00374436">
        <w:rPr>
          <w:rFonts w:asciiTheme="minorHAnsi" w:hAnsiTheme="minorHAnsi" w:cstheme="minorHAnsi"/>
        </w:rPr>
        <w:t>may be adopted</w:t>
      </w:r>
      <w:proofErr w:type="gramEnd"/>
      <w:r w:rsidRPr="00374436">
        <w:rPr>
          <w:rFonts w:asciiTheme="minorHAnsi" w:hAnsiTheme="minorHAnsi" w:cstheme="minorHAnsi"/>
        </w:rPr>
        <w:t xml:space="preserve"> by the government formed after the elections.</w:t>
      </w:r>
    </w:p>
    <w:p w:rsidR="00374436" w:rsidRPr="00374436" w:rsidRDefault="00374436" w:rsidP="0044066C">
      <w:pPr>
        <w:pStyle w:val="NormalWeb"/>
        <w:jc w:val="both"/>
        <w:rPr>
          <w:rFonts w:asciiTheme="minorHAnsi" w:hAnsiTheme="minorHAnsi" w:cstheme="minorHAnsi"/>
        </w:rPr>
      </w:pPr>
      <w:r w:rsidRPr="00374436">
        <w:rPr>
          <w:rFonts w:asciiTheme="minorHAnsi" w:hAnsiTheme="minorHAnsi" w:cstheme="minorHAnsi"/>
        </w:rPr>
        <w:t xml:space="preserve">According to the Research Department’s baseline scenario, GDP </w:t>
      </w:r>
      <w:proofErr w:type="gramStart"/>
      <w:r w:rsidRPr="00374436">
        <w:rPr>
          <w:rFonts w:asciiTheme="minorHAnsi" w:hAnsiTheme="minorHAnsi" w:cstheme="minorHAnsi"/>
        </w:rPr>
        <w:t>is expected</w:t>
      </w:r>
      <w:proofErr w:type="gramEnd"/>
      <w:r w:rsidRPr="00374436">
        <w:rPr>
          <w:rFonts w:asciiTheme="minorHAnsi" w:hAnsiTheme="minorHAnsi" w:cstheme="minorHAnsi"/>
        </w:rPr>
        <w:t xml:space="preserve"> to grow by 5.6 percent in 2026 and by 7.5 percent in 2027. However, </w:t>
      </w:r>
      <w:r w:rsidR="00A00E4D">
        <w:rPr>
          <w:rFonts w:asciiTheme="minorHAnsi" w:hAnsiTheme="minorHAnsi" w:cstheme="minorHAnsi"/>
        </w:rPr>
        <w:t>much</w:t>
      </w:r>
      <w:r w:rsidRPr="00374436">
        <w:rPr>
          <w:rFonts w:asciiTheme="minorHAnsi" w:hAnsiTheme="minorHAnsi" w:cstheme="minorHAnsi"/>
        </w:rPr>
        <w:t xml:space="preserve"> of this revision reflects the substantial contribution of production abroad. The forecast for GDP excluding production abroad stands at 3.4 percent in 2026 and 5.1 percent in 2027. Inflation </w:t>
      </w:r>
      <w:proofErr w:type="gramStart"/>
      <w:r w:rsidRPr="00374436">
        <w:rPr>
          <w:rFonts w:asciiTheme="minorHAnsi" w:hAnsiTheme="minorHAnsi" w:cstheme="minorHAnsi"/>
        </w:rPr>
        <w:t>is expected</w:t>
      </w:r>
      <w:proofErr w:type="gramEnd"/>
      <w:r w:rsidRPr="00374436">
        <w:rPr>
          <w:rFonts w:asciiTheme="minorHAnsi" w:hAnsiTheme="minorHAnsi" w:cstheme="minorHAnsi"/>
        </w:rPr>
        <w:t xml:space="preserve"> to average 1.5 percent</w:t>
      </w:r>
      <w:r w:rsidR="00785D76" w:rsidRPr="00785D76">
        <w:rPr>
          <w:rFonts w:asciiTheme="minorHAnsi" w:hAnsiTheme="minorHAnsi" w:cstheme="minorHAnsi"/>
        </w:rPr>
        <w:t xml:space="preserve"> </w:t>
      </w:r>
      <w:r w:rsidR="00785D76" w:rsidRPr="00374436">
        <w:rPr>
          <w:rFonts w:asciiTheme="minorHAnsi" w:hAnsiTheme="minorHAnsi" w:cstheme="minorHAnsi"/>
        </w:rPr>
        <w:t>i</w:t>
      </w:r>
      <w:r w:rsidR="00785D76">
        <w:rPr>
          <w:rFonts w:asciiTheme="minorHAnsi" w:hAnsiTheme="minorHAnsi" w:cstheme="minorHAnsi"/>
        </w:rPr>
        <w:t>n</w:t>
      </w:r>
      <w:r w:rsidR="00785D76" w:rsidRPr="00374436">
        <w:rPr>
          <w:rFonts w:asciiTheme="minorHAnsi" w:hAnsiTheme="minorHAnsi" w:cstheme="minorHAnsi"/>
        </w:rPr>
        <w:t xml:space="preserve"> 2026</w:t>
      </w:r>
      <w:r w:rsidRPr="00374436">
        <w:rPr>
          <w:rFonts w:asciiTheme="minorHAnsi" w:hAnsiTheme="minorHAnsi" w:cstheme="minorHAnsi"/>
        </w:rPr>
        <w:t>, and 2.1 percent in 2027. The Department estimates that the government budget deficit will amount to 4.</w:t>
      </w:r>
      <w:r w:rsidR="0048423C">
        <w:rPr>
          <w:rFonts w:asciiTheme="minorHAnsi" w:hAnsiTheme="minorHAnsi" w:cstheme="minorHAnsi"/>
        </w:rPr>
        <w:t>4</w:t>
      </w:r>
      <w:r w:rsidRPr="00374436">
        <w:rPr>
          <w:rFonts w:asciiTheme="minorHAnsi" w:hAnsiTheme="minorHAnsi" w:cstheme="minorHAnsi"/>
        </w:rPr>
        <w:t xml:space="preserve"> percent of GDP in 2026 and 4.6 percent in 2027. The debt-to-GDP ratio </w:t>
      </w:r>
      <w:proofErr w:type="gramStart"/>
      <w:r w:rsidRPr="00374436">
        <w:rPr>
          <w:rFonts w:asciiTheme="minorHAnsi" w:hAnsiTheme="minorHAnsi" w:cstheme="minorHAnsi"/>
        </w:rPr>
        <w:t>is expected</w:t>
      </w:r>
      <w:proofErr w:type="gramEnd"/>
      <w:r w:rsidRPr="00374436">
        <w:rPr>
          <w:rFonts w:asciiTheme="minorHAnsi" w:hAnsiTheme="minorHAnsi" w:cstheme="minorHAnsi"/>
        </w:rPr>
        <w:t xml:space="preserve"> to </w:t>
      </w:r>
      <w:r w:rsidR="00785D76">
        <w:rPr>
          <w:rFonts w:asciiTheme="minorHAnsi" w:hAnsiTheme="minorHAnsi" w:cstheme="minorHAnsi"/>
        </w:rPr>
        <w:t>be</w:t>
      </w:r>
      <w:r w:rsidRPr="00374436">
        <w:rPr>
          <w:rFonts w:asciiTheme="minorHAnsi" w:hAnsiTheme="minorHAnsi" w:cstheme="minorHAnsi"/>
        </w:rPr>
        <w:t xml:space="preserve"> approximately 68 percent at the end of 2026 and </w:t>
      </w:r>
      <w:r w:rsidRPr="005E79F6">
        <w:rPr>
          <w:rFonts w:asciiTheme="minorHAnsi" w:hAnsiTheme="minorHAnsi" w:cstheme="minorHAnsi"/>
        </w:rPr>
        <w:t>66</w:t>
      </w:r>
      <w:r w:rsidR="00785D76" w:rsidRPr="005E79F6">
        <w:rPr>
          <w:rFonts w:asciiTheme="minorHAnsi" w:hAnsiTheme="minorHAnsi" w:cstheme="minorHAnsi"/>
        </w:rPr>
        <w:t>.5</w:t>
      </w:r>
      <w:r w:rsidRPr="00374436">
        <w:rPr>
          <w:rFonts w:asciiTheme="minorHAnsi" w:hAnsiTheme="minorHAnsi" w:cstheme="minorHAnsi"/>
        </w:rPr>
        <w:t xml:space="preserve"> percent at the end of 2027. Excluding production abroad, the debt-to-GDP ratio </w:t>
      </w:r>
      <w:proofErr w:type="gramStart"/>
      <w:r w:rsidRPr="00374436">
        <w:rPr>
          <w:rFonts w:asciiTheme="minorHAnsi" w:hAnsiTheme="minorHAnsi" w:cstheme="minorHAnsi"/>
        </w:rPr>
        <w:t>is expected</w:t>
      </w:r>
      <w:proofErr w:type="gramEnd"/>
      <w:r w:rsidRPr="00374436">
        <w:rPr>
          <w:rFonts w:asciiTheme="minorHAnsi" w:hAnsiTheme="minorHAnsi" w:cstheme="minorHAnsi"/>
        </w:rPr>
        <w:t xml:space="preserve"> to </w:t>
      </w:r>
      <w:r w:rsidR="00785D76">
        <w:rPr>
          <w:rFonts w:asciiTheme="minorHAnsi" w:hAnsiTheme="minorHAnsi" w:cstheme="minorHAnsi"/>
        </w:rPr>
        <w:t>be</w:t>
      </w:r>
      <w:r w:rsidR="0048423C">
        <w:rPr>
          <w:rFonts w:asciiTheme="minorHAnsi" w:hAnsiTheme="minorHAnsi" w:cstheme="minorHAnsi"/>
        </w:rPr>
        <w:t xml:space="preserve"> </w:t>
      </w:r>
      <w:r w:rsidRPr="005E79F6">
        <w:rPr>
          <w:rFonts w:asciiTheme="minorHAnsi" w:hAnsiTheme="minorHAnsi" w:cstheme="minorHAnsi"/>
        </w:rPr>
        <w:t>70 percent</w:t>
      </w:r>
      <w:r w:rsidRPr="00374436">
        <w:rPr>
          <w:rFonts w:asciiTheme="minorHAnsi" w:hAnsiTheme="minorHAnsi" w:cstheme="minorHAnsi"/>
        </w:rPr>
        <w:t xml:space="preserve"> at the end of 2026 and </w:t>
      </w:r>
      <w:r w:rsidR="005E79F6">
        <w:rPr>
          <w:rFonts w:asciiTheme="minorHAnsi" w:hAnsiTheme="minorHAnsi" w:cstheme="minorHAnsi"/>
        </w:rPr>
        <w:t xml:space="preserve">70.5 percent </w:t>
      </w:r>
      <w:r w:rsidR="0044066C">
        <w:rPr>
          <w:rFonts w:asciiTheme="minorHAnsi" w:hAnsiTheme="minorHAnsi" w:cstheme="minorHAnsi"/>
        </w:rPr>
        <w:t>in</w:t>
      </w:r>
      <w:r w:rsidR="005E79F6">
        <w:rPr>
          <w:rFonts w:asciiTheme="minorHAnsi" w:hAnsiTheme="minorHAnsi" w:cstheme="minorHAnsi"/>
        </w:rPr>
        <w:t xml:space="preserve"> </w:t>
      </w:r>
      <w:r w:rsidRPr="00374436">
        <w:rPr>
          <w:rFonts w:asciiTheme="minorHAnsi" w:hAnsiTheme="minorHAnsi" w:cstheme="minorHAnsi"/>
        </w:rPr>
        <w:t xml:space="preserve">2027. The Department projects that the policy rate will </w:t>
      </w:r>
      <w:r w:rsidR="00785D76">
        <w:rPr>
          <w:rFonts w:asciiTheme="minorHAnsi" w:hAnsiTheme="minorHAnsi" w:cstheme="minorHAnsi"/>
        </w:rPr>
        <w:t>be</w:t>
      </w:r>
      <w:r w:rsidRPr="00374436">
        <w:rPr>
          <w:rFonts w:asciiTheme="minorHAnsi" w:hAnsiTheme="minorHAnsi" w:cstheme="minorHAnsi"/>
        </w:rPr>
        <w:t xml:space="preserve"> 3 percent in approximately one year.</w:t>
      </w:r>
    </w:p>
    <w:p w:rsidR="00374436" w:rsidRPr="00374436" w:rsidRDefault="00374436" w:rsidP="006A5043">
      <w:pPr>
        <w:pStyle w:val="NormalWeb"/>
        <w:jc w:val="both"/>
        <w:rPr>
          <w:rFonts w:asciiTheme="minorHAnsi" w:hAnsiTheme="minorHAnsi" w:cstheme="minorHAnsi"/>
        </w:rPr>
      </w:pPr>
      <w:proofErr w:type="gramStart"/>
      <w:r w:rsidRPr="00374436">
        <w:rPr>
          <w:rFonts w:asciiTheme="minorHAnsi" w:hAnsiTheme="minorHAnsi" w:cstheme="minorHAnsi"/>
        </w:rPr>
        <w:t xml:space="preserve">The forecast is subject to several risks: uncertainty regarding geopolitical </w:t>
      </w:r>
      <w:r w:rsidR="006A5043">
        <w:rPr>
          <w:rFonts w:asciiTheme="minorHAnsi" w:hAnsiTheme="minorHAnsi" w:cstheme="minorHAnsi"/>
        </w:rPr>
        <w:t>developments</w:t>
      </w:r>
      <w:r w:rsidRPr="00374436">
        <w:rPr>
          <w:rFonts w:asciiTheme="minorHAnsi" w:hAnsiTheme="minorHAnsi" w:cstheme="minorHAnsi"/>
        </w:rPr>
        <w:t xml:space="preserve">; significant fiscal uncertainty, </w:t>
      </w:r>
      <w:r w:rsidR="00785D76">
        <w:rPr>
          <w:rFonts w:asciiTheme="minorHAnsi" w:hAnsiTheme="minorHAnsi" w:cstheme="minorHAnsi"/>
        </w:rPr>
        <w:t xml:space="preserve">on </w:t>
      </w:r>
      <w:r w:rsidRPr="00374436">
        <w:rPr>
          <w:rFonts w:asciiTheme="minorHAnsi" w:hAnsiTheme="minorHAnsi" w:cstheme="minorHAnsi"/>
        </w:rPr>
        <w:t>both the revenue side and the expenditure side; uncertainty regarding the size of the defense budget and its implications for the deficit and inflation; and uncertainty and risks related to developments in technology and artificial intelligence and their possible effects on the global and Israeli economies.</w:t>
      </w:r>
      <w:proofErr w:type="gramEnd"/>
    </w:p>
    <w:p w:rsidR="00374436" w:rsidRPr="00374436" w:rsidRDefault="00374436" w:rsidP="00785D76">
      <w:pPr>
        <w:pStyle w:val="NormalWeb"/>
        <w:jc w:val="both"/>
        <w:rPr>
          <w:rFonts w:asciiTheme="minorHAnsi" w:hAnsiTheme="minorHAnsi" w:cstheme="minorHAnsi"/>
        </w:rPr>
      </w:pPr>
      <w:r w:rsidRPr="00374436">
        <w:rPr>
          <w:rFonts w:asciiTheme="minorHAnsi" w:hAnsiTheme="minorHAnsi" w:cstheme="minorHAnsi"/>
        </w:rPr>
        <w:t xml:space="preserve">More broadly, the heightened geopolitical uncertainty facing Israel makes it </w:t>
      </w:r>
      <w:proofErr w:type="gramStart"/>
      <w:r w:rsidRPr="00374436">
        <w:rPr>
          <w:rFonts w:asciiTheme="minorHAnsi" w:hAnsiTheme="minorHAnsi" w:cstheme="minorHAnsi"/>
        </w:rPr>
        <w:t>all the more</w:t>
      </w:r>
      <w:proofErr w:type="gramEnd"/>
      <w:r w:rsidRPr="00374436">
        <w:rPr>
          <w:rFonts w:asciiTheme="minorHAnsi" w:hAnsiTheme="minorHAnsi" w:cstheme="minorHAnsi"/>
        </w:rPr>
        <w:t xml:space="preserve"> important to preserve adequate </w:t>
      </w:r>
      <w:r w:rsidRPr="00C324CF">
        <w:rPr>
          <w:rFonts w:asciiTheme="minorHAnsi" w:hAnsiTheme="minorHAnsi" w:cstheme="minorHAnsi"/>
        </w:rPr>
        <w:t xml:space="preserve">fiscal </w:t>
      </w:r>
      <w:r w:rsidR="00C324CF">
        <w:rPr>
          <w:rFonts w:asciiTheme="minorHAnsi" w:hAnsiTheme="minorHAnsi" w:cstheme="minorHAnsi"/>
        </w:rPr>
        <w:t xml:space="preserve">policy </w:t>
      </w:r>
      <w:r w:rsidRPr="00C324CF">
        <w:rPr>
          <w:rFonts w:asciiTheme="minorHAnsi" w:hAnsiTheme="minorHAnsi" w:cstheme="minorHAnsi"/>
        </w:rPr>
        <w:t>space. The</w:t>
      </w:r>
      <w:r w:rsidRPr="00374436">
        <w:rPr>
          <w:rFonts w:asciiTheme="minorHAnsi" w:hAnsiTheme="minorHAnsi" w:cstheme="minorHAnsi"/>
        </w:rPr>
        <w:t xml:space="preserve"> importance of maintaining fiscal resilience has become even clearer in recent years. Israel’s ability to cope with the COVID-19 crisis and with the war that began in October 2023 relied </w:t>
      </w:r>
      <w:proofErr w:type="gramStart"/>
      <w:r w:rsidRPr="00374436">
        <w:rPr>
          <w:rFonts w:asciiTheme="minorHAnsi" w:hAnsiTheme="minorHAnsi" w:cstheme="minorHAnsi"/>
        </w:rPr>
        <w:t>to a large extent</w:t>
      </w:r>
      <w:proofErr w:type="gramEnd"/>
      <w:r w:rsidRPr="00374436">
        <w:rPr>
          <w:rFonts w:asciiTheme="minorHAnsi" w:hAnsiTheme="minorHAnsi" w:cstheme="minorHAnsi"/>
        </w:rPr>
        <w:t xml:space="preserve"> on the fact that the economy entered th</w:t>
      </w:r>
      <w:r w:rsidR="00785D76">
        <w:rPr>
          <w:rFonts w:asciiTheme="minorHAnsi" w:hAnsiTheme="minorHAnsi" w:cstheme="minorHAnsi"/>
        </w:rPr>
        <w:t>o</w:t>
      </w:r>
      <w:r w:rsidRPr="00374436">
        <w:rPr>
          <w:rFonts w:asciiTheme="minorHAnsi" w:hAnsiTheme="minorHAnsi" w:cstheme="minorHAnsi"/>
        </w:rPr>
        <w:t xml:space="preserve">se crises from a relatively strong starting position, reflected in a relatively low debt-to-GDP ratio of 60 percent. This policy space made it possible to support economic activity and the needs of the economy during those periods while preserving market confidence. The rise in yields globally, and to some extent in Israel as well, in recent months further underscores the importance of maintaining a low debt-to-GDP ratio, given its potential implications for the cost of financing public debt, which is already high in Israel relative to </w:t>
      </w:r>
      <w:r w:rsidR="00785D76">
        <w:rPr>
          <w:rFonts w:asciiTheme="minorHAnsi" w:hAnsiTheme="minorHAnsi" w:cstheme="minorHAnsi"/>
        </w:rPr>
        <w:t xml:space="preserve">other </w:t>
      </w:r>
      <w:r w:rsidRPr="00374436">
        <w:rPr>
          <w:rFonts w:asciiTheme="minorHAnsi" w:hAnsiTheme="minorHAnsi" w:cstheme="minorHAnsi"/>
        </w:rPr>
        <w:t>advanced economies.</w:t>
      </w:r>
    </w:p>
    <w:p w:rsidR="00374436" w:rsidRPr="00374436" w:rsidRDefault="00374436" w:rsidP="00C324CF">
      <w:pPr>
        <w:pStyle w:val="NormalWeb"/>
        <w:jc w:val="both"/>
        <w:rPr>
          <w:rFonts w:asciiTheme="minorHAnsi" w:hAnsiTheme="minorHAnsi" w:cstheme="minorHAnsi"/>
        </w:rPr>
      </w:pPr>
      <w:r w:rsidRPr="00374436">
        <w:rPr>
          <w:rFonts w:asciiTheme="minorHAnsi" w:hAnsiTheme="minorHAnsi" w:cstheme="minorHAnsi"/>
        </w:rPr>
        <w:lastRenderedPageBreak/>
        <w:t xml:space="preserve">Looking ahead, </w:t>
      </w:r>
      <w:r w:rsidR="00C324CF">
        <w:rPr>
          <w:rFonts w:asciiTheme="minorHAnsi" w:hAnsiTheme="minorHAnsi" w:cstheme="minorHAnsi"/>
        </w:rPr>
        <w:t>the</w:t>
      </w:r>
      <w:r w:rsidRPr="00374436">
        <w:rPr>
          <w:rFonts w:asciiTheme="minorHAnsi" w:hAnsiTheme="minorHAnsi" w:cstheme="minorHAnsi"/>
        </w:rPr>
        <w:t xml:space="preserve"> </w:t>
      </w:r>
      <w:r w:rsidR="00785D76">
        <w:rPr>
          <w:rFonts w:asciiTheme="minorHAnsi" w:hAnsiTheme="minorHAnsi" w:cstheme="minorHAnsi"/>
        </w:rPr>
        <w:t>main</w:t>
      </w:r>
      <w:r w:rsidRPr="00374436">
        <w:rPr>
          <w:rFonts w:asciiTheme="minorHAnsi" w:hAnsiTheme="minorHAnsi" w:cstheme="minorHAnsi"/>
        </w:rPr>
        <w:t xml:space="preserve"> challenge for economic policy—one to which I have referred repeatedly in recent years—has three dimensions: achieving a sustained decline in the debt-to-GDP ratio, financing essential security needs, and investing in growth engines, particularly human capital and infrastructure. Implementing all three dimensions is by no means straightforward and requires decisions that will ensure their sustainability over time. Achieving this objective </w:t>
      </w:r>
      <w:proofErr w:type="gramStart"/>
      <w:r w:rsidRPr="00374436">
        <w:rPr>
          <w:rFonts w:asciiTheme="minorHAnsi" w:hAnsiTheme="minorHAnsi" w:cstheme="minorHAnsi"/>
        </w:rPr>
        <w:t>will</w:t>
      </w:r>
      <w:r w:rsidR="00785D76">
        <w:rPr>
          <w:rFonts w:asciiTheme="minorHAnsi" w:hAnsiTheme="minorHAnsi" w:cstheme="minorHAnsi"/>
        </w:rPr>
        <w:t xml:space="preserve">, in part, </w:t>
      </w:r>
      <w:r w:rsidRPr="00374436">
        <w:rPr>
          <w:rFonts w:asciiTheme="minorHAnsi" w:hAnsiTheme="minorHAnsi" w:cstheme="minorHAnsi"/>
        </w:rPr>
        <w:t>require</w:t>
      </w:r>
      <w:proofErr w:type="gramEnd"/>
      <w:r w:rsidRPr="00374436">
        <w:rPr>
          <w:rFonts w:asciiTheme="minorHAnsi" w:hAnsiTheme="minorHAnsi" w:cstheme="minorHAnsi"/>
        </w:rPr>
        <w:t xml:space="preserve"> reducing expenditures that impair growth, improving the efficiency of public spending, and broadening the tax base through higher employment rates and productivity. The greater the share of the population that participates in the labor market and increases its earning capacity, the more it will be possible to support fiscal policy objectives while reducing pressure for further tax increases.</w:t>
      </w:r>
    </w:p>
    <w:p w:rsidR="00374436" w:rsidRPr="00374436" w:rsidRDefault="00374436" w:rsidP="00351338">
      <w:pPr>
        <w:pStyle w:val="NormalWeb"/>
        <w:jc w:val="both"/>
        <w:rPr>
          <w:rFonts w:asciiTheme="minorHAnsi" w:hAnsiTheme="minorHAnsi" w:cstheme="minorHAnsi"/>
        </w:rPr>
      </w:pPr>
      <w:r w:rsidRPr="00374436">
        <w:rPr>
          <w:rFonts w:asciiTheme="minorHAnsi" w:hAnsiTheme="minorHAnsi" w:cstheme="minorHAnsi"/>
        </w:rPr>
        <w:t>Global geopolitical developments also remained at the center of attention during the</w:t>
      </w:r>
      <w:r w:rsidR="00E656A9">
        <w:rPr>
          <w:rFonts w:asciiTheme="minorHAnsi" w:hAnsiTheme="minorHAnsi" w:cstheme="minorHAnsi"/>
        </w:rPr>
        <w:t xml:space="preserve"> reviewed</w:t>
      </w:r>
      <w:r w:rsidRPr="00374436">
        <w:rPr>
          <w:rFonts w:asciiTheme="minorHAnsi" w:hAnsiTheme="minorHAnsi" w:cstheme="minorHAnsi"/>
        </w:rPr>
        <w:t xml:space="preserve"> period. Energy prices continued to rise, with the price of Brent crude increasing by approximately </w:t>
      </w:r>
      <w:r w:rsidRPr="0048423C">
        <w:rPr>
          <w:rFonts w:asciiTheme="minorHAnsi" w:hAnsiTheme="minorHAnsi" w:cstheme="minorHAnsi"/>
        </w:rPr>
        <w:t>1</w:t>
      </w:r>
      <w:r w:rsidR="00351338">
        <w:rPr>
          <w:rFonts w:asciiTheme="minorHAnsi" w:hAnsiTheme="minorHAnsi" w:cstheme="minorHAnsi"/>
        </w:rPr>
        <w:t>5</w:t>
      </w:r>
      <w:r w:rsidRPr="00374436">
        <w:rPr>
          <w:rFonts w:asciiTheme="minorHAnsi" w:hAnsiTheme="minorHAnsi" w:cstheme="minorHAnsi"/>
        </w:rPr>
        <w:t xml:space="preserve"> percent to around </w:t>
      </w:r>
      <w:r w:rsidR="00E656A9">
        <w:rPr>
          <w:rFonts w:asciiTheme="minorHAnsi" w:hAnsiTheme="minorHAnsi" w:cstheme="minorHAnsi"/>
        </w:rPr>
        <w:t xml:space="preserve">US$ </w:t>
      </w:r>
      <w:r w:rsidRPr="00374436">
        <w:rPr>
          <w:rFonts w:asciiTheme="minorHAnsi" w:hAnsiTheme="minorHAnsi" w:cstheme="minorHAnsi"/>
        </w:rPr>
        <w:t>110 per barrel. In addition, natural gas prices in Europe continued to rise to their highest levels s</w:t>
      </w:r>
      <w:r w:rsidR="00E656A9">
        <w:rPr>
          <w:rFonts w:asciiTheme="minorHAnsi" w:hAnsiTheme="minorHAnsi" w:cstheme="minorHAnsi"/>
        </w:rPr>
        <w:t xml:space="preserve">ince the outbreak of Operation </w:t>
      </w:r>
      <w:r w:rsidRPr="00374436">
        <w:rPr>
          <w:rFonts w:asciiTheme="minorHAnsi" w:hAnsiTheme="minorHAnsi" w:cstheme="minorHAnsi"/>
        </w:rPr>
        <w:t xml:space="preserve">Roaring Lion. At the same time, inflation in the major economic blocs increased. In their most recent decisions, both the Federal Reserve and the European Central Bank raised interest rates by 25 basis points, and the market-implied interest rate path moved higher during the </w:t>
      </w:r>
      <w:r w:rsidR="00E656A9">
        <w:rPr>
          <w:rFonts w:asciiTheme="minorHAnsi" w:hAnsiTheme="minorHAnsi" w:cstheme="minorHAnsi"/>
        </w:rPr>
        <w:t xml:space="preserve">reviewed </w:t>
      </w:r>
      <w:r w:rsidRPr="00374436">
        <w:rPr>
          <w:rFonts w:asciiTheme="minorHAnsi" w:hAnsiTheme="minorHAnsi" w:cstheme="minorHAnsi"/>
        </w:rPr>
        <w:t>period, now incorporating roughly three rate hikes over the coming year.</w:t>
      </w:r>
    </w:p>
    <w:p w:rsidR="00374436" w:rsidRPr="00374436" w:rsidRDefault="00374436" w:rsidP="0048423C">
      <w:pPr>
        <w:pStyle w:val="NormalWeb"/>
        <w:jc w:val="both"/>
        <w:rPr>
          <w:rFonts w:asciiTheme="minorHAnsi" w:hAnsiTheme="minorHAnsi" w:cstheme="minorHAnsi"/>
        </w:rPr>
      </w:pPr>
      <w:r w:rsidRPr="00374436">
        <w:rPr>
          <w:rFonts w:asciiTheme="minorHAnsi" w:hAnsiTheme="minorHAnsi" w:cstheme="minorHAnsi"/>
        </w:rPr>
        <w:t xml:space="preserve">To conclude, the Israeli economy continues to operate in an environment characterized by high geopolitical and fiscal uncertainty. Inflation has moderated and remains slightly below the midpoint of the target range, while economic activity continues to recover. The full effects of the monetary policy measures we have already taken have not yet been fully reflected in the economy, and at this </w:t>
      </w:r>
      <w:proofErr w:type="gramStart"/>
      <w:r w:rsidRPr="00374436">
        <w:rPr>
          <w:rFonts w:asciiTheme="minorHAnsi" w:hAnsiTheme="minorHAnsi" w:cstheme="minorHAnsi"/>
        </w:rPr>
        <w:t>stage</w:t>
      </w:r>
      <w:proofErr w:type="gramEnd"/>
      <w:r w:rsidRPr="00374436">
        <w:rPr>
          <w:rFonts w:asciiTheme="minorHAnsi" w:hAnsiTheme="minorHAnsi" w:cstheme="minorHAnsi"/>
        </w:rPr>
        <w:t xml:space="preserve"> it is appropriate to continue monitoring their cumulative impact. The Monetary Committee will continue to act in accordance with the data and </w:t>
      </w:r>
      <w:r w:rsidR="000667AB">
        <w:rPr>
          <w:rFonts w:asciiTheme="minorHAnsi" w:hAnsiTheme="minorHAnsi" w:cstheme="minorHAnsi"/>
        </w:rPr>
        <w:t xml:space="preserve">in line with </w:t>
      </w:r>
      <w:r w:rsidRPr="00374436">
        <w:rPr>
          <w:rFonts w:asciiTheme="minorHAnsi" w:hAnsiTheme="minorHAnsi" w:cstheme="minorHAnsi"/>
        </w:rPr>
        <w:t>economic developments. The interest rate</w:t>
      </w:r>
      <w:r w:rsidR="00E656A9">
        <w:rPr>
          <w:rFonts w:asciiTheme="minorHAnsi" w:hAnsiTheme="minorHAnsi" w:cstheme="minorHAnsi"/>
        </w:rPr>
        <w:t xml:space="preserve"> path</w:t>
      </w:r>
      <w:r w:rsidRPr="00374436">
        <w:rPr>
          <w:rFonts w:asciiTheme="minorHAnsi" w:hAnsiTheme="minorHAnsi" w:cstheme="minorHAnsi"/>
        </w:rPr>
        <w:t xml:space="preserve"> will be determined in </w:t>
      </w:r>
      <w:r w:rsidR="003230A3">
        <w:rPr>
          <w:rFonts w:asciiTheme="minorHAnsi" w:hAnsiTheme="minorHAnsi" w:cstheme="minorHAnsi"/>
        </w:rPr>
        <w:t>accordance</w:t>
      </w:r>
      <w:r w:rsidRPr="00374436">
        <w:rPr>
          <w:rFonts w:asciiTheme="minorHAnsi" w:hAnsiTheme="minorHAnsi" w:cstheme="minorHAnsi"/>
        </w:rPr>
        <w:t xml:space="preserve"> with </w:t>
      </w:r>
      <w:r w:rsidR="000667AB">
        <w:rPr>
          <w:rFonts w:asciiTheme="minorHAnsi" w:hAnsiTheme="minorHAnsi" w:cstheme="minorHAnsi"/>
        </w:rPr>
        <w:t xml:space="preserve">the development of </w:t>
      </w:r>
      <w:r w:rsidRPr="00374436">
        <w:rPr>
          <w:rFonts w:asciiTheme="minorHAnsi" w:hAnsiTheme="minorHAnsi" w:cstheme="minorHAnsi"/>
        </w:rPr>
        <w:t>inflation, economic activity, geopolitical uncertainty, and fiscal developments.</w:t>
      </w:r>
    </w:p>
    <w:p w:rsidR="00374436" w:rsidRPr="00374436" w:rsidRDefault="00374436" w:rsidP="003230A3">
      <w:pPr>
        <w:pStyle w:val="NormalWeb"/>
        <w:jc w:val="both"/>
        <w:rPr>
          <w:rFonts w:asciiTheme="minorHAnsi" w:hAnsiTheme="minorHAnsi" w:cstheme="minorHAnsi"/>
        </w:rPr>
      </w:pPr>
      <w:r w:rsidRPr="00374436">
        <w:rPr>
          <w:rFonts w:asciiTheme="minorHAnsi" w:hAnsiTheme="minorHAnsi" w:cstheme="minorHAnsi"/>
        </w:rPr>
        <w:t>The Bank of Israel and the Monetary Committee stand with the soldiers and all members of the security forces who are fighting bravely for us on the various fronts. We extend our condolences to the families</w:t>
      </w:r>
      <w:r w:rsidR="003230A3">
        <w:rPr>
          <w:rFonts w:asciiTheme="minorHAnsi" w:hAnsiTheme="minorHAnsi" w:cstheme="minorHAnsi"/>
        </w:rPr>
        <w:t xml:space="preserve"> of those who have fallen,</w:t>
      </w:r>
      <w:r w:rsidRPr="00374436">
        <w:rPr>
          <w:rFonts w:asciiTheme="minorHAnsi" w:hAnsiTheme="minorHAnsi" w:cstheme="minorHAnsi"/>
        </w:rPr>
        <w:t xml:space="preserve"> and wish the wounded a full and speedy recovery.</w:t>
      </w:r>
    </w:p>
    <w:p w:rsidR="00374436" w:rsidRPr="00374436" w:rsidRDefault="00374436" w:rsidP="00E608A6">
      <w:pPr>
        <w:pStyle w:val="NormalWeb"/>
        <w:jc w:val="both"/>
        <w:rPr>
          <w:rFonts w:asciiTheme="minorHAnsi" w:hAnsiTheme="minorHAnsi" w:cstheme="minorHAnsi"/>
        </w:rPr>
      </w:pPr>
      <w:r w:rsidRPr="00374436">
        <w:rPr>
          <w:rFonts w:asciiTheme="minorHAnsi" w:hAnsiTheme="minorHAnsi" w:cstheme="minorHAnsi"/>
        </w:rPr>
        <w:t>Thank you.</w:t>
      </w:r>
    </w:p>
    <w:p w:rsidR="00374436" w:rsidRPr="00374436" w:rsidRDefault="00374436" w:rsidP="00E608A6">
      <w:pPr>
        <w:jc w:val="both"/>
        <w:rPr>
          <w:rFonts w:asciiTheme="minorHAnsi" w:hAnsiTheme="minorHAnsi" w:cstheme="minorHAnsi"/>
        </w:rPr>
      </w:pPr>
    </w:p>
    <w:bookmarkEnd w:id="0"/>
    <w:p w:rsidR="00374436" w:rsidRPr="00374436" w:rsidRDefault="00374436" w:rsidP="00E608A6">
      <w:pPr>
        <w:jc w:val="both"/>
        <w:rPr>
          <w:rFonts w:asciiTheme="minorHAnsi" w:hAnsiTheme="minorHAnsi" w:cstheme="minorHAnsi"/>
          <w:b/>
          <w:bCs/>
          <w:rtl/>
        </w:rPr>
      </w:pPr>
    </w:p>
    <w:sectPr w:rsidR="00374436" w:rsidRPr="00374436" w:rsidSect="00374436">
      <w:headerReference w:type="first" r:id="rId8"/>
      <w:type w:val="continuous"/>
      <w:pgSz w:w="11907" w:h="16839" w:code="9"/>
      <w:pgMar w:top="1135" w:right="1417" w:bottom="1304" w:left="1418" w:header="10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3A8" w:rsidRDefault="00221F10">
      <w:r>
        <w:separator/>
      </w:r>
    </w:p>
  </w:endnote>
  <w:endnote w:type="continuationSeparator" w:id="0">
    <w:p w:rsidR="009D03A8" w:rsidRDefault="00221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3A8" w:rsidRDefault="00221F10">
      <w:r>
        <w:separator/>
      </w:r>
    </w:p>
  </w:footnote>
  <w:footnote w:type="continuationSeparator" w:id="0">
    <w:p w:rsidR="009D03A8" w:rsidRDefault="00221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421" w:rsidRDefault="00064421" w:rsidP="00064421">
    <w:pPr>
      <w:pStyle w:val="LetterheadBOI"/>
      <w:jc w:val="both"/>
      <w:rPr>
        <w:rFonts w:asciiTheme="minorHAnsi" w:hAnsiTheme="minorHAnsi" w:cstheme="minorHAnsi"/>
        <w:rtl/>
      </w:rPr>
    </w:pPr>
    <w:r w:rsidRPr="00FC09F0">
      <w:rPr>
        <w:rFonts w:ascii="Calibri" w:hAnsi="Calibri" w:cs="Calibri"/>
        <w:bCs/>
        <w:noProof/>
      </w:rPr>
      <w:drawing>
        <wp:anchor distT="0" distB="0" distL="114300" distR="114300" simplePos="0" relativeHeight="251659264" behindDoc="1" locked="0" layoutInCell="1" allowOverlap="1" wp14:anchorId="5C0BEB4F" wp14:editId="504F0D97">
          <wp:simplePos x="0" y="0"/>
          <wp:positionH relativeFrom="margin">
            <wp:posOffset>5210175</wp:posOffset>
          </wp:positionH>
          <wp:positionV relativeFrom="paragraph">
            <wp:posOffset>-119380</wp:posOffset>
          </wp:positionV>
          <wp:extent cx="1065530" cy="1065530"/>
          <wp:effectExtent l="0" t="0" r="1270" b="1270"/>
          <wp:wrapNone/>
          <wp:docPr id="2" name="Picture 2" descr="C:\Users\t061\AppData\Local\Microsoft\Windows\INetCache\Content.Word\Logo Bank of Israel 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061\AppData\Local\Microsoft\Windows\INetCache\Content.Word\Logo Bank of Israel 2 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530" cy="10655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4421" w:rsidRPr="00FC09F0" w:rsidRDefault="00064421" w:rsidP="00064421">
    <w:pPr>
      <w:pStyle w:val="LetterheadBOI"/>
      <w:jc w:val="both"/>
      <w:rPr>
        <w:rFonts w:asciiTheme="minorHAnsi" w:hAnsiTheme="minorHAnsi" w:cstheme="minorHAnsi"/>
      </w:rPr>
    </w:pPr>
    <w:r w:rsidRPr="00FC09F0">
      <w:rPr>
        <w:rFonts w:asciiTheme="minorHAnsi" w:hAnsiTheme="minorHAnsi" w:cstheme="minorHAnsi"/>
      </w:rPr>
      <w:t>BANK OF ISRAEL</w:t>
    </w:r>
  </w:p>
  <w:p w:rsidR="00064421" w:rsidRDefault="00064421" w:rsidP="00064421">
    <w:pPr>
      <w:pStyle w:val="LetterheadBOI"/>
      <w:jc w:val="both"/>
      <w:rPr>
        <w:rFonts w:asciiTheme="minorHAnsi" w:hAnsiTheme="minorHAnsi" w:cstheme="minorHAnsi"/>
        <w:b w:val="0"/>
        <w:bCs/>
      </w:rPr>
    </w:pPr>
    <w:r w:rsidRPr="00FC09F0">
      <w:rPr>
        <w:rFonts w:asciiTheme="minorHAnsi" w:hAnsiTheme="minorHAnsi" w:cstheme="minorHAnsi"/>
        <w:b w:val="0"/>
        <w:bCs/>
      </w:rPr>
      <w:t>Office of the Spokesperson and</w:t>
    </w:r>
    <w:r>
      <w:rPr>
        <w:rFonts w:asciiTheme="minorHAnsi" w:hAnsiTheme="minorHAnsi" w:cstheme="minorHAnsi"/>
        <w:b w:val="0"/>
        <w:bCs/>
      </w:rPr>
      <w:t xml:space="preserve"> </w:t>
    </w:r>
  </w:p>
  <w:p w:rsidR="00064421" w:rsidRPr="00067220" w:rsidRDefault="00064421" w:rsidP="00064421">
    <w:pPr>
      <w:pStyle w:val="LetterheadBOI"/>
      <w:jc w:val="both"/>
      <w:rPr>
        <w:rFonts w:asciiTheme="minorHAnsi" w:hAnsiTheme="minorHAnsi" w:cstheme="minorHAnsi"/>
        <w:b w:val="0"/>
        <w:bCs/>
      </w:rPr>
    </w:pPr>
    <w:r w:rsidRPr="00FC09F0">
      <w:rPr>
        <w:rFonts w:asciiTheme="minorHAnsi" w:hAnsiTheme="minorHAnsi" w:cstheme="minorHAnsi"/>
        <w:b w:val="0"/>
        <w:bCs/>
      </w:rPr>
      <w:t>Economic Information</w:t>
    </w:r>
    <w:r>
      <w:rPr>
        <w:rFonts w:asciiTheme="minorHAnsi" w:hAnsiTheme="minorHAnsi" w:cstheme="minorHAnsi"/>
        <w:b w:val="0"/>
        <w:bCs/>
      </w:rPr>
      <w:tab/>
    </w:r>
    <w:r>
      <w:rPr>
        <w:rFonts w:asciiTheme="minorHAnsi" w:hAnsiTheme="minorHAnsi" w:cstheme="minorHAnsi"/>
        <w:b w:val="0"/>
        <w:bCs/>
      </w:rPr>
      <w:tab/>
    </w:r>
  </w:p>
  <w:p w:rsidR="00B06E18" w:rsidRPr="00064421" w:rsidRDefault="00B06E18" w:rsidP="00064421">
    <w:pPr>
      <w:pStyle w:val="aa"/>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hebrew1"/>
      <w:pStyle w:val="1"/>
      <w:lvlText w:val="%1."/>
      <w:legacy w:legacy="1" w:legacySpace="0" w:legacyIndent="340"/>
      <w:lvlJc w:val="right"/>
      <w:pPr>
        <w:ind w:left="340" w:hanging="340"/>
      </w:pPr>
      <w:rPr>
        <w:rFonts w:ascii="Times New Roman" w:hAnsi="Times New Roman" w:cs="Times New Roman" w:hint="default"/>
        <w:b w:val="0"/>
        <w:i w:val="0"/>
        <w:sz w:val="22"/>
        <w:szCs w:val="24"/>
      </w:rPr>
    </w:lvl>
    <w:lvl w:ilvl="1">
      <w:start w:val="1"/>
      <w:numFmt w:val="decimal"/>
      <w:pStyle w:val="2"/>
      <w:lvlText w:val="%2."/>
      <w:legacy w:legacy="1" w:legacySpace="0" w:legacyIndent="340"/>
      <w:lvlJc w:val="right"/>
      <w:pPr>
        <w:ind w:left="680" w:hanging="340"/>
      </w:pPr>
      <w:rPr>
        <w:rFonts w:ascii="Times New Roman" w:hAnsi="Times New Roman" w:cs="Times New Roman" w:hint="default"/>
        <w:b w:val="0"/>
        <w:i w:val="0"/>
        <w:sz w:val="22"/>
      </w:rPr>
    </w:lvl>
    <w:lvl w:ilvl="2">
      <w:start w:val="1"/>
      <w:numFmt w:val="hebrew1"/>
      <w:pStyle w:val="3"/>
      <w:lvlText w:val="%3)"/>
      <w:legacy w:legacy="1" w:legacySpace="0" w:legacyIndent="340"/>
      <w:lvlJc w:val="right"/>
      <w:pPr>
        <w:ind w:left="1020" w:hanging="340"/>
      </w:pPr>
      <w:rPr>
        <w:rFonts w:ascii="Times New Roman" w:hAnsi="Times New Roman" w:cs="Times New Roman" w:hint="default"/>
        <w:b w:val="0"/>
        <w:i w:val="0"/>
        <w:sz w:val="22"/>
        <w:szCs w:val="24"/>
      </w:rPr>
    </w:lvl>
    <w:lvl w:ilvl="3">
      <w:start w:val="1"/>
      <w:numFmt w:val="decimal"/>
      <w:pStyle w:val="4"/>
      <w:lvlText w:val="(%4)"/>
      <w:legacy w:legacy="1" w:legacySpace="0" w:legacyIndent="340"/>
      <w:lvlJc w:val="right"/>
      <w:pPr>
        <w:ind w:left="1360" w:hanging="340"/>
      </w:pPr>
      <w:rPr>
        <w:rFonts w:ascii="Times New Roman" w:hAnsi="Times New Roman" w:cs="Times New Roman" w:hint="default"/>
        <w:b w:val="0"/>
        <w:i w:val="0"/>
        <w:sz w:val="22"/>
      </w:rPr>
    </w:lvl>
    <w:lvl w:ilvl="4">
      <w:start w:val="1"/>
      <w:numFmt w:val="decimal"/>
      <w:pStyle w:val="5"/>
      <w:lvlText w:val="(%5)"/>
      <w:legacy w:legacy="1" w:legacySpace="0" w:legacyIndent="708"/>
      <w:lvlJc w:val="center"/>
      <w:pPr>
        <w:ind w:left="2068" w:hanging="708"/>
      </w:pPr>
      <w:rPr>
        <w:rFonts w:ascii="Times New Roman" w:hAnsi="Times New Roman" w:cs="Times New Roman"/>
      </w:rPr>
    </w:lvl>
    <w:lvl w:ilvl="5">
      <w:start w:val="1"/>
      <w:numFmt w:val="lowerLetter"/>
      <w:pStyle w:val="6"/>
      <w:lvlText w:val="(%6)"/>
      <w:legacy w:legacy="1" w:legacySpace="0" w:legacyIndent="708"/>
      <w:lvlJc w:val="center"/>
      <w:pPr>
        <w:ind w:left="2776" w:hanging="708"/>
      </w:pPr>
      <w:rPr>
        <w:rFonts w:ascii="Times New Roman" w:hAnsi="Times New Roman" w:cs="Times New Roman"/>
      </w:rPr>
    </w:lvl>
    <w:lvl w:ilvl="6">
      <w:start w:val="1"/>
      <w:numFmt w:val="lowerRoman"/>
      <w:pStyle w:val="7"/>
      <w:lvlText w:val="(%7)"/>
      <w:legacy w:legacy="1" w:legacySpace="0" w:legacyIndent="708"/>
      <w:lvlJc w:val="center"/>
      <w:pPr>
        <w:ind w:left="3484" w:hanging="708"/>
      </w:pPr>
      <w:rPr>
        <w:rFonts w:ascii="Times New Roman" w:hAnsi="Times New Roman" w:cs="Times New Roman"/>
      </w:rPr>
    </w:lvl>
    <w:lvl w:ilvl="7">
      <w:start w:val="1"/>
      <w:numFmt w:val="lowerLetter"/>
      <w:pStyle w:val="8"/>
      <w:lvlText w:val="(%8)"/>
      <w:legacy w:legacy="1" w:legacySpace="0" w:legacyIndent="708"/>
      <w:lvlJc w:val="center"/>
      <w:pPr>
        <w:ind w:left="4192" w:hanging="708"/>
      </w:pPr>
      <w:rPr>
        <w:rFonts w:ascii="Times New Roman" w:hAnsi="Times New Roman" w:cs="Times New Roman"/>
      </w:rPr>
    </w:lvl>
    <w:lvl w:ilvl="8">
      <w:start w:val="1"/>
      <w:numFmt w:val="lowerRoman"/>
      <w:pStyle w:val="9"/>
      <w:lvlText w:val="(%9)"/>
      <w:legacy w:legacy="1" w:legacySpace="0" w:legacyIndent="708"/>
      <w:lvlJc w:val="center"/>
      <w:pPr>
        <w:ind w:left="4900" w:hanging="708"/>
      </w:pPr>
      <w:rPr>
        <w:rFonts w:ascii="Times New Roman" w:hAnsi="Times New Roman" w:cs="Times New Roman"/>
      </w:rPr>
    </w:lvl>
  </w:abstractNum>
  <w:abstractNum w:abstractNumId="1" w15:restartNumberingAfterBreak="0">
    <w:nsid w:val="0542714D"/>
    <w:multiLevelType w:val="hybridMultilevel"/>
    <w:tmpl w:val="EAD21DEE"/>
    <w:lvl w:ilvl="0" w:tplc="2A4C312A">
      <w:start w:val="1"/>
      <w:numFmt w:val="bullet"/>
      <w:lvlText w:val=""/>
      <w:lvlJc w:val="left"/>
      <w:pPr>
        <w:ind w:left="360" w:hanging="360"/>
      </w:pPr>
      <w:rPr>
        <w:rFonts w:ascii="Symbol" w:hAnsi="Symbol" w:hint="default"/>
      </w:rPr>
    </w:lvl>
    <w:lvl w:ilvl="1" w:tplc="821E3306" w:tentative="1">
      <w:start w:val="1"/>
      <w:numFmt w:val="bullet"/>
      <w:lvlText w:val="o"/>
      <w:lvlJc w:val="left"/>
      <w:pPr>
        <w:ind w:left="1080" w:hanging="360"/>
      </w:pPr>
      <w:rPr>
        <w:rFonts w:ascii="Courier New" w:hAnsi="Courier New" w:cs="Courier New" w:hint="default"/>
      </w:rPr>
    </w:lvl>
    <w:lvl w:ilvl="2" w:tplc="E58815B4" w:tentative="1">
      <w:start w:val="1"/>
      <w:numFmt w:val="bullet"/>
      <w:lvlText w:val=""/>
      <w:lvlJc w:val="left"/>
      <w:pPr>
        <w:ind w:left="1800" w:hanging="360"/>
      </w:pPr>
      <w:rPr>
        <w:rFonts w:ascii="Wingdings" w:hAnsi="Wingdings" w:hint="default"/>
      </w:rPr>
    </w:lvl>
    <w:lvl w:ilvl="3" w:tplc="051EBF18" w:tentative="1">
      <w:start w:val="1"/>
      <w:numFmt w:val="bullet"/>
      <w:lvlText w:val=""/>
      <w:lvlJc w:val="left"/>
      <w:pPr>
        <w:ind w:left="2520" w:hanging="360"/>
      </w:pPr>
      <w:rPr>
        <w:rFonts w:ascii="Symbol" w:hAnsi="Symbol" w:hint="default"/>
      </w:rPr>
    </w:lvl>
    <w:lvl w:ilvl="4" w:tplc="80605DC8" w:tentative="1">
      <w:start w:val="1"/>
      <w:numFmt w:val="bullet"/>
      <w:lvlText w:val="o"/>
      <w:lvlJc w:val="left"/>
      <w:pPr>
        <w:ind w:left="3240" w:hanging="360"/>
      </w:pPr>
      <w:rPr>
        <w:rFonts w:ascii="Courier New" w:hAnsi="Courier New" w:cs="Courier New" w:hint="default"/>
      </w:rPr>
    </w:lvl>
    <w:lvl w:ilvl="5" w:tplc="4628EFFE" w:tentative="1">
      <w:start w:val="1"/>
      <w:numFmt w:val="bullet"/>
      <w:lvlText w:val=""/>
      <w:lvlJc w:val="left"/>
      <w:pPr>
        <w:ind w:left="3960" w:hanging="360"/>
      </w:pPr>
      <w:rPr>
        <w:rFonts w:ascii="Wingdings" w:hAnsi="Wingdings" w:hint="default"/>
      </w:rPr>
    </w:lvl>
    <w:lvl w:ilvl="6" w:tplc="706AF692" w:tentative="1">
      <w:start w:val="1"/>
      <w:numFmt w:val="bullet"/>
      <w:lvlText w:val=""/>
      <w:lvlJc w:val="left"/>
      <w:pPr>
        <w:ind w:left="4680" w:hanging="360"/>
      </w:pPr>
      <w:rPr>
        <w:rFonts w:ascii="Symbol" w:hAnsi="Symbol" w:hint="default"/>
      </w:rPr>
    </w:lvl>
    <w:lvl w:ilvl="7" w:tplc="F2F410CE" w:tentative="1">
      <w:start w:val="1"/>
      <w:numFmt w:val="bullet"/>
      <w:lvlText w:val="o"/>
      <w:lvlJc w:val="left"/>
      <w:pPr>
        <w:ind w:left="5400" w:hanging="360"/>
      </w:pPr>
      <w:rPr>
        <w:rFonts w:ascii="Courier New" w:hAnsi="Courier New" w:cs="Courier New" w:hint="default"/>
      </w:rPr>
    </w:lvl>
    <w:lvl w:ilvl="8" w:tplc="F05A573E" w:tentative="1">
      <w:start w:val="1"/>
      <w:numFmt w:val="bullet"/>
      <w:lvlText w:val=""/>
      <w:lvlJc w:val="left"/>
      <w:pPr>
        <w:ind w:left="6120" w:hanging="360"/>
      </w:pPr>
      <w:rPr>
        <w:rFonts w:ascii="Wingdings" w:hAnsi="Wingdings" w:hint="default"/>
      </w:rPr>
    </w:lvl>
  </w:abstractNum>
  <w:abstractNum w:abstractNumId="2" w15:restartNumberingAfterBreak="0">
    <w:nsid w:val="07933779"/>
    <w:multiLevelType w:val="hybridMultilevel"/>
    <w:tmpl w:val="D21290EC"/>
    <w:lvl w:ilvl="0" w:tplc="09C4E16A">
      <w:start w:val="1"/>
      <w:numFmt w:val="bullet"/>
      <w:lvlText w:val=""/>
      <w:lvlJc w:val="left"/>
      <w:pPr>
        <w:ind w:left="720" w:hanging="360"/>
      </w:pPr>
      <w:rPr>
        <w:rFonts w:ascii="Symbol" w:hAnsi="Symbol" w:hint="default"/>
      </w:rPr>
    </w:lvl>
    <w:lvl w:ilvl="1" w:tplc="45788146" w:tentative="1">
      <w:start w:val="1"/>
      <w:numFmt w:val="bullet"/>
      <w:lvlText w:val="o"/>
      <w:lvlJc w:val="left"/>
      <w:pPr>
        <w:ind w:left="1440" w:hanging="360"/>
      </w:pPr>
      <w:rPr>
        <w:rFonts w:ascii="Courier New" w:hAnsi="Courier New" w:cs="Courier New" w:hint="default"/>
      </w:rPr>
    </w:lvl>
    <w:lvl w:ilvl="2" w:tplc="D5E8E7BE" w:tentative="1">
      <w:start w:val="1"/>
      <w:numFmt w:val="bullet"/>
      <w:lvlText w:val=""/>
      <w:lvlJc w:val="left"/>
      <w:pPr>
        <w:ind w:left="2160" w:hanging="360"/>
      </w:pPr>
      <w:rPr>
        <w:rFonts w:ascii="Wingdings" w:hAnsi="Wingdings" w:hint="default"/>
      </w:rPr>
    </w:lvl>
    <w:lvl w:ilvl="3" w:tplc="F9663FF4" w:tentative="1">
      <w:start w:val="1"/>
      <w:numFmt w:val="bullet"/>
      <w:lvlText w:val=""/>
      <w:lvlJc w:val="left"/>
      <w:pPr>
        <w:ind w:left="2880" w:hanging="360"/>
      </w:pPr>
      <w:rPr>
        <w:rFonts w:ascii="Symbol" w:hAnsi="Symbol" w:hint="default"/>
      </w:rPr>
    </w:lvl>
    <w:lvl w:ilvl="4" w:tplc="DB3AF43C" w:tentative="1">
      <w:start w:val="1"/>
      <w:numFmt w:val="bullet"/>
      <w:lvlText w:val="o"/>
      <w:lvlJc w:val="left"/>
      <w:pPr>
        <w:ind w:left="3600" w:hanging="360"/>
      </w:pPr>
      <w:rPr>
        <w:rFonts w:ascii="Courier New" w:hAnsi="Courier New" w:cs="Courier New" w:hint="default"/>
      </w:rPr>
    </w:lvl>
    <w:lvl w:ilvl="5" w:tplc="508A49A8" w:tentative="1">
      <w:start w:val="1"/>
      <w:numFmt w:val="bullet"/>
      <w:lvlText w:val=""/>
      <w:lvlJc w:val="left"/>
      <w:pPr>
        <w:ind w:left="4320" w:hanging="360"/>
      </w:pPr>
      <w:rPr>
        <w:rFonts w:ascii="Wingdings" w:hAnsi="Wingdings" w:hint="default"/>
      </w:rPr>
    </w:lvl>
    <w:lvl w:ilvl="6" w:tplc="2B049AB2" w:tentative="1">
      <w:start w:val="1"/>
      <w:numFmt w:val="bullet"/>
      <w:lvlText w:val=""/>
      <w:lvlJc w:val="left"/>
      <w:pPr>
        <w:ind w:left="5040" w:hanging="360"/>
      </w:pPr>
      <w:rPr>
        <w:rFonts w:ascii="Symbol" w:hAnsi="Symbol" w:hint="default"/>
      </w:rPr>
    </w:lvl>
    <w:lvl w:ilvl="7" w:tplc="47C23274" w:tentative="1">
      <w:start w:val="1"/>
      <w:numFmt w:val="bullet"/>
      <w:lvlText w:val="o"/>
      <w:lvlJc w:val="left"/>
      <w:pPr>
        <w:ind w:left="5760" w:hanging="360"/>
      </w:pPr>
      <w:rPr>
        <w:rFonts w:ascii="Courier New" w:hAnsi="Courier New" w:cs="Courier New" w:hint="default"/>
      </w:rPr>
    </w:lvl>
    <w:lvl w:ilvl="8" w:tplc="04D853D6" w:tentative="1">
      <w:start w:val="1"/>
      <w:numFmt w:val="bullet"/>
      <w:lvlText w:val=""/>
      <w:lvlJc w:val="left"/>
      <w:pPr>
        <w:ind w:left="6480" w:hanging="360"/>
      </w:pPr>
      <w:rPr>
        <w:rFonts w:ascii="Wingdings" w:hAnsi="Wingdings" w:hint="default"/>
      </w:rPr>
    </w:lvl>
  </w:abstractNum>
  <w:abstractNum w:abstractNumId="3" w15:restartNumberingAfterBreak="0">
    <w:nsid w:val="10571947"/>
    <w:multiLevelType w:val="hybridMultilevel"/>
    <w:tmpl w:val="DED880D6"/>
    <w:lvl w:ilvl="0" w:tplc="E24C06C4">
      <w:start w:val="1"/>
      <w:numFmt w:val="bullet"/>
      <w:lvlText w:val=""/>
      <w:lvlJc w:val="left"/>
      <w:pPr>
        <w:ind w:left="720" w:hanging="360"/>
      </w:pPr>
      <w:rPr>
        <w:rFonts w:ascii="Wingdings" w:hAnsi="Wingdings" w:hint="default"/>
      </w:rPr>
    </w:lvl>
    <w:lvl w:ilvl="1" w:tplc="FAEE0D1C" w:tentative="1">
      <w:start w:val="1"/>
      <w:numFmt w:val="bullet"/>
      <w:lvlText w:val="o"/>
      <w:lvlJc w:val="left"/>
      <w:pPr>
        <w:ind w:left="1440" w:hanging="360"/>
      </w:pPr>
      <w:rPr>
        <w:rFonts w:ascii="Courier New" w:hAnsi="Courier New" w:cs="Courier New" w:hint="default"/>
      </w:rPr>
    </w:lvl>
    <w:lvl w:ilvl="2" w:tplc="46CED7F6" w:tentative="1">
      <w:start w:val="1"/>
      <w:numFmt w:val="bullet"/>
      <w:lvlText w:val=""/>
      <w:lvlJc w:val="left"/>
      <w:pPr>
        <w:ind w:left="2160" w:hanging="360"/>
      </w:pPr>
      <w:rPr>
        <w:rFonts w:ascii="Wingdings" w:hAnsi="Wingdings" w:hint="default"/>
      </w:rPr>
    </w:lvl>
    <w:lvl w:ilvl="3" w:tplc="A2F88F5A" w:tentative="1">
      <w:start w:val="1"/>
      <w:numFmt w:val="bullet"/>
      <w:lvlText w:val=""/>
      <w:lvlJc w:val="left"/>
      <w:pPr>
        <w:ind w:left="2880" w:hanging="360"/>
      </w:pPr>
      <w:rPr>
        <w:rFonts w:ascii="Symbol" w:hAnsi="Symbol" w:hint="default"/>
      </w:rPr>
    </w:lvl>
    <w:lvl w:ilvl="4" w:tplc="EB3E4EFC" w:tentative="1">
      <w:start w:val="1"/>
      <w:numFmt w:val="bullet"/>
      <w:lvlText w:val="o"/>
      <w:lvlJc w:val="left"/>
      <w:pPr>
        <w:ind w:left="3600" w:hanging="360"/>
      </w:pPr>
      <w:rPr>
        <w:rFonts w:ascii="Courier New" w:hAnsi="Courier New" w:cs="Courier New" w:hint="default"/>
      </w:rPr>
    </w:lvl>
    <w:lvl w:ilvl="5" w:tplc="A4D4D110" w:tentative="1">
      <w:start w:val="1"/>
      <w:numFmt w:val="bullet"/>
      <w:lvlText w:val=""/>
      <w:lvlJc w:val="left"/>
      <w:pPr>
        <w:ind w:left="4320" w:hanging="360"/>
      </w:pPr>
      <w:rPr>
        <w:rFonts w:ascii="Wingdings" w:hAnsi="Wingdings" w:hint="default"/>
      </w:rPr>
    </w:lvl>
    <w:lvl w:ilvl="6" w:tplc="03D8C61C" w:tentative="1">
      <w:start w:val="1"/>
      <w:numFmt w:val="bullet"/>
      <w:lvlText w:val=""/>
      <w:lvlJc w:val="left"/>
      <w:pPr>
        <w:ind w:left="5040" w:hanging="360"/>
      </w:pPr>
      <w:rPr>
        <w:rFonts w:ascii="Symbol" w:hAnsi="Symbol" w:hint="default"/>
      </w:rPr>
    </w:lvl>
    <w:lvl w:ilvl="7" w:tplc="B49693F2" w:tentative="1">
      <w:start w:val="1"/>
      <w:numFmt w:val="bullet"/>
      <w:lvlText w:val="o"/>
      <w:lvlJc w:val="left"/>
      <w:pPr>
        <w:ind w:left="5760" w:hanging="360"/>
      </w:pPr>
      <w:rPr>
        <w:rFonts w:ascii="Courier New" w:hAnsi="Courier New" w:cs="Courier New" w:hint="default"/>
      </w:rPr>
    </w:lvl>
    <w:lvl w:ilvl="8" w:tplc="371EFAE4" w:tentative="1">
      <w:start w:val="1"/>
      <w:numFmt w:val="bullet"/>
      <w:lvlText w:val=""/>
      <w:lvlJc w:val="left"/>
      <w:pPr>
        <w:ind w:left="6480" w:hanging="360"/>
      </w:pPr>
      <w:rPr>
        <w:rFonts w:ascii="Wingdings" w:hAnsi="Wingdings" w:hint="default"/>
      </w:rPr>
    </w:lvl>
  </w:abstractNum>
  <w:abstractNum w:abstractNumId="4" w15:restartNumberingAfterBreak="0">
    <w:nsid w:val="35EE1775"/>
    <w:multiLevelType w:val="hybridMultilevel"/>
    <w:tmpl w:val="3872C2FE"/>
    <w:lvl w:ilvl="0" w:tplc="CB06218C">
      <w:start w:val="1"/>
      <w:numFmt w:val="bullet"/>
      <w:lvlText w:val=""/>
      <w:lvlJc w:val="left"/>
      <w:pPr>
        <w:ind w:left="360" w:hanging="360"/>
      </w:pPr>
      <w:rPr>
        <w:rFonts w:ascii="Symbol" w:hAnsi="Symbol" w:hint="default"/>
      </w:rPr>
    </w:lvl>
    <w:lvl w:ilvl="1" w:tplc="6BDEC2B8" w:tentative="1">
      <w:start w:val="1"/>
      <w:numFmt w:val="bullet"/>
      <w:lvlText w:val="o"/>
      <w:lvlJc w:val="left"/>
      <w:pPr>
        <w:ind w:left="1080" w:hanging="360"/>
      </w:pPr>
      <w:rPr>
        <w:rFonts w:ascii="Courier New" w:hAnsi="Courier New" w:cs="Courier New" w:hint="default"/>
      </w:rPr>
    </w:lvl>
    <w:lvl w:ilvl="2" w:tplc="835AA526" w:tentative="1">
      <w:start w:val="1"/>
      <w:numFmt w:val="bullet"/>
      <w:lvlText w:val=""/>
      <w:lvlJc w:val="left"/>
      <w:pPr>
        <w:ind w:left="1800" w:hanging="360"/>
      </w:pPr>
      <w:rPr>
        <w:rFonts w:ascii="Wingdings" w:hAnsi="Wingdings" w:hint="default"/>
      </w:rPr>
    </w:lvl>
    <w:lvl w:ilvl="3" w:tplc="51EA06C4" w:tentative="1">
      <w:start w:val="1"/>
      <w:numFmt w:val="bullet"/>
      <w:lvlText w:val=""/>
      <w:lvlJc w:val="left"/>
      <w:pPr>
        <w:ind w:left="2520" w:hanging="360"/>
      </w:pPr>
      <w:rPr>
        <w:rFonts w:ascii="Symbol" w:hAnsi="Symbol" w:hint="default"/>
      </w:rPr>
    </w:lvl>
    <w:lvl w:ilvl="4" w:tplc="F800B944" w:tentative="1">
      <w:start w:val="1"/>
      <w:numFmt w:val="bullet"/>
      <w:lvlText w:val="o"/>
      <w:lvlJc w:val="left"/>
      <w:pPr>
        <w:ind w:left="3240" w:hanging="360"/>
      </w:pPr>
      <w:rPr>
        <w:rFonts w:ascii="Courier New" w:hAnsi="Courier New" w:cs="Courier New" w:hint="default"/>
      </w:rPr>
    </w:lvl>
    <w:lvl w:ilvl="5" w:tplc="E7A65BDE" w:tentative="1">
      <w:start w:val="1"/>
      <w:numFmt w:val="bullet"/>
      <w:lvlText w:val=""/>
      <w:lvlJc w:val="left"/>
      <w:pPr>
        <w:ind w:left="3960" w:hanging="360"/>
      </w:pPr>
      <w:rPr>
        <w:rFonts w:ascii="Wingdings" w:hAnsi="Wingdings" w:hint="default"/>
      </w:rPr>
    </w:lvl>
    <w:lvl w:ilvl="6" w:tplc="CC209FC0" w:tentative="1">
      <w:start w:val="1"/>
      <w:numFmt w:val="bullet"/>
      <w:lvlText w:val=""/>
      <w:lvlJc w:val="left"/>
      <w:pPr>
        <w:ind w:left="4680" w:hanging="360"/>
      </w:pPr>
      <w:rPr>
        <w:rFonts w:ascii="Symbol" w:hAnsi="Symbol" w:hint="default"/>
      </w:rPr>
    </w:lvl>
    <w:lvl w:ilvl="7" w:tplc="EF4E2570" w:tentative="1">
      <w:start w:val="1"/>
      <w:numFmt w:val="bullet"/>
      <w:lvlText w:val="o"/>
      <w:lvlJc w:val="left"/>
      <w:pPr>
        <w:ind w:left="5400" w:hanging="360"/>
      </w:pPr>
      <w:rPr>
        <w:rFonts w:ascii="Courier New" w:hAnsi="Courier New" w:cs="Courier New" w:hint="default"/>
      </w:rPr>
    </w:lvl>
    <w:lvl w:ilvl="8" w:tplc="87986B84" w:tentative="1">
      <w:start w:val="1"/>
      <w:numFmt w:val="bullet"/>
      <w:lvlText w:val=""/>
      <w:lvlJc w:val="left"/>
      <w:pPr>
        <w:ind w:left="6120" w:hanging="360"/>
      </w:pPr>
      <w:rPr>
        <w:rFonts w:ascii="Wingdings" w:hAnsi="Wingdings" w:hint="default"/>
      </w:rPr>
    </w:lvl>
  </w:abstractNum>
  <w:abstractNum w:abstractNumId="5" w15:restartNumberingAfterBreak="0">
    <w:nsid w:val="3BAB429C"/>
    <w:multiLevelType w:val="hybridMultilevel"/>
    <w:tmpl w:val="54887F04"/>
    <w:lvl w:ilvl="0" w:tplc="3E662B70">
      <w:start w:val="1"/>
      <w:numFmt w:val="bullet"/>
      <w:lvlText w:val=""/>
      <w:lvlJc w:val="left"/>
      <w:pPr>
        <w:ind w:left="720" w:hanging="360"/>
      </w:pPr>
      <w:rPr>
        <w:rFonts w:ascii="Symbol" w:hAnsi="Symbol" w:hint="default"/>
      </w:rPr>
    </w:lvl>
    <w:lvl w:ilvl="1" w:tplc="C1E4CE5E" w:tentative="1">
      <w:start w:val="1"/>
      <w:numFmt w:val="bullet"/>
      <w:lvlText w:val="o"/>
      <w:lvlJc w:val="left"/>
      <w:pPr>
        <w:ind w:left="1440" w:hanging="360"/>
      </w:pPr>
      <w:rPr>
        <w:rFonts w:ascii="Courier New" w:hAnsi="Courier New" w:cs="Courier New" w:hint="default"/>
      </w:rPr>
    </w:lvl>
    <w:lvl w:ilvl="2" w:tplc="A6E2BAEA" w:tentative="1">
      <w:start w:val="1"/>
      <w:numFmt w:val="bullet"/>
      <w:lvlText w:val=""/>
      <w:lvlJc w:val="left"/>
      <w:pPr>
        <w:ind w:left="2160" w:hanging="360"/>
      </w:pPr>
      <w:rPr>
        <w:rFonts w:ascii="Wingdings" w:hAnsi="Wingdings" w:hint="default"/>
      </w:rPr>
    </w:lvl>
    <w:lvl w:ilvl="3" w:tplc="1DC0AC80" w:tentative="1">
      <w:start w:val="1"/>
      <w:numFmt w:val="bullet"/>
      <w:lvlText w:val=""/>
      <w:lvlJc w:val="left"/>
      <w:pPr>
        <w:ind w:left="2880" w:hanging="360"/>
      </w:pPr>
      <w:rPr>
        <w:rFonts w:ascii="Symbol" w:hAnsi="Symbol" w:hint="default"/>
      </w:rPr>
    </w:lvl>
    <w:lvl w:ilvl="4" w:tplc="4A2A980E" w:tentative="1">
      <w:start w:val="1"/>
      <w:numFmt w:val="bullet"/>
      <w:lvlText w:val="o"/>
      <w:lvlJc w:val="left"/>
      <w:pPr>
        <w:ind w:left="3600" w:hanging="360"/>
      </w:pPr>
      <w:rPr>
        <w:rFonts w:ascii="Courier New" w:hAnsi="Courier New" w:cs="Courier New" w:hint="default"/>
      </w:rPr>
    </w:lvl>
    <w:lvl w:ilvl="5" w:tplc="C2EC5ED2" w:tentative="1">
      <w:start w:val="1"/>
      <w:numFmt w:val="bullet"/>
      <w:lvlText w:val=""/>
      <w:lvlJc w:val="left"/>
      <w:pPr>
        <w:ind w:left="4320" w:hanging="360"/>
      </w:pPr>
      <w:rPr>
        <w:rFonts w:ascii="Wingdings" w:hAnsi="Wingdings" w:hint="default"/>
      </w:rPr>
    </w:lvl>
    <w:lvl w:ilvl="6" w:tplc="00F4DF20" w:tentative="1">
      <w:start w:val="1"/>
      <w:numFmt w:val="bullet"/>
      <w:lvlText w:val=""/>
      <w:lvlJc w:val="left"/>
      <w:pPr>
        <w:ind w:left="5040" w:hanging="360"/>
      </w:pPr>
      <w:rPr>
        <w:rFonts w:ascii="Symbol" w:hAnsi="Symbol" w:hint="default"/>
      </w:rPr>
    </w:lvl>
    <w:lvl w:ilvl="7" w:tplc="76CC0D0A" w:tentative="1">
      <w:start w:val="1"/>
      <w:numFmt w:val="bullet"/>
      <w:lvlText w:val="o"/>
      <w:lvlJc w:val="left"/>
      <w:pPr>
        <w:ind w:left="5760" w:hanging="360"/>
      </w:pPr>
      <w:rPr>
        <w:rFonts w:ascii="Courier New" w:hAnsi="Courier New" w:cs="Courier New" w:hint="default"/>
      </w:rPr>
    </w:lvl>
    <w:lvl w:ilvl="8" w:tplc="889E96B2" w:tentative="1">
      <w:start w:val="1"/>
      <w:numFmt w:val="bullet"/>
      <w:lvlText w:val=""/>
      <w:lvlJc w:val="left"/>
      <w:pPr>
        <w:ind w:left="6480" w:hanging="360"/>
      </w:pPr>
      <w:rPr>
        <w:rFonts w:ascii="Wingdings" w:hAnsi="Wingdings" w:hint="default"/>
      </w:rPr>
    </w:lvl>
  </w:abstractNum>
  <w:abstractNum w:abstractNumId="6" w15:restartNumberingAfterBreak="0">
    <w:nsid w:val="54B5799F"/>
    <w:multiLevelType w:val="hybridMultilevel"/>
    <w:tmpl w:val="4B7E8D56"/>
    <w:lvl w:ilvl="0" w:tplc="0DEC77D2">
      <w:start w:val="1"/>
      <w:numFmt w:val="bullet"/>
      <w:lvlText w:val=""/>
      <w:lvlJc w:val="left"/>
      <w:pPr>
        <w:ind w:left="360" w:hanging="360"/>
      </w:pPr>
      <w:rPr>
        <w:rFonts w:ascii="Wingdings" w:hAnsi="Wingdings" w:hint="default"/>
      </w:rPr>
    </w:lvl>
    <w:lvl w:ilvl="1" w:tplc="401AA72E" w:tentative="1">
      <w:start w:val="1"/>
      <w:numFmt w:val="bullet"/>
      <w:lvlText w:val="o"/>
      <w:lvlJc w:val="left"/>
      <w:pPr>
        <w:ind w:left="1080" w:hanging="360"/>
      </w:pPr>
      <w:rPr>
        <w:rFonts w:ascii="Courier New" w:hAnsi="Courier New" w:cs="Courier New" w:hint="default"/>
      </w:rPr>
    </w:lvl>
    <w:lvl w:ilvl="2" w:tplc="3628E3E2" w:tentative="1">
      <w:start w:val="1"/>
      <w:numFmt w:val="bullet"/>
      <w:lvlText w:val=""/>
      <w:lvlJc w:val="left"/>
      <w:pPr>
        <w:ind w:left="1800" w:hanging="360"/>
      </w:pPr>
      <w:rPr>
        <w:rFonts w:ascii="Wingdings" w:hAnsi="Wingdings" w:hint="default"/>
      </w:rPr>
    </w:lvl>
    <w:lvl w:ilvl="3" w:tplc="01206F06" w:tentative="1">
      <w:start w:val="1"/>
      <w:numFmt w:val="bullet"/>
      <w:lvlText w:val=""/>
      <w:lvlJc w:val="left"/>
      <w:pPr>
        <w:ind w:left="2520" w:hanging="360"/>
      </w:pPr>
      <w:rPr>
        <w:rFonts w:ascii="Symbol" w:hAnsi="Symbol" w:hint="default"/>
      </w:rPr>
    </w:lvl>
    <w:lvl w:ilvl="4" w:tplc="B7FE385A" w:tentative="1">
      <w:start w:val="1"/>
      <w:numFmt w:val="bullet"/>
      <w:lvlText w:val="o"/>
      <w:lvlJc w:val="left"/>
      <w:pPr>
        <w:ind w:left="3240" w:hanging="360"/>
      </w:pPr>
      <w:rPr>
        <w:rFonts w:ascii="Courier New" w:hAnsi="Courier New" w:cs="Courier New" w:hint="default"/>
      </w:rPr>
    </w:lvl>
    <w:lvl w:ilvl="5" w:tplc="45B22BC8" w:tentative="1">
      <w:start w:val="1"/>
      <w:numFmt w:val="bullet"/>
      <w:lvlText w:val=""/>
      <w:lvlJc w:val="left"/>
      <w:pPr>
        <w:ind w:left="3960" w:hanging="360"/>
      </w:pPr>
      <w:rPr>
        <w:rFonts w:ascii="Wingdings" w:hAnsi="Wingdings" w:hint="default"/>
      </w:rPr>
    </w:lvl>
    <w:lvl w:ilvl="6" w:tplc="0CFA16AC" w:tentative="1">
      <w:start w:val="1"/>
      <w:numFmt w:val="bullet"/>
      <w:lvlText w:val=""/>
      <w:lvlJc w:val="left"/>
      <w:pPr>
        <w:ind w:left="4680" w:hanging="360"/>
      </w:pPr>
      <w:rPr>
        <w:rFonts w:ascii="Symbol" w:hAnsi="Symbol" w:hint="default"/>
      </w:rPr>
    </w:lvl>
    <w:lvl w:ilvl="7" w:tplc="4B161B40" w:tentative="1">
      <w:start w:val="1"/>
      <w:numFmt w:val="bullet"/>
      <w:lvlText w:val="o"/>
      <w:lvlJc w:val="left"/>
      <w:pPr>
        <w:ind w:left="5400" w:hanging="360"/>
      </w:pPr>
      <w:rPr>
        <w:rFonts w:ascii="Courier New" w:hAnsi="Courier New" w:cs="Courier New" w:hint="default"/>
      </w:rPr>
    </w:lvl>
    <w:lvl w:ilvl="8" w:tplc="AA1452E4" w:tentative="1">
      <w:start w:val="1"/>
      <w:numFmt w:val="bullet"/>
      <w:lvlText w:val=""/>
      <w:lvlJc w:val="left"/>
      <w:pPr>
        <w:ind w:left="6120" w:hanging="360"/>
      </w:pPr>
      <w:rPr>
        <w:rFonts w:ascii="Wingdings" w:hAnsi="Wingdings" w:hint="default"/>
      </w:rPr>
    </w:lvl>
  </w:abstractNum>
  <w:abstractNum w:abstractNumId="7" w15:restartNumberingAfterBreak="0">
    <w:nsid w:val="58975AE7"/>
    <w:multiLevelType w:val="hybridMultilevel"/>
    <w:tmpl w:val="0FE29FFC"/>
    <w:lvl w:ilvl="0" w:tplc="96CED654">
      <w:start w:val="1"/>
      <w:numFmt w:val="bullet"/>
      <w:lvlText w:val=""/>
      <w:lvlJc w:val="left"/>
      <w:pPr>
        <w:ind w:left="720" w:hanging="360"/>
      </w:pPr>
      <w:rPr>
        <w:rFonts w:ascii="Symbol" w:hAnsi="Symbol" w:hint="default"/>
      </w:rPr>
    </w:lvl>
    <w:lvl w:ilvl="1" w:tplc="D49ACBB2" w:tentative="1">
      <w:start w:val="1"/>
      <w:numFmt w:val="bullet"/>
      <w:lvlText w:val="o"/>
      <w:lvlJc w:val="left"/>
      <w:pPr>
        <w:ind w:left="1440" w:hanging="360"/>
      </w:pPr>
      <w:rPr>
        <w:rFonts w:ascii="Courier New" w:hAnsi="Courier New" w:cs="Courier New" w:hint="default"/>
      </w:rPr>
    </w:lvl>
    <w:lvl w:ilvl="2" w:tplc="E3CE0DF0" w:tentative="1">
      <w:start w:val="1"/>
      <w:numFmt w:val="bullet"/>
      <w:lvlText w:val=""/>
      <w:lvlJc w:val="left"/>
      <w:pPr>
        <w:ind w:left="2160" w:hanging="360"/>
      </w:pPr>
      <w:rPr>
        <w:rFonts w:ascii="Wingdings" w:hAnsi="Wingdings" w:hint="default"/>
      </w:rPr>
    </w:lvl>
    <w:lvl w:ilvl="3" w:tplc="F78C452A" w:tentative="1">
      <w:start w:val="1"/>
      <w:numFmt w:val="bullet"/>
      <w:lvlText w:val=""/>
      <w:lvlJc w:val="left"/>
      <w:pPr>
        <w:ind w:left="2880" w:hanging="360"/>
      </w:pPr>
      <w:rPr>
        <w:rFonts w:ascii="Symbol" w:hAnsi="Symbol" w:hint="default"/>
      </w:rPr>
    </w:lvl>
    <w:lvl w:ilvl="4" w:tplc="D60E70FE" w:tentative="1">
      <w:start w:val="1"/>
      <w:numFmt w:val="bullet"/>
      <w:lvlText w:val="o"/>
      <w:lvlJc w:val="left"/>
      <w:pPr>
        <w:ind w:left="3600" w:hanging="360"/>
      </w:pPr>
      <w:rPr>
        <w:rFonts w:ascii="Courier New" w:hAnsi="Courier New" w:cs="Courier New" w:hint="default"/>
      </w:rPr>
    </w:lvl>
    <w:lvl w:ilvl="5" w:tplc="4C282E1C" w:tentative="1">
      <w:start w:val="1"/>
      <w:numFmt w:val="bullet"/>
      <w:lvlText w:val=""/>
      <w:lvlJc w:val="left"/>
      <w:pPr>
        <w:ind w:left="4320" w:hanging="360"/>
      </w:pPr>
      <w:rPr>
        <w:rFonts w:ascii="Wingdings" w:hAnsi="Wingdings" w:hint="default"/>
      </w:rPr>
    </w:lvl>
    <w:lvl w:ilvl="6" w:tplc="713C8128" w:tentative="1">
      <w:start w:val="1"/>
      <w:numFmt w:val="bullet"/>
      <w:lvlText w:val=""/>
      <w:lvlJc w:val="left"/>
      <w:pPr>
        <w:ind w:left="5040" w:hanging="360"/>
      </w:pPr>
      <w:rPr>
        <w:rFonts w:ascii="Symbol" w:hAnsi="Symbol" w:hint="default"/>
      </w:rPr>
    </w:lvl>
    <w:lvl w:ilvl="7" w:tplc="3D985B0E" w:tentative="1">
      <w:start w:val="1"/>
      <w:numFmt w:val="bullet"/>
      <w:lvlText w:val="o"/>
      <w:lvlJc w:val="left"/>
      <w:pPr>
        <w:ind w:left="5760" w:hanging="360"/>
      </w:pPr>
      <w:rPr>
        <w:rFonts w:ascii="Courier New" w:hAnsi="Courier New" w:cs="Courier New" w:hint="default"/>
      </w:rPr>
    </w:lvl>
    <w:lvl w:ilvl="8" w:tplc="97CAA12C" w:tentative="1">
      <w:start w:val="1"/>
      <w:numFmt w:val="bullet"/>
      <w:lvlText w:val=""/>
      <w:lvlJc w:val="left"/>
      <w:pPr>
        <w:ind w:left="6480" w:hanging="360"/>
      </w:pPr>
      <w:rPr>
        <w:rFonts w:ascii="Wingdings" w:hAnsi="Wingdings" w:hint="default"/>
      </w:rPr>
    </w:lvl>
  </w:abstractNum>
  <w:abstractNum w:abstractNumId="8" w15:restartNumberingAfterBreak="0">
    <w:nsid w:val="5EBD4A18"/>
    <w:multiLevelType w:val="hybridMultilevel"/>
    <w:tmpl w:val="89309BB8"/>
    <w:lvl w:ilvl="0" w:tplc="608A210E">
      <w:start w:val="1"/>
      <w:numFmt w:val="bullet"/>
      <w:lvlText w:val=""/>
      <w:lvlJc w:val="left"/>
      <w:pPr>
        <w:ind w:left="360" w:hanging="360"/>
      </w:pPr>
      <w:rPr>
        <w:rFonts w:ascii="Symbol" w:hAnsi="Symbol" w:hint="default"/>
      </w:rPr>
    </w:lvl>
    <w:lvl w:ilvl="1" w:tplc="75C0A366" w:tentative="1">
      <w:start w:val="1"/>
      <w:numFmt w:val="bullet"/>
      <w:lvlText w:val="o"/>
      <w:lvlJc w:val="left"/>
      <w:pPr>
        <w:ind w:left="1080" w:hanging="360"/>
      </w:pPr>
      <w:rPr>
        <w:rFonts w:ascii="Courier New" w:hAnsi="Courier New" w:cs="Courier New" w:hint="default"/>
      </w:rPr>
    </w:lvl>
    <w:lvl w:ilvl="2" w:tplc="FF1427E2" w:tentative="1">
      <w:start w:val="1"/>
      <w:numFmt w:val="bullet"/>
      <w:lvlText w:val=""/>
      <w:lvlJc w:val="left"/>
      <w:pPr>
        <w:ind w:left="1800" w:hanging="360"/>
      </w:pPr>
      <w:rPr>
        <w:rFonts w:ascii="Wingdings" w:hAnsi="Wingdings" w:hint="default"/>
      </w:rPr>
    </w:lvl>
    <w:lvl w:ilvl="3" w:tplc="6FD25E82" w:tentative="1">
      <w:start w:val="1"/>
      <w:numFmt w:val="bullet"/>
      <w:lvlText w:val=""/>
      <w:lvlJc w:val="left"/>
      <w:pPr>
        <w:ind w:left="2520" w:hanging="360"/>
      </w:pPr>
      <w:rPr>
        <w:rFonts w:ascii="Symbol" w:hAnsi="Symbol" w:hint="default"/>
      </w:rPr>
    </w:lvl>
    <w:lvl w:ilvl="4" w:tplc="0922DE92" w:tentative="1">
      <w:start w:val="1"/>
      <w:numFmt w:val="bullet"/>
      <w:lvlText w:val="o"/>
      <w:lvlJc w:val="left"/>
      <w:pPr>
        <w:ind w:left="3240" w:hanging="360"/>
      </w:pPr>
      <w:rPr>
        <w:rFonts w:ascii="Courier New" w:hAnsi="Courier New" w:cs="Courier New" w:hint="default"/>
      </w:rPr>
    </w:lvl>
    <w:lvl w:ilvl="5" w:tplc="2C9848C4" w:tentative="1">
      <w:start w:val="1"/>
      <w:numFmt w:val="bullet"/>
      <w:lvlText w:val=""/>
      <w:lvlJc w:val="left"/>
      <w:pPr>
        <w:ind w:left="3960" w:hanging="360"/>
      </w:pPr>
      <w:rPr>
        <w:rFonts w:ascii="Wingdings" w:hAnsi="Wingdings" w:hint="default"/>
      </w:rPr>
    </w:lvl>
    <w:lvl w:ilvl="6" w:tplc="1F404AE4" w:tentative="1">
      <w:start w:val="1"/>
      <w:numFmt w:val="bullet"/>
      <w:lvlText w:val=""/>
      <w:lvlJc w:val="left"/>
      <w:pPr>
        <w:ind w:left="4680" w:hanging="360"/>
      </w:pPr>
      <w:rPr>
        <w:rFonts w:ascii="Symbol" w:hAnsi="Symbol" w:hint="default"/>
      </w:rPr>
    </w:lvl>
    <w:lvl w:ilvl="7" w:tplc="98AA5EDC" w:tentative="1">
      <w:start w:val="1"/>
      <w:numFmt w:val="bullet"/>
      <w:lvlText w:val="o"/>
      <w:lvlJc w:val="left"/>
      <w:pPr>
        <w:ind w:left="5400" w:hanging="360"/>
      </w:pPr>
      <w:rPr>
        <w:rFonts w:ascii="Courier New" w:hAnsi="Courier New" w:cs="Courier New" w:hint="default"/>
      </w:rPr>
    </w:lvl>
    <w:lvl w:ilvl="8" w:tplc="B30205C2" w:tentative="1">
      <w:start w:val="1"/>
      <w:numFmt w:val="bullet"/>
      <w:lvlText w:val=""/>
      <w:lvlJc w:val="left"/>
      <w:pPr>
        <w:ind w:left="6120" w:hanging="360"/>
      </w:pPr>
      <w:rPr>
        <w:rFonts w:ascii="Wingdings" w:hAnsi="Wingdings" w:hint="default"/>
      </w:rPr>
    </w:lvl>
  </w:abstractNum>
  <w:abstractNum w:abstractNumId="9" w15:restartNumberingAfterBreak="0">
    <w:nsid w:val="648C0C10"/>
    <w:multiLevelType w:val="hybridMultilevel"/>
    <w:tmpl w:val="6D109332"/>
    <w:lvl w:ilvl="0" w:tplc="8CA4FC6E">
      <w:start w:val="1"/>
      <w:numFmt w:val="hebrew1"/>
      <w:lvlText w:val="%1."/>
      <w:lvlJc w:val="left"/>
      <w:pPr>
        <w:ind w:left="720" w:hanging="360"/>
      </w:pPr>
    </w:lvl>
    <w:lvl w:ilvl="1" w:tplc="B532DD46">
      <w:start w:val="1"/>
      <w:numFmt w:val="lowerLetter"/>
      <w:lvlText w:val="%2."/>
      <w:lvlJc w:val="left"/>
      <w:pPr>
        <w:ind w:left="1440" w:hanging="360"/>
      </w:pPr>
    </w:lvl>
    <w:lvl w:ilvl="2" w:tplc="75084818">
      <w:start w:val="1"/>
      <w:numFmt w:val="lowerRoman"/>
      <w:lvlText w:val="%3."/>
      <w:lvlJc w:val="right"/>
      <w:pPr>
        <w:ind w:left="2160" w:hanging="180"/>
      </w:pPr>
    </w:lvl>
    <w:lvl w:ilvl="3" w:tplc="399214FE">
      <w:start w:val="1"/>
      <w:numFmt w:val="decimal"/>
      <w:lvlText w:val="%4."/>
      <w:lvlJc w:val="left"/>
      <w:pPr>
        <w:ind w:left="2880" w:hanging="360"/>
      </w:pPr>
    </w:lvl>
    <w:lvl w:ilvl="4" w:tplc="BFB0597C">
      <w:start w:val="1"/>
      <w:numFmt w:val="lowerLetter"/>
      <w:lvlText w:val="%5."/>
      <w:lvlJc w:val="left"/>
      <w:pPr>
        <w:ind w:left="3600" w:hanging="360"/>
      </w:pPr>
    </w:lvl>
    <w:lvl w:ilvl="5" w:tplc="5030A718">
      <w:start w:val="1"/>
      <w:numFmt w:val="lowerRoman"/>
      <w:lvlText w:val="%6."/>
      <w:lvlJc w:val="right"/>
      <w:pPr>
        <w:ind w:left="4320" w:hanging="180"/>
      </w:pPr>
    </w:lvl>
    <w:lvl w:ilvl="6" w:tplc="EEA4942C">
      <w:start w:val="1"/>
      <w:numFmt w:val="decimal"/>
      <w:lvlText w:val="%7."/>
      <w:lvlJc w:val="left"/>
      <w:pPr>
        <w:ind w:left="5040" w:hanging="360"/>
      </w:pPr>
    </w:lvl>
    <w:lvl w:ilvl="7" w:tplc="CDDAD748">
      <w:start w:val="1"/>
      <w:numFmt w:val="lowerLetter"/>
      <w:lvlText w:val="%8."/>
      <w:lvlJc w:val="left"/>
      <w:pPr>
        <w:ind w:left="5760" w:hanging="360"/>
      </w:pPr>
    </w:lvl>
    <w:lvl w:ilvl="8" w:tplc="898065CE">
      <w:start w:val="1"/>
      <w:numFmt w:val="lowerRoman"/>
      <w:lvlText w:val="%9."/>
      <w:lvlJc w:val="right"/>
      <w:pPr>
        <w:ind w:left="6480" w:hanging="180"/>
      </w:pPr>
    </w:lvl>
  </w:abstractNum>
  <w:abstractNum w:abstractNumId="10" w15:restartNumberingAfterBreak="0">
    <w:nsid w:val="65BA64F0"/>
    <w:multiLevelType w:val="hybridMultilevel"/>
    <w:tmpl w:val="F75298DA"/>
    <w:lvl w:ilvl="0" w:tplc="FD624F30">
      <w:start w:val="1"/>
      <w:numFmt w:val="bullet"/>
      <w:lvlText w:val=""/>
      <w:lvlJc w:val="left"/>
      <w:pPr>
        <w:ind w:left="720" w:hanging="360"/>
      </w:pPr>
      <w:rPr>
        <w:rFonts w:ascii="Symbol" w:hAnsi="Symbol" w:hint="default"/>
      </w:rPr>
    </w:lvl>
    <w:lvl w:ilvl="1" w:tplc="49C46D4A" w:tentative="1">
      <w:start w:val="1"/>
      <w:numFmt w:val="bullet"/>
      <w:lvlText w:val="o"/>
      <w:lvlJc w:val="left"/>
      <w:pPr>
        <w:ind w:left="1440" w:hanging="360"/>
      </w:pPr>
      <w:rPr>
        <w:rFonts w:ascii="Courier New" w:hAnsi="Courier New" w:cs="Courier New" w:hint="default"/>
      </w:rPr>
    </w:lvl>
    <w:lvl w:ilvl="2" w:tplc="2786C1D2" w:tentative="1">
      <w:start w:val="1"/>
      <w:numFmt w:val="bullet"/>
      <w:lvlText w:val=""/>
      <w:lvlJc w:val="left"/>
      <w:pPr>
        <w:ind w:left="2160" w:hanging="360"/>
      </w:pPr>
      <w:rPr>
        <w:rFonts w:ascii="Wingdings" w:hAnsi="Wingdings" w:hint="default"/>
      </w:rPr>
    </w:lvl>
    <w:lvl w:ilvl="3" w:tplc="1A384DD0" w:tentative="1">
      <w:start w:val="1"/>
      <w:numFmt w:val="bullet"/>
      <w:lvlText w:val=""/>
      <w:lvlJc w:val="left"/>
      <w:pPr>
        <w:ind w:left="2880" w:hanging="360"/>
      </w:pPr>
      <w:rPr>
        <w:rFonts w:ascii="Symbol" w:hAnsi="Symbol" w:hint="default"/>
      </w:rPr>
    </w:lvl>
    <w:lvl w:ilvl="4" w:tplc="AF04BDA6" w:tentative="1">
      <w:start w:val="1"/>
      <w:numFmt w:val="bullet"/>
      <w:lvlText w:val="o"/>
      <w:lvlJc w:val="left"/>
      <w:pPr>
        <w:ind w:left="3600" w:hanging="360"/>
      </w:pPr>
      <w:rPr>
        <w:rFonts w:ascii="Courier New" w:hAnsi="Courier New" w:cs="Courier New" w:hint="default"/>
      </w:rPr>
    </w:lvl>
    <w:lvl w:ilvl="5" w:tplc="0B866A02" w:tentative="1">
      <w:start w:val="1"/>
      <w:numFmt w:val="bullet"/>
      <w:lvlText w:val=""/>
      <w:lvlJc w:val="left"/>
      <w:pPr>
        <w:ind w:left="4320" w:hanging="360"/>
      </w:pPr>
      <w:rPr>
        <w:rFonts w:ascii="Wingdings" w:hAnsi="Wingdings" w:hint="default"/>
      </w:rPr>
    </w:lvl>
    <w:lvl w:ilvl="6" w:tplc="65E8FDB8" w:tentative="1">
      <w:start w:val="1"/>
      <w:numFmt w:val="bullet"/>
      <w:lvlText w:val=""/>
      <w:lvlJc w:val="left"/>
      <w:pPr>
        <w:ind w:left="5040" w:hanging="360"/>
      </w:pPr>
      <w:rPr>
        <w:rFonts w:ascii="Symbol" w:hAnsi="Symbol" w:hint="default"/>
      </w:rPr>
    </w:lvl>
    <w:lvl w:ilvl="7" w:tplc="01F20AB0" w:tentative="1">
      <w:start w:val="1"/>
      <w:numFmt w:val="bullet"/>
      <w:lvlText w:val="o"/>
      <w:lvlJc w:val="left"/>
      <w:pPr>
        <w:ind w:left="5760" w:hanging="360"/>
      </w:pPr>
      <w:rPr>
        <w:rFonts w:ascii="Courier New" w:hAnsi="Courier New" w:cs="Courier New" w:hint="default"/>
      </w:rPr>
    </w:lvl>
    <w:lvl w:ilvl="8" w:tplc="5F10589A" w:tentative="1">
      <w:start w:val="1"/>
      <w:numFmt w:val="bullet"/>
      <w:lvlText w:val=""/>
      <w:lvlJc w:val="left"/>
      <w:pPr>
        <w:ind w:left="6480" w:hanging="360"/>
      </w:pPr>
      <w:rPr>
        <w:rFonts w:ascii="Wingdings" w:hAnsi="Wingdings" w:hint="default"/>
      </w:rPr>
    </w:lvl>
  </w:abstractNum>
  <w:abstractNum w:abstractNumId="11" w15:restartNumberingAfterBreak="0">
    <w:nsid w:val="7137205B"/>
    <w:multiLevelType w:val="hybridMultilevel"/>
    <w:tmpl w:val="66868FB6"/>
    <w:lvl w:ilvl="0" w:tplc="2C4A5F94">
      <w:start w:val="1"/>
      <w:numFmt w:val="bullet"/>
      <w:lvlText w:val=""/>
      <w:lvlJc w:val="left"/>
      <w:pPr>
        <w:ind w:left="5747" w:hanging="360"/>
      </w:pPr>
      <w:rPr>
        <w:rFonts w:ascii="Symbol" w:hAnsi="Symbol" w:hint="default"/>
      </w:rPr>
    </w:lvl>
    <w:lvl w:ilvl="1" w:tplc="1DF82AF6" w:tentative="1">
      <w:start w:val="1"/>
      <w:numFmt w:val="bullet"/>
      <w:lvlText w:val="o"/>
      <w:lvlJc w:val="left"/>
      <w:pPr>
        <w:ind w:left="6467" w:hanging="360"/>
      </w:pPr>
      <w:rPr>
        <w:rFonts w:ascii="Courier New" w:hAnsi="Courier New" w:cs="Courier New" w:hint="default"/>
      </w:rPr>
    </w:lvl>
    <w:lvl w:ilvl="2" w:tplc="ABD6DE0A" w:tentative="1">
      <w:start w:val="1"/>
      <w:numFmt w:val="bullet"/>
      <w:lvlText w:val=""/>
      <w:lvlJc w:val="left"/>
      <w:pPr>
        <w:ind w:left="7187" w:hanging="360"/>
      </w:pPr>
      <w:rPr>
        <w:rFonts w:ascii="Wingdings" w:hAnsi="Wingdings" w:hint="default"/>
      </w:rPr>
    </w:lvl>
    <w:lvl w:ilvl="3" w:tplc="E144A33A" w:tentative="1">
      <w:start w:val="1"/>
      <w:numFmt w:val="bullet"/>
      <w:lvlText w:val=""/>
      <w:lvlJc w:val="left"/>
      <w:pPr>
        <w:ind w:left="7907" w:hanging="360"/>
      </w:pPr>
      <w:rPr>
        <w:rFonts w:ascii="Symbol" w:hAnsi="Symbol" w:hint="default"/>
      </w:rPr>
    </w:lvl>
    <w:lvl w:ilvl="4" w:tplc="8A4CF130" w:tentative="1">
      <w:start w:val="1"/>
      <w:numFmt w:val="bullet"/>
      <w:lvlText w:val="o"/>
      <w:lvlJc w:val="left"/>
      <w:pPr>
        <w:ind w:left="8627" w:hanging="360"/>
      </w:pPr>
      <w:rPr>
        <w:rFonts w:ascii="Courier New" w:hAnsi="Courier New" w:cs="Courier New" w:hint="default"/>
      </w:rPr>
    </w:lvl>
    <w:lvl w:ilvl="5" w:tplc="71F08564" w:tentative="1">
      <w:start w:val="1"/>
      <w:numFmt w:val="bullet"/>
      <w:lvlText w:val=""/>
      <w:lvlJc w:val="left"/>
      <w:pPr>
        <w:ind w:left="9347" w:hanging="360"/>
      </w:pPr>
      <w:rPr>
        <w:rFonts w:ascii="Wingdings" w:hAnsi="Wingdings" w:hint="default"/>
      </w:rPr>
    </w:lvl>
    <w:lvl w:ilvl="6" w:tplc="BAE0D5F2" w:tentative="1">
      <w:start w:val="1"/>
      <w:numFmt w:val="bullet"/>
      <w:lvlText w:val=""/>
      <w:lvlJc w:val="left"/>
      <w:pPr>
        <w:ind w:left="10067" w:hanging="360"/>
      </w:pPr>
      <w:rPr>
        <w:rFonts w:ascii="Symbol" w:hAnsi="Symbol" w:hint="default"/>
      </w:rPr>
    </w:lvl>
    <w:lvl w:ilvl="7" w:tplc="3EACC100" w:tentative="1">
      <w:start w:val="1"/>
      <w:numFmt w:val="bullet"/>
      <w:lvlText w:val="o"/>
      <w:lvlJc w:val="left"/>
      <w:pPr>
        <w:ind w:left="10787" w:hanging="360"/>
      </w:pPr>
      <w:rPr>
        <w:rFonts w:ascii="Courier New" w:hAnsi="Courier New" w:cs="Courier New" w:hint="default"/>
      </w:rPr>
    </w:lvl>
    <w:lvl w:ilvl="8" w:tplc="A2BCA390" w:tentative="1">
      <w:start w:val="1"/>
      <w:numFmt w:val="bullet"/>
      <w:lvlText w:val=""/>
      <w:lvlJc w:val="left"/>
      <w:pPr>
        <w:ind w:left="11507" w:hanging="360"/>
      </w:pPr>
      <w:rPr>
        <w:rFonts w:ascii="Wingdings" w:hAnsi="Wingdings" w:hint="default"/>
      </w:rPr>
    </w:lvl>
  </w:abstractNum>
  <w:abstractNum w:abstractNumId="12" w15:restartNumberingAfterBreak="0">
    <w:nsid w:val="7AB960C6"/>
    <w:multiLevelType w:val="hybridMultilevel"/>
    <w:tmpl w:val="A9C696C4"/>
    <w:lvl w:ilvl="0" w:tplc="585C40E6">
      <w:start w:val="1"/>
      <w:numFmt w:val="bullet"/>
      <w:lvlText w:val=""/>
      <w:lvlJc w:val="left"/>
      <w:pPr>
        <w:ind w:left="360" w:hanging="360"/>
      </w:pPr>
      <w:rPr>
        <w:rFonts w:ascii="Symbol" w:hAnsi="Symbol" w:hint="default"/>
      </w:rPr>
    </w:lvl>
    <w:lvl w:ilvl="1" w:tplc="3716D64E" w:tentative="1">
      <w:start w:val="1"/>
      <w:numFmt w:val="bullet"/>
      <w:lvlText w:val="o"/>
      <w:lvlJc w:val="left"/>
      <w:pPr>
        <w:ind w:left="1080" w:hanging="360"/>
      </w:pPr>
      <w:rPr>
        <w:rFonts w:ascii="Courier New" w:hAnsi="Courier New" w:cs="Courier New" w:hint="default"/>
      </w:rPr>
    </w:lvl>
    <w:lvl w:ilvl="2" w:tplc="0C14C286" w:tentative="1">
      <w:start w:val="1"/>
      <w:numFmt w:val="bullet"/>
      <w:lvlText w:val=""/>
      <w:lvlJc w:val="left"/>
      <w:pPr>
        <w:ind w:left="1800" w:hanging="360"/>
      </w:pPr>
      <w:rPr>
        <w:rFonts w:ascii="Wingdings" w:hAnsi="Wingdings" w:hint="default"/>
      </w:rPr>
    </w:lvl>
    <w:lvl w:ilvl="3" w:tplc="3DE4D0F4" w:tentative="1">
      <w:start w:val="1"/>
      <w:numFmt w:val="bullet"/>
      <w:lvlText w:val=""/>
      <w:lvlJc w:val="left"/>
      <w:pPr>
        <w:ind w:left="2520" w:hanging="360"/>
      </w:pPr>
      <w:rPr>
        <w:rFonts w:ascii="Symbol" w:hAnsi="Symbol" w:hint="default"/>
      </w:rPr>
    </w:lvl>
    <w:lvl w:ilvl="4" w:tplc="B7746C86" w:tentative="1">
      <w:start w:val="1"/>
      <w:numFmt w:val="bullet"/>
      <w:lvlText w:val="o"/>
      <w:lvlJc w:val="left"/>
      <w:pPr>
        <w:ind w:left="3240" w:hanging="360"/>
      </w:pPr>
      <w:rPr>
        <w:rFonts w:ascii="Courier New" w:hAnsi="Courier New" w:cs="Courier New" w:hint="default"/>
      </w:rPr>
    </w:lvl>
    <w:lvl w:ilvl="5" w:tplc="CA8CD912" w:tentative="1">
      <w:start w:val="1"/>
      <w:numFmt w:val="bullet"/>
      <w:lvlText w:val=""/>
      <w:lvlJc w:val="left"/>
      <w:pPr>
        <w:ind w:left="3960" w:hanging="360"/>
      </w:pPr>
      <w:rPr>
        <w:rFonts w:ascii="Wingdings" w:hAnsi="Wingdings" w:hint="default"/>
      </w:rPr>
    </w:lvl>
    <w:lvl w:ilvl="6" w:tplc="00F28E7C" w:tentative="1">
      <w:start w:val="1"/>
      <w:numFmt w:val="bullet"/>
      <w:lvlText w:val=""/>
      <w:lvlJc w:val="left"/>
      <w:pPr>
        <w:ind w:left="4680" w:hanging="360"/>
      </w:pPr>
      <w:rPr>
        <w:rFonts w:ascii="Symbol" w:hAnsi="Symbol" w:hint="default"/>
      </w:rPr>
    </w:lvl>
    <w:lvl w:ilvl="7" w:tplc="8D7691AC" w:tentative="1">
      <w:start w:val="1"/>
      <w:numFmt w:val="bullet"/>
      <w:lvlText w:val="o"/>
      <w:lvlJc w:val="left"/>
      <w:pPr>
        <w:ind w:left="5400" w:hanging="360"/>
      </w:pPr>
      <w:rPr>
        <w:rFonts w:ascii="Courier New" w:hAnsi="Courier New" w:cs="Courier New" w:hint="default"/>
      </w:rPr>
    </w:lvl>
    <w:lvl w:ilvl="8" w:tplc="E996E040" w:tentative="1">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4"/>
  </w:num>
  <w:num w:numId="5">
    <w:abstractNumId w:val="1"/>
  </w:num>
  <w:num w:numId="6">
    <w:abstractNumId w:val="12"/>
  </w:num>
  <w:num w:numId="7">
    <w:abstractNumId w:val="5"/>
  </w:num>
  <w:num w:numId="8">
    <w:abstractNumId w:val="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7"/>
  </w:num>
  <w:num w:numId="12">
    <w:abstractNumId w:val="6"/>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C06"/>
    <w:rsid w:val="000009ED"/>
    <w:rsid w:val="00000CF6"/>
    <w:rsid w:val="000016FE"/>
    <w:rsid w:val="00003FA3"/>
    <w:rsid w:val="0000420E"/>
    <w:rsid w:val="00004259"/>
    <w:rsid w:val="00005040"/>
    <w:rsid w:val="00005212"/>
    <w:rsid w:val="0000579C"/>
    <w:rsid w:val="000057DC"/>
    <w:rsid w:val="0000766C"/>
    <w:rsid w:val="00010568"/>
    <w:rsid w:val="00010C70"/>
    <w:rsid w:val="0001308F"/>
    <w:rsid w:val="0001331B"/>
    <w:rsid w:val="00014A23"/>
    <w:rsid w:val="00014EF7"/>
    <w:rsid w:val="0001723D"/>
    <w:rsid w:val="00017C7F"/>
    <w:rsid w:val="00020F9E"/>
    <w:rsid w:val="000247BE"/>
    <w:rsid w:val="0002574D"/>
    <w:rsid w:val="000258A8"/>
    <w:rsid w:val="00026557"/>
    <w:rsid w:val="00026692"/>
    <w:rsid w:val="0002762F"/>
    <w:rsid w:val="0003080D"/>
    <w:rsid w:val="000308DE"/>
    <w:rsid w:val="00032BD5"/>
    <w:rsid w:val="00032EAA"/>
    <w:rsid w:val="00033062"/>
    <w:rsid w:val="00033326"/>
    <w:rsid w:val="000337D1"/>
    <w:rsid w:val="000359AC"/>
    <w:rsid w:val="0003624A"/>
    <w:rsid w:val="0003644D"/>
    <w:rsid w:val="000368DE"/>
    <w:rsid w:val="00040CA9"/>
    <w:rsid w:val="00040DC3"/>
    <w:rsid w:val="0004163E"/>
    <w:rsid w:val="000416AB"/>
    <w:rsid w:val="00041B69"/>
    <w:rsid w:val="00042865"/>
    <w:rsid w:val="00042D5A"/>
    <w:rsid w:val="00043E00"/>
    <w:rsid w:val="00043EF3"/>
    <w:rsid w:val="00044851"/>
    <w:rsid w:val="00044C54"/>
    <w:rsid w:val="000467E1"/>
    <w:rsid w:val="00046F70"/>
    <w:rsid w:val="000504FE"/>
    <w:rsid w:val="00050BD0"/>
    <w:rsid w:val="000512B0"/>
    <w:rsid w:val="000519B9"/>
    <w:rsid w:val="00051F02"/>
    <w:rsid w:val="00053072"/>
    <w:rsid w:val="00053163"/>
    <w:rsid w:val="000538AB"/>
    <w:rsid w:val="00053A86"/>
    <w:rsid w:val="00054956"/>
    <w:rsid w:val="00056533"/>
    <w:rsid w:val="00061166"/>
    <w:rsid w:val="00064421"/>
    <w:rsid w:val="00064AC9"/>
    <w:rsid w:val="00065057"/>
    <w:rsid w:val="000651F8"/>
    <w:rsid w:val="0006540D"/>
    <w:rsid w:val="00066322"/>
    <w:rsid w:val="000667AB"/>
    <w:rsid w:val="000674E1"/>
    <w:rsid w:val="000677A6"/>
    <w:rsid w:val="0006797C"/>
    <w:rsid w:val="000703FF"/>
    <w:rsid w:val="00070DB3"/>
    <w:rsid w:val="00070EC2"/>
    <w:rsid w:val="000717B4"/>
    <w:rsid w:val="000743A2"/>
    <w:rsid w:val="00074B82"/>
    <w:rsid w:val="0007516C"/>
    <w:rsid w:val="0007573A"/>
    <w:rsid w:val="00075EFC"/>
    <w:rsid w:val="000769A8"/>
    <w:rsid w:val="0008104C"/>
    <w:rsid w:val="000819C4"/>
    <w:rsid w:val="00081BB9"/>
    <w:rsid w:val="00081DD4"/>
    <w:rsid w:val="00081ECB"/>
    <w:rsid w:val="0008265B"/>
    <w:rsid w:val="00083540"/>
    <w:rsid w:val="00084BF8"/>
    <w:rsid w:val="000851CE"/>
    <w:rsid w:val="000857A0"/>
    <w:rsid w:val="000860E5"/>
    <w:rsid w:val="00086CE6"/>
    <w:rsid w:val="00086DD2"/>
    <w:rsid w:val="00087055"/>
    <w:rsid w:val="00087A89"/>
    <w:rsid w:val="0009033A"/>
    <w:rsid w:val="00090ABE"/>
    <w:rsid w:val="00091510"/>
    <w:rsid w:val="00091D07"/>
    <w:rsid w:val="00093CBA"/>
    <w:rsid w:val="00093E16"/>
    <w:rsid w:val="00094DC7"/>
    <w:rsid w:val="00096C47"/>
    <w:rsid w:val="000970A9"/>
    <w:rsid w:val="0009726C"/>
    <w:rsid w:val="000975E0"/>
    <w:rsid w:val="000A02E0"/>
    <w:rsid w:val="000A0503"/>
    <w:rsid w:val="000A1EAB"/>
    <w:rsid w:val="000A29FB"/>
    <w:rsid w:val="000A409C"/>
    <w:rsid w:val="000A4196"/>
    <w:rsid w:val="000A50C6"/>
    <w:rsid w:val="000A577B"/>
    <w:rsid w:val="000A57F1"/>
    <w:rsid w:val="000A7183"/>
    <w:rsid w:val="000A75E1"/>
    <w:rsid w:val="000A7BAF"/>
    <w:rsid w:val="000B00F9"/>
    <w:rsid w:val="000B0812"/>
    <w:rsid w:val="000B0CA3"/>
    <w:rsid w:val="000B10F7"/>
    <w:rsid w:val="000B1666"/>
    <w:rsid w:val="000B288C"/>
    <w:rsid w:val="000B5823"/>
    <w:rsid w:val="000B77C7"/>
    <w:rsid w:val="000B7A80"/>
    <w:rsid w:val="000C0090"/>
    <w:rsid w:val="000C06F5"/>
    <w:rsid w:val="000C1CAB"/>
    <w:rsid w:val="000C1D36"/>
    <w:rsid w:val="000C23B4"/>
    <w:rsid w:val="000C3838"/>
    <w:rsid w:val="000C4DCD"/>
    <w:rsid w:val="000C5920"/>
    <w:rsid w:val="000C5AD8"/>
    <w:rsid w:val="000C5C39"/>
    <w:rsid w:val="000C6506"/>
    <w:rsid w:val="000C79A3"/>
    <w:rsid w:val="000C7D5B"/>
    <w:rsid w:val="000D1004"/>
    <w:rsid w:val="000D1A43"/>
    <w:rsid w:val="000D1F86"/>
    <w:rsid w:val="000D370E"/>
    <w:rsid w:val="000D3FD7"/>
    <w:rsid w:val="000D41A9"/>
    <w:rsid w:val="000D53EB"/>
    <w:rsid w:val="000D5605"/>
    <w:rsid w:val="000D5687"/>
    <w:rsid w:val="000D57DF"/>
    <w:rsid w:val="000D5952"/>
    <w:rsid w:val="000D623A"/>
    <w:rsid w:val="000D6B8C"/>
    <w:rsid w:val="000D70AC"/>
    <w:rsid w:val="000D73D6"/>
    <w:rsid w:val="000D74BC"/>
    <w:rsid w:val="000E030C"/>
    <w:rsid w:val="000E0752"/>
    <w:rsid w:val="000E0FBB"/>
    <w:rsid w:val="000E10F6"/>
    <w:rsid w:val="000E1246"/>
    <w:rsid w:val="000E12D2"/>
    <w:rsid w:val="000E168E"/>
    <w:rsid w:val="000E2B1B"/>
    <w:rsid w:val="000E3349"/>
    <w:rsid w:val="000E42A1"/>
    <w:rsid w:val="000E5444"/>
    <w:rsid w:val="000E5F83"/>
    <w:rsid w:val="000E64FA"/>
    <w:rsid w:val="000E674B"/>
    <w:rsid w:val="000E6783"/>
    <w:rsid w:val="000E690F"/>
    <w:rsid w:val="000E6DF7"/>
    <w:rsid w:val="000E77BF"/>
    <w:rsid w:val="000E77D8"/>
    <w:rsid w:val="000E7C33"/>
    <w:rsid w:val="000E7F9B"/>
    <w:rsid w:val="000F00D9"/>
    <w:rsid w:val="000F069A"/>
    <w:rsid w:val="000F10CC"/>
    <w:rsid w:val="000F11D7"/>
    <w:rsid w:val="000F1564"/>
    <w:rsid w:val="000F2AC0"/>
    <w:rsid w:val="000F3CD2"/>
    <w:rsid w:val="000F40FB"/>
    <w:rsid w:val="000F4EBE"/>
    <w:rsid w:val="000F54D5"/>
    <w:rsid w:val="000F5C08"/>
    <w:rsid w:val="000F5F46"/>
    <w:rsid w:val="0010008A"/>
    <w:rsid w:val="00100ED2"/>
    <w:rsid w:val="00101CD9"/>
    <w:rsid w:val="00102273"/>
    <w:rsid w:val="001023DE"/>
    <w:rsid w:val="0010516D"/>
    <w:rsid w:val="0010554B"/>
    <w:rsid w:val="00105C6C"/>
    <w:rsid w:val="001077FE"/>
    <w:rsid w:val="001110C7"/>
    <w:rsid w:val="00111B01"/>
    <w:rsid w:val="00113F78"/>
    <w:rsid w:val="00114A1E"/>
    <w:rsid w:val="00115978"/>
    <w:rsid w:val="00115C85"/>
    <w:rsid w:val="001209A1"/>
    <w:rsid w:val="00120A96"/>
    <w:rsid w:val="00120CBC"/>
    <w:rsid w:val="00120E6C"/>
    <w:rsid w:val="001230AB"/>
    <w:rsid w:val="0012343B"/>
    <w:rsid w:val="00123AAE"/>
    <w:rsid w:val="0012431B"/>
    <w:rsid w:val="001246CD"/>
    <w:rsid w:val="00124898"/>
    <w:rsid w:val="00124C58"/>
    <w:rsid w:val="0012539C"/>
    <w:rsid w:val="00125B4C"/>
    <w:rsid w:val="00127542"/>
    <w:rsid w:val="0013000B"/>
    <w:rsid w:val="0013004C"/>
    <w:rsid w:val="00130AEA"/>
    <w:rsid w:val="00130B18"/>
    <w:rsid w:val="00130FDA"/>
    <w:rsid w:val="001314EF"/>
    <w:rsid w:val="00131DB9"/>
    <w:rsid w:val="00132757"/>
    <w:rsid w:val="00133702"/>
    <w:rsid w:val="00134E52"/>
    <w:rsid w:val="00135719"/>
    <w:rsid w:val="001361C4"/>
    <w:rsid w:val="00136EA2"/>
    <w:rsid w:val="00140663"/>
    <w:rsid w:val="001406C1"/>
    <w:rsid w:val="00142107"/>
    <w:rsid w:val="00145881"/>
    <w:rsid w:val="00145BF6"/>
    <w:rsid w:val="00146CF1"/>
    <w:rsid w:val="00146EEA"/>
    <w:rsid w:val="00146F92"/>
    <w:rsid w:val="00150F1E"/>
    <w:rsid w:val="00151E99"/>
    <w:rsid w:val="00152120"/>
    <w:rsid w:val="00152554"/>
    <w:rsid w:val="001530AA"/>
    <w:rsid w:val="0015502C"/>
    <w:rsid w:val="001550FB"/>
    <w:rsid w:val="00155630"/>
    <w:rsid w:val="00155BAE"/>
    <w:rsid w:val="00156B47"/>
    <w:rsid w:val="00160AD5"/>
    <w:rsid w:val="00161C87"/>
    <w:rsid w:val="00162076"/>
    <w:rsid w:val="00163C3D"/>
    <w:rsid w:val="0016533E"/>
    <w:rsid w:val="00165645"/>
    <w:rsid w:val="00165ECA"/>
    <w:rsid w:val="00165FAB"/>
    <w:rsid w:val="00166110"/>
    <w:rsid w:val="00166DC5"/>
    <w:rsid w:val="00167478"/>
    <w:rsid w:val="00170743"/>
    <w:rsid w:val="001714A4"/>
    <w:rsid w:val="00171888"/>
    <w:rsid w:val="00171A9A"/>
    <w:rsid w:val="00174769"/>
    <w:rsid w:val="00174787"/>
    <w:rsid w:val="001758BE"/>
    <w:rsid w:val="00176645"/>
    <w:rsid w:val="00176852"/>
    <w:rsid w:val="0017762C"/>
    <w:rsid w:val="00177E01"/>
    <w:rsid w:val="001809CC"/>
    <w:rsid w:val="00180B68"/>
    <w:rsid w:val="001830D1"/>
    <w:rsid w:val="00183F6B"/>
    <w:rsid w:val="00185184"/>
    <w:rsid w:val="00185B28"/>
    <w:rsid w:val="00185FC3"/>
    <w:rsid w:val="00186C12"/>
    <w:rsid w:val="001870AE"/>
    <w:rsid w:val="00190FC4"/>
    <w:rsid w:val="00191EDC"/>
    <w:rsid w:val="001929CC"/>
    <w:rsid w:val="00193ACF"/>
    <w:rsid w:val="0019440F"/>
    <w:rsid w:val="00194663"/>
    <w:rsid w:val="00194A87"/>
    <w:rsid w:val="0019541B"/>
    <w:rsid w:val="00195AC7"/>
    <w:rsid w:val="00195DD8"/>
    <w:rsid w:val="00196720"/>
    <w:rsid w:val="00196FAC"/>
    <w:rsid w:val="001979DB"/>
    <w:rsid w:val="00197CEA"/>
    <w:rsid w:val="001A0731"/>
    <w:rsid w:val="001A1574"/>
    <w:rsid w:val="001A1A27"/>
    <w:rsid w:val="001A1D4C"/>
    <w:rsid w:val="001A20A9"/>
    <w:rsid w:val="001A29FE"/>
    <w:rsid w:val="001A34F4"/>
    <w:rsid w:val="001A3AC8"/>
    <w:rsid w:val="001A404B"/>
    <w:rsid w:val="001A4B79"/>
    <w:rsid w:val="001A503C"/>
    <w:rsid w:val="001A5208"/>
    <w:rsid w:val="001A55F3"/>
    <w:rsid w:val="001A5C00"/>
    <w:rsid w:val="001A5C93"/>
    <w:rsid w:val="001A5EEA"/>
    <w:rsid w:val="001B00BB"/>
    <w:rsid w:val="001B0124"/>
    <w:rsid w:val="001B0F37"/>
    <w:rsid w:val="001B1AC6"/>
    <w:rsid w:val="001B2297"/>
    <w:rsid w:val="001B2460"/>
    <w:rsid w:val="001B2918"/>
    <w:rsid w:val="001B3203"/>
    <w:rsid w:val="001B414F"/>
    <w:rsid w:val="001B41AF"/>
    <w:rsid w:val="001B430C"/>
    <w:rsid w:val="001B4676"/>
    <w:rsid w:val="001B4D56"/>
    <w:rsid w:val="001B4DD9"/>
    <w:rsid w:val="001B5AE2"/>
    <w:rsid w:val="001B62A8"/>
    <w:rsid w:val="001B719D"/>
    <w:rsid w:val="001C005D"/>
    <w:rsid w:val="001C18C2"/>
    <w:rsid w:val="001C1ABA"/>
    <w:rsid w:val="001C253A"/>
    <w:rsid w:val="001C2F9B"/>
    <w:rsid w:val="001C30D7"/>
    <w:rsid w:val="001C36F1"/>
    <w:rsid w:val="001C4B01"/>
    <w:rsid w:val="001C5D4D"/>
    <w:rsid w:val="001C6061"/>
    <w:rsid w:val="001C648E"/>
    <w:rsid w:val="001C67AA"/>
    <w:rsid w:val="001C796D"/>
    <w:rsid w:val="001D1135"/>
    <w:rsid w:val="001D171B"/>
    <w:rsid w:val="001D1BFB"/>
    <w:rsid w:val="001D3676"/>
    <w:rsid w:val="001D398C"/>
    <w:rsid w:val="001D4181"/>
    <w:rsid w:val="001D42FB"/>
    <w:rsid w:val="001D4876"/>
    <w:rsid w:val="001D4FF1"/>
    <w:rsid w:val="001D6C29"/>
    <w:rsid w:val="001D6F20"/>
    <w:rsid w:val="001E0025"/>
    <w:rsid w:val="001E02C6"/>
    <w:rsid w:val="001E1D40"/>
    <w:rsid w:val="001E2111"/>
    <w:rsid w:val="001E2404"/>
    <w:rsid w:val="001E29C0"/>
    <w:rsid w:val="001E2CC0"/>
    <w:rsid w:val="001E34CC"/>
    <w:rsid w:val="001E389F"/>
    <w:rsid w:val="001E3D28"/>
    <w:rsid w:val="001E59FB"/>
    <w:rsid w:val="001F0639"/>
    <w:rsid w:val="001F07C0"/>
    <w:rsid w:val="001F0BF6"/>
    <w:rsid w:val="001F0E1E"/>
    <w:rsid w:val="001F1315"/>
    <w:rsid w:val="001F1511"/>
    <w:rsid w:val="001F2101"/>
    <w:rsid w:val="001F2855"/>
    <w:rsid w:val="001F2882"/>
    <w:rsid w:val="001F4879"/>
    <w:rsid w:val="001F4AD7"/>
    <w:rsid w:val="001F5492"/>
    <w:rsid w:val="001F579B"/>
    <w:rsid w:val="001F688C"/>
    <w:rsid w:val="001F7599"/>
    <w:rsid w:val="00201608"/>
    <w:rsid w:val="002016D1"/>
    <w:rsid w:val="002019AB"/>
    <w:rsid w:val="0020271C"/>
    <w:rsid w:val="00203AB5"/>
    <w:rsid w:val="002041D4"/>
    <w:rsid w:val="00204ACD"/>
    <w:rsid w:val="00207FB2"/>
    <w:rsid w:val="00211375"/>
    <w:rsid w:val="00211F00"/>
    <w:rsid w:val="002122F9"/>
    <w:rsid w:val="002127DE"/>
    <w:rsid w:val="002128E9"/>
    <w:rsid w:val="002131B9"/>
    <w:rsid w:val="002150B4"/>
    <w:rsid w:val="0021573C"/>
    <w:rsid w:val="00216193"/>
    <w:rsid w:val="002166E3"/>
    <w:rsid w:val="00217377"/>
    <w:rsid w:val="00220741"/>
    <w:rsid w:val="00221D8C"/>
    <w:rsid w:val="00221F10"/>
    <w:rsid w:val="0022201F"/>
    <w:rsid w:val="002224F4"/>
    <w:rsid w:val="00225374"/>
    <w:rsid w:val="00227B40"/>
    <w:rsid w:val="00227DF7"/>
    <w:rsid w:val="002301B5"/>
    <w:rsid w:val="00230452"/>
    <w:rsid w:val="00230BCF"/>
    <w:rsid w:val="00231085"/>
    <w:rsid w:val="0023129F"/>
    <w:rsid w:val="00231869"/>
    <w:rsid w:val="00231C91"/>
    <w:rsid w:val="00232305"/>
    <w:rsid w:val="00233242"/>
    <w:rsid w:val="0023352B"/>
    <w:rsid w:val="00234E8D"/>
    <w:rsid w:val="00235C2C"/>
    <w:rsid w:val="00235C9A"/>
    <w:rsid w:val="002372E6"/>
    <w:rsid w:val="0024000B"/>
    <w:rsid w:val="00240CBE"/>
    <w:rsid w:val="0024158D"/>
    <w:rsid w:val="00241C81"/>
    <w:rsid w:val="00242029"/>
    <w:rsid w:val="002427B4"/>
    <w:rsid w:val="00242EA5"/>
    <w:rsid w:val="002439C2"/>
    <w:rsid w:val="00244C15"/>
    <w:rsid w:val="00244DF1"/>
    <w:rsid w:val="002454BD"/>
    <w:rsid w:val="00246670"/>
    <w:rsid w:val="00246A77"/>
    <w:rsid w:val="00246AB4"/>
    <w:rsid w:val="00246D60"/>
    <w:rsid w:val="00247CB6"/>
    <w:rsid w:val="00250448"/>
    <w:rsid w:val="0025090B"/>
    <w:rsid w:val="0025241A"/>
    <w:rsid w:val="002530C3"/>
    <w:rsid w:val="00254595"/>
    <w:rsid w:val="002547EA"/>
    <w:rsid w:val="00255F78"/>
    <w:rsid w:val="00257C4F"/>
    <w:rsid w:val="002626D3"/>
    <w:rsid w:val="002629F2"/>
    <w:rsid w:val="00262B90"/>
    <w:rsid w:val="00263132"/>
    <w:rsid w:val="002636AB"/>
    <w:rsid w:val="00263FA4"/>
    <w:rsid w:val="00264450"/>
    <w:rsid w:val="00264B07"/>
    <w:rsid w:val="00264CE6"/>
    <w:rsid w:val="002650AB"/>
    <w:rsid w:val="00265177"/>
    <w:rsid w:val="00266932"/>
    <w:rsid w:val="00266A32"/>
    <w:rsid w:val="00267CC5"/>
    <w:rsid w:val="00267CFD"/>
    <w:rsid w:val="00270B0B"/>
    <w:rsid w:val="0027326C"/>
    <w:rsid w:val="00273D1B"/>
    <w:rsid w:val="00274B50"/>
    <w:rsid w:val="00274F4A"/>
    <w:rsid w:val="002752F1"/>
    <w:rsid w:val="0027547C"/>
    <w:rsid w:val="0027653D"/>
    <w:rsid w:val="00276651"/>
    <w:rsid w:val="00277BC5"/>
    <w:rsid w:val="00280053"/>
    <w:rsid w:val="00280A65"/>
    <w:rsid w:val="00282773"/>
    <w:rsid w:val="00282A2B"/>
    <w:rsid w:val="00283756"/>
    <w:rsid w:val="002842CA"/>
    <w:rsid w:val="002848C9"/>
    <w:rsid w:val="002851F2"/>
    <w:rsid w:val="00286644"/>
    <w:rsid w:val="0028736A"/>
    <w:rsid w:val="0028776B"/>
    <w:rsid w:val="0029067D"/>
    <w:rsid w:val="00290FD9"/>
    <w:rsid w:val="002910D0"/>
    <w:rsid w:val="0029124A"/>
    <w:rsid w:val="002916FD"/>
    <w:rsid w:val="002919ED"/>
    <w:rsid w:val="00291D49"/>
    <w:rsid w:val="00292AE0"/>
    <w:rsid w:val="00293151"/>
    <w:rsid w:val="002934E4"/>
    <w:rsid w:val="00295C50"/>
    <w:rsid w:val="00295D2E"/>
    <w:rsid w:val="00296403"/>
    <w:rsid w:val="00296B48"/>
    <w:rsid w:val="00296CAD"/>
    <w:rsid w:val="00297B01"/>
    <w:rsid w:val="002A1441"/>
    <w:rsid w:val="002A19E5"/>
    <w:rsid w:val="002A2252"/>
    <w:rsid w:val="002A2269"/>
    <w:rsid w:val="002A3047"/>
    <w:rsid w:val="002A305D"/>
    <w:rsid w:val="002A39EA"/>
    <w:rsid w:val="002A4D83"/>
    <w:rsid w:val="002A5070"/>
    <w:rsid w:val="002A545A"/>
    <w:rsid w:val="002A6170"/>
    <w:rsid w:val="002A61E1"/>
    <w:rsid w:val="002A6CAF"/>
    <w:rsid w:val="002B0908"/>
    <w:rsid w:val="002B09B3"/>
    <w:rsid w:val="002B0F0E"/>
    <w:rsid w:val="002B117C"/>
    <w:rsid w:val="002B1C21"/>
    <w:rsid w:val="002B2009"/>
    <w:rsid w:val="002B2038"/>
    <w:rsid w:val="002B234C"/>
    <w:rsid w:val="002B2730"/>
    <w:rsid w:val="002B2A4D"/>
    <w:rsid w:val="002B2E6D"/>
    <w:rsid w:val="002B3DBC"/>
    <w:rsid w:val="002B3E40"/>
    <w:rsid w:val="002B4F55"/>
    <w:rsid w:val="002B6624"/>
    <w:rsid w:val="002B7096"/>
    <w:rsid w:val="002C15F3"/>
    <w:rsid w:val="002C1A7A"/>
    <w:rsid w:val="002C1FDC"/>
    <w:rsid w:val="002C22A9"/>
    <w:rsid w:val="002C2763"/>
    <w:rsid w:val="002C38FD"/>
    <w:rsid w:val="002C445A"/>
    <w:rsid w:val="002C45A1"/>
    <w:rsid w:val="002C487B"/>
    <w:rsid w:val="002C4A6D"/>
    <w:rsid w:val="002C5A95"/>
    <w:rsid w:val="002C7D1A"/>
    <w:rsid w:val="002D056D"/>
    <w:rsid w:val="002D0D4E"/>
    <w:rsid w:val="002D0E73"/>
    <w:rsid w:val="002D1444"/>
    <w:rsid w:val="002D1724"/>
    <w:rsid w:val="002D2BC1"/>
    <w:rsid w:val="002D2C82"/>
    <w:rsid w:val="002D338D"/>
    <w:rsid w:val="002D4844"/>
    <w:rsid w:val="002D4B53"/>
    <w:rsid w:val="002D5E24"/>
    <w:rsid w:val="002D7483"/>
    <w:rsid w:val="002D7E55"/>
    <w:rsid w:val="002D7FF2"/>
    <w:rsid w:val="002E01BF"/>
    <w:rsid w:val="002E0A54"/>
    <w:rsid w:val="002E1E8D"/>
    <w:rsid w:val="002E2089"/>
    <w:rsid w:val="002E2227"/>
    <w:rsid w:val="002E3534"/>
    <w:rsid w:val="002E392D"/>
    <w:rsid w:val="002E4CFC"/>
    <w:rsid w:val="002E5026"/>
    <w:rsid w:val="002E5CE8"/>
    <w:rsid w:val="002E71EB"/>
    <w:rsid w:val="002E7729"/>
    <w:rsid w:val="002E7AD8"/>
    <w:rsid w:val="002E7B00"/>
    <w:rsid w:val="002E7D48"/>
    <w:rsid w:val="002F016B"/>
    <w:rsid w:val="002F096E"/>
    <w:rsid w:val="002F0E94"/>
    <w:rsid w:val="002F1826"/>
    <w:rsid w:val="002F20BA"/>
    <w:rsid w:val="002F3163"/>
    <w:rsid w:val="002F5E59"/>
    <w:rsid w:val="002F6313"/>
    <w:rsid w:val="002F692E"/>
    <w:rsid w:val="002F73EC"/>
    <w:rsid w:val="002F753C"/>
    <w:rsid w:val="00301247"/>
    <w:rsid w:val="00302399"/>
    <w:rsid w:val="00302999"/>
    <w:rsid w:val="00303B1E"/>
    <w:rsid w:val="00303DF5"/>
    <w:rsid w:val="00304BBE"/>
    <w:rsid w:val="00304F60"/>
    <w:rsid w:val="00305AB1"/>
    <w:rsid w:val="00305F78"/>
    <w:rsid w:val="00307300"/>
    <w:rsid w:val="00307FBB"/>
    <w:rsid w:val="00311F59"/>
    <w:rsid w:val="0031243C"/>
    <w:rsid w:val="00312446"/>
    <w:rsid w:val="0031276F"/>
    <w:rsid w:val="003131CF"/>
    <w:rsid w:val="0031384F"/>
    <w:rsid w:val="00315216"/>
    <w:rsid w:val="00315ECF"/>
    <w:rsid w:val="00316005"/>
    <w:rsid w:val="00316084"/>
    <w:rsid w:val="00316F56"/>
    <w:rsid w:val="0032005A"/>
    <w:rsid w:val="00320388"/>
    <w:rsid w:val="0032040A"/>
    <w:rsid w:val="003230A3"/>
    <w:rsid w:val="0033191B"/>
    <w:rsid w:val="00332016"/>
    <w:rsid w:val="00332296"/>
    <w:rsid w:val="003336F7"/>
    <w:rsid w:val="00333AE6"/>
    <w:rsid w:val="003345FF"/>
    <w:rsid w:val="00334EE0"/>
    <w:rsid w:val="00335B35"/>
    <w:rsid w:val="003360D7"/>
    <w:rsid w:val="00336550"/>
    <w:rsid w:val="00341553"/>
    <w:rsid w:val="00341661"/>
    <w:rsid w:val="0034326D"/>
    <w:rsid w:val="00343304"/>
    <w:rsid w:val="003443F9"/>
    <w:rsid w:val="00345164"/>
    <w:rsid w:val="003453D7"/>
    <w:rsid w:val="00346351"/>
    <w:rsid w:val="0035072B"/>
    <w:rsid w:val="003507A1"/>
    <w:rsid w:val="003508D2"/>
    <w:rsid w:val="003511FA"/>
    <w:rsid w:val="00351338"/>
    <w:rsid w:val="00352E3F"/>
    <w:rsid w:val="00353570"/>
    <w:rsid w:val="003536F8"/>
    <w:rsid w:val="003550D6"/>
    <w:rsid w:val="003555E7"/>
    <w:rsid w:val="00357F0C"/>
    <w:rsid w:val="00357F6D"/>
    <w:rsid w:val="00362539"/>
    <w:rsid w:val="0036318B"/>
    <w:rsid w:val="003631F8"/>
    <w:rsid w:val="003633EB"/>
    <w:rsid w:val="00363666"/>
    <w:rsid w:val="0036423D"/>
    <w:rsid w:val="00364B44"/>
    <w:rsid w:val="00364BF6"/>
    <w:rsid w:val="00365600"/>
    <w:rsid w:val="00366EB5"/>
    <w:rsid w:val="00367778"/>
    <w:rsid w:val="003700BC"/>
    <w:rsid w:val="00371435"/>
    <w:rsid w:val="003722F4"/>
    <w:rsid w:val="00373127"/>
    <w:rsid w:val="00373778"/>
    <w:rsid w:val="00374436"/>
    <w:rsid w:val="003744BF"/>
    <w:rsid w:val="00375488"/>
    <w:rsid w:val="003768AB"/>
    <w:rsid w:val="003768CB"/>
    <w:rsid w:val="003768D8"/>
    <w:rsid w:val="00376B9A"/>
    <w:rsid w:val="0037798D"/>
    <w:rsid w:val="00380EDD"/>
    <w:rsid w:val="00380FDA"/>
    <w:rsid w:val="00381848"/>
    <w:rsid w:val="003818F5"/>
    <w:rsid w:val="003826AF"/>
    <w:rsid w:val="00383E0B"/>
    <w:rsid w:val="003844AF"/>
    <w:rsid w:val="00384D6F"/>
    <w:rsid w:val="00384FC9"/>
    <w:rsid w:val="00385FA7"/>
    <w:rsid w:val="003862E1"/>
    <w:rsid w:val="00386D38"/>
    <w:rsid w:val="00387836"/>
    <w:rsid w:val="0038792F"/>
    <w:rsid w:val="00387E12"/>
    <w:rsid w:val="00390733"/>
    <w:rsid w:val="00390BF8"/>
    <w:rsid w:val="00391453"/>
    <w:rsid w:val="00392CF9"/>
    <w:rsid w:val="003934A4"/>
    <w:rsid w:val="00394043"/>
    <w:rsid w:val="0039492F"/>
    <w:rsid w:val="0039501C"/>
    <w:rsid w:val="0039541D"/>
    <w:rsid w:val="003978C2"/>
    <w:rsid w:val="003A0BC8"/>
    <w:rsid w:val="003A0C4B"/>
    <w:rsid w:val="003A0D02"/>
    <w:rsid w:val="003A111B"/>
    <w:rsid w:val="003A1F21"/>
    <w:rsid w:val="003A1FB0"/>
    <w:rsid w:val="003A24A5"/>
    <w:rsid w:val="003A2DEE"/>
    <w:rsid w:val="003A31E7"/>
    <w:rsid w:val="003A329C"/>
    <w:rsid w:val="003A4E18"/>
    <w:rsid w:val="003A5885"/>
    <w:rsid w:val="003A6413"/>
    <w:rsid w:val="003A67E8"/>
    <w:rsid w:val="003A6A53"/>
    <w:rsid w:val="003A7972"/>
    <w:rsid w:val="003A79DF"/>
    <w:rsid w:val="003A79E8"/>
    <w:rsid w:val="003B03F8"/>
    <w:rsid w:val="003B124D"/>
    <w:rsid w:val="003B13C5"/>
    <w:rsid w:val="003B1FB7"/>
    <w:rsid w:val="003B230E"/>
    <w:rsid w:val="003B4D81"/>
    <w:rsid w:val="003B66C0"/>
    <w:rsid w:val="003B74B5"/>
    <w:rsid w:val="003C11FB"/>
    <w:rsid w:val="003C14D6"/>
    <w:rsid w:val="003C2445"/>
    <w:rsid w:val="003C30FD"/>
    <w:rsid w:val="003C3233"/>
    <w:rsid w:val="003C3925"/>
    <w:rsid w:val="003C44C1"/>
    <w:rsid w:val="003C4778"/>
    <w:rsid w:val="003C58CD"/>
    <w:rsid w:val="003C5B37"/>
    <w:rsid w:val="003C7B49"/>
    <w:rsid w:val="003D0C09"/>
    <w:rsid w:val="003D0C5C"/>
    <w:rsid w:val="003D0E9E"/>
    <w:rsid w:val="003D10A7"/>
    <w:rsid w:val="003D2376"/>
    <w:rsid w:val="003D2D9D"/>
    <w:rsid w:val="003D31BB"/>
    <w:rsid w:val="003D3CF4"/>
    <w:rsid w:val="003D3D44"/>
    <w:rsid w:val="003D3EDE"/>
    <w:rsid w:val="003D440A"/>
    <w:rsid w:val="003D6179"/>
    <w:rsid w:val="003D6310"/>
    <w:rsid w:val="003D673B"/>
    <w:rsid w:val="003D68CD"/>
    <w:rsid w:val="003E0BB8"/>
    <w:rsid w:val="003E12C9"/>
    <w:rsid w:val="003E248A"/>
    <w:rsid w:val="003E2E4B"/>
    <w:rsid w:val="003E2FB9"/>
    <w:rsid w:val="003E34BA"/>
    <w:rsid w:val="003E4D9E"/>
    <w:rsid w:val="003E6363"/>
    <w:rsid w:val="003E769A"/>
    <w:rsid w:val="003F03DD"/>
    <w:rsid w:val="003F131B"/>
    <w:rsid w:val="003F2864"/>
    <w:rsid w:val="003F30E7"/>
    <w:rsid w:val="003F4249"/>
    <w:rsid w:val="003F4673"/>
    <w:rsid w:val="003F4ABC"/>
    <w:rsid w:val="003F53EA"/>
    <w:rsid w:val="003F68AA"/>
    <w:rsid w:val="003F6AAA"/>
    <w:rsid w:val="003F749D"/>
    <w:rsid w:val="003F7641"/>
    <w:rsid w:val="003F7E41"/>
    <w:rsid w:val="0040015E"/>
    <w:rsid w:val="00401B6B"/>
    <w:rsid w:val="00403695"/>
    <w:rsid w:val="004039C7"/>
    <w:rsid w:val="00403F5E"/>
    <w:rsid w:val="00404947"/>
    <w:rsid w:val="00405263"/>
    <w:rsid w:val="004071C8"/>
    <w:rsid w:val="00407BA2"/>
    <w:rsid w:val="00407D89"/>
    <w:rsid w:val="00411275"/>
    <w:rsid w:val="00411CA3"/>
    <w:rsid w:val="004126CD"/>
    <w:rsid w:val="0041296A"/>
    <w:rsid w:val="00412F81"/>
    <w:rsid w:val="00412FED"/>
    <w:rsid w:val="00413311"/>
    <w:rsid w:val="00414674"/>
    <w:rsid w:val="00414BFB"/>
    <w:rsid w:val="00415067"/>
    <w:rsid w:val="00415B2E"/>
    <w:rsid w:val="00416B45"/>
    <w:rsid w:val="00416FEB"/>
    <w:rsid w:val="0041770E"/>
    <w:rsid w:val="0041799D"/>
    <w:rsid w:val="004211B9"/>
    <w:rsid w:val="0042192F"/>
    <w:rsid w:val="004237A9"/>
    <w:rsid w:val="00423CCE"/>
    <w:rsid w:val="004251A7"/>
    <w:rsid w:val="0042578E"/>
    <w:rsid w:val="004279C7"/>
    <w:rsid w:val="0043004F"/>
    <w:rsid w:val="004301DE"/>
    <w:rsid w:val="00432AB8"/>
    <w:rsid w:val="00433BC0"/>
    <w:rsid w:val="0043408B"/>
    <w:rsid w:val="00435E85"/>
    <w:rsid w:val="00437866"/>
    <w:rsid w:val="0044026A"/>
    <w:rsid w:val="0044066C"/>
    <w:rsid w:val="004406F8"/>
    <w:rsid w:val="004415F9"/>
    <w:rsid w:val="00441BDC"/>
    <w:rsid w:val="0044265F"/>
    <w:rsid w:val="0044617E"/>
    <w:rsid w:val="004462FB"/>
    <w:rsid w:val="0044662E"/>
    <w:rsid w:val="00446E4B"/>
    <w:rsid w:val="00446EA6"/>
    <w:rsid w:val="00446FBD"/>
    <w:rsid w:val="0044725D"/>
    <w:rsid w:val="00447D98"/>
    <w:rsid w:val="004509EB"/>
    <w:rsid w:val="00451259"/>
    <w:rsid w:val="00451D03"/>
    <w:rsid w:val="00451D5D"/>
    <w:rsid w:val="0045242F"/>
    <w:rsid w:val="00452FC5"/>
    <w:rsid w:val="00453F91"/>
    <w:rsid w:val="004545D6"/>
    <w:rsid w:val="00454621"/>
    <w:rsid w:val="00454674"/>
    <w:rsid w:val="004554B0"/>
    <w:rsid w:val="00456ADD"/>
    <w:rsid w:val="00456CD0"/>
    <w:rsid w:val="0046248B"/>
    <w:rsid w:val="00463141"/>
    <w:rsid w:val="0046525C"/>
    <w:rsid w:val="00466706"/>
    <w:rsid w:val="00466DE7"/>
    <w:rsid w:val="00467791"/>
    <w:rsid w:val="0047116B"/>
    <w:rsid w:val="00471C49"/>
    <w:rsid w:val="00471F0B"/>
    <w:rsid w:val="004720BD"/>
    <w:rsid w:val="00473DE2"/>
    <w:rsid w:val="00477B53"/>
    <w:rsid w:val="00477FA3"/>
    <w:rsid w:val="00480DE5"/>
    <w:rsid w:val="004823D2"/>
    <w:rsid w:val="00482F11"/>
    <w:rsid w:val="0048423C"/>
    <w:rsid w:val="004845A4"/>
    <w:rsid w:val="00485AFA"/>
    <w:rsid w:val="0048603E"/>
    <w:rsid w:val="004907D8"/>
    <w:rsid w:val="00490961"/>
    <w:rsid w:val="00492335"/>
    <w:rsid w:val="00493428"/>
    <w:rsid w:val="00493535"/>
    <w:rsid w:val="004937CC"/>
    <w:rsid w:val="004941E7"/>
    <w:rsid w:val="004954F3"/>
    <w:rsid w:val="00495650"/>
    <w:rsid w:val="004960DF"/>
    <w:rsid w:val="0049621A"/>
    <w:rsid w:val="00496256"/>
    <w:rsid w:val="00496B98"/>
    <w:rsid w:val="00496E15"/>
    <w:rsid w:val="00497FEB"/>
    <w:rsid w:val="004A075E"/>
    <w:rsid w:val="004A1061"/>
    <w:rsid w:val="004A1246"/>
    <w:rsid w:val="004A147A"/>
    <w:rsid w:val="004A1D7D"/>
    <w:rsid w:val="004A3665"/>
    <w:rsid w:val="004A3D86"/>
    <w:rsid w:val="004A438B"/>
    <w:rsid w:val="004A44BB"/>
    <w:rsid w:val="004A45B0"/>
    <w:rsid w:val="004A4F50"/>
    <w:rsid w:val="004A5CA3"/>
    <w:rsid w:val="004A6965"/>
    <w:rsid w:val="004A7206"/>
    <w:rsid w:val="004A74F3"/>
    <w:rsid w:val="004A7BC6"/>
    <w:rsid w:val="004B05C1"/>
    <w:rsid w:val="004B2D83"/>
    <w:rsid w:val="004B3AB0"/>
    <w:rsid w:val="004B3DEE"/>
    <w:rsid w:val="004B45B9"/>
    <w:rsid w:val="004B4906"/>
    <w:rsid w:val="004B4DF5"/>
    <w:rsid w:val="004B5BEA"/>
    <w:rsid w:val="004B64E5"/>
    <w:rsid w:val="004B738F"/>
    <w:rsid w:val="004B7AA5"/>
    <w:rsid w:val="004C06DE"/>
    <w:rsid w:val="004C0809"/>
    <w:rsid w:val="004C08F2"/>
    <w:rsid w:val="004C135E"/>
    <w:rsid w:val="004C142D"/>
    <w:rsid w:val="004C15B8"/>
    <w:rsid w:val="004C207B"/>
    <w:rsid w:val="004C251C"/>
    <w:rsid w:val="004C38BF"/>
    <w:rsid w:val="004C39EA"/>
    <w:rsid w:val="004C4007"/>
    <w:rsid w:val="004C438E"/>
    <w:rsid w:val="004C5400"/>
    <w:rsid w:val="004C5F87"/>
    <w:rsid w:val="004D01A3"/>
    <w:rsid w:val="004D021A"/>
    <w:rsid w:val="004D063B"/>
    <w:rsid w:val="004D12F9"/>
    <w:rsid w:val="004D1888"/>
    <w:rsid w:val="004D19CD"/>
    <w:rsid w:val="004D1AA3"/>
    <w:rsid w:val="004D23D7"/>
    <w:rsid w:val="004D3423"/>
    <w:rsid w:val="004D3B1A"/>
    <w:rsid w:val="004D497B"/>
    <w:rsid w:val="004D4A81"/>
    <w:rsid w:val="004D5D02"/>
    <w:rsid w:val="004D6766"/>
    <w:rsid w:val="004D6C44"/>
    <w:rsid w:val="004E013E"/>
    <w:rsid w:val="004E1E4C"/>
    <w:rsid w:val="004E3B82"/>
    <w:rsid w:val="004E6D36"/>
    <w:rsid w:val="004E7DBB"/>
    <w:rsid w:val="004F1693"/>
    <w:rsid w:val="004F1812"/>
    <w:rsid w:val="004F22BA"/>
    <w:rsid w:val="004F2418"/>
    <w:rsid w:val="004F2DAB"/>
    <w:rsid w:val="004F3A38"/>
    <w:rsid w:val="004F4C8C"/>
    <w:rsid w:val="004F4ECD"/>
    <w:rsid w:val="004F5714"/>
    <w:rsid w:val="004F5E20"/>
    <w:rsid w:val="004F5F16"/>
    <w:rsid w:val="004F6212"/>
    <w:rsid w:val="004F73DF"/>
    <w:rsid w:val="00500603"/>
    <w:rsid w:val="00500737"/>
    <w:rsid w:val="005010B3"/>
    <w:rsid w:val="00501441"/>
    <w:rsid w:val="00502AD0"/>
    <w:rsid w:val="00503C89"/>
    <w:rsid w:val="00503D3C"/>
    <w:rsid w:val="005051A4"/>
    <w:rsid w:val="0050586D"/>
    <w:rsid w:val="0050630F"/>
    <w:rsid w:val="005102FC"/>
    <w:rsid w:val="00510833"/>
    <w:rsid w:val="005110A6"/>
    <w:rsid w:val="00512A91"/>
    <w:rsid w:val="00512E1E"/>
    <w:rsid w:val="005138B6"/>
    <w:rsid w:val="00514240"/>
    <w:rsid w:val="0051464A"/>
    <w:rsid w:val="005150D5"/>
    <w:rsid w:val="0051551F"/>
    <w:rsid w:val="0051645D"/>
    <w:rsid w:val="0051794D"/>
    <w:rsid w:val="00517C6A"/>
    <w:rsid w:val="00520147"/>
    <w:rsid w:val="0052048D"/>
    <w:rsid w:val="00521336"/>
    <w:rsid w:val="00521E60"/>
    <w:rsid w:val="00521F14"/>
    <w:rsid w:val="0052292D"/>
    <w:rsid w:val="00523666"/>
    <w:rsid w:val="00523694"/>
    <w:rsid w:val="0052369B"/>
    <w:rsid w:val="00524B45"/>
    <w:rsid w:val="00525C16"/>
    <w:rsid w:val="00526148"/>
    <w:rsid w:val="00526BC5"/>
    <w:rsid w:val="00526D3A"/>
    <w:rsid w:val="00526E2A"/>
    <w:rsid w:val="0052723D"/>
    <w:rsid w:val="00527E6F"/>
    <w:rsid w:val="005311E8"/>
    <w:rsid w:val="005331B9"/>
    <w:rsid w:val="00533FE6"/>
    <w:rsid w:val="005348A9"/>
    <w:rsid w:val="00534F19"/>
    <w:rsid w:val="005352E7"/>
    <w:rsid w:val="00537745"/>
    <w:rsid w:val="00537EDF"/>
    <w:rsid w:val="00540451"/>
    <w:rsid w:val="005407ED"/>
    <w:rsid w:val="00540C23"/>
    <w:rsid w:val="00542B79"/>
    <w:rsid w:val="00542C3E"/>
    <w:rsid w:val="0054460C"/>
    <w:rsid w:val="0054578F"/>
    <w:rsid w:val="00546183"/>
    <w:rsid w:val="00546A27"/>
    <w:rsid w:val="005471C8"/>
    <w:rsid w:val="0055060B"/>
    <w:rsid w:val="00550BAA"/>
    <w:rsid w:val="0055197F"/>
    <w:rsid w:val="00551BCE"/>
    <w:rsid w:val="00552983"/>
    <w:rsid w:val="0055298E"/>
    <w:rsid w:val="005529B6"/>
    <w:rsid w:val="00553766"/>
    <w:rsid w:val="0055401F"/>
    <w:rsid w:val="005544D4"/>
    <w:rsid w:val="0055453F"/>
    <w:rsid w:val="00554C55"/>
    <w:rsid w:val="005551BD"/>
    <w:rsid w:val="00555366"/>
    <w:rsid w:val="00557817"/>
    <w:rsid w:val="00560CDB"/>
    <w:rsid w:val="00562685"/>
    <w:rsid w:val="0056369C"/>
    <w:rsid w:val="005663FF"/>
    <w:rsid w:val="00566E19"/>
    <w:rsid w:val="0056707E"/>
    <w:rsid w:val="00567536"/>
    <w:rsid w:val="0057034B"/>
    <w:rsid w:val="00570519"/>
    <w:rsid w:val="005710B0"/>
    <w:rsid w:val="00571488"/>
    <w:rsid w:val="00571C25"/>
    <w:rsid w:val="005720F3"/>
    <w:rsid w:val="00573E1B"/>
    <w:rsid w:val="00573F41"/>
    <w:rsid w:val="00575563"/>
    <w:rsid w:val="00576274"/>
    <w:rsid w:val="00576794"/>
    <w:rsid w:val="00576C94"/>
    <w:rsid w:val="00576D35"/>
    <w:rsid w:val="00577A92"/>
    <w:rsid w:val="005804FF"/>
    <w:rsid w:val="00580760"/>
    <w:rsid w:val="0058128B"/>
    <w:rsid w:val="00581855"/>
    <w:rsid w:val="00581EC6"/>
    <w:rsid w:val="00582771"/>
    <w:rsid w:val="00583231"/>
    <w:rsid w:val="00583992"/>
    <w:rsid w:val="00583F50"/>
    <w:rsid w:val="00584883"/>
    <w:rsid w:val="0058494B"/>
    <w:rsid w:val="00584A5F"/>
    <w:rsid w:val="00584D01"/>
    <w:rsid w:val="0058524B"/>
    <w:rsid w:val="005855AF"/>
    <w:rsid w:val="00585AFD"/>
    <w:rsid w:val="00586B18"/>
    <w:rsid w:val="00586C4D"/>
    <w:rsid w:val="0058713A"/>
    <w:rsid w:val="005900CF"/>
    <w:rsid w:val="005901DA"/>
    <w:rsid w:val="005905BC"/>
    <w:rsid w:val="00590DC7"/>
    <w:rsid w:val="00591020"/>
    <w:rsid w:val="005922D0"/>
    <w:rsid w:val="005923FA"/>
    <w:rsid w:val="00593356"/>
    <w:rsid w:val="00593803"/>
    <w:rsid w:val="00593FD2"/>
    <w:rsid w:val="00595507"/>
    <w:rsid w:val="0059624C"/>
    <w:rsid w:val="0059632B"/>
    <w:rsid w:val="00596C08"/>
    <w:rsid w:val="00597111"/>
    <w:rsid w:val="00597119"/>
    <w:rsid w:val="005971B0"/>
    <w:rsid w:val="00597AA7"/>
    <w:rsid w:val="005A01DB"/>
    <w:rsid w:val="005A16EE"/>
    <w:rsid w:val="005A1FE3"/>
    <w:rsid w:val="005A298A"/>
    <w:rsid w:val="005A34A1"/>
    <w:rsid w:val="005A4282"/>
    <w:rsid w:val="005A50CD"/>
    <w:rsid w:val="005A595D"/>
    <w:rsid w:val="005A5DD3"/>
    <w:rsid w:val="005A6551"/>
    <w:rsid w:val="005A68B7"/>
    <w:rsid w:val="005A7318"/>
    <w:rsid w:val="005A7B96"/>
    <w:rsid w:val="005B062A"/>
    <w:rsid w:val="005B1A5D"/>
    <w:rsid w:val="005B48AC"/>
    <w:rsid w:val="005B48F7"/>
    <w:rsid w:val="005B4F92"/>
    <w:rsid w:val="005B565F"/>
    <w:rsid w:val="005B6E03"/>
    <w:rsid w:val="005B7A98"/>
    <w:rsid w:val="005C1032"/>
    <w:rsid w:val="005C23CB"/>
    <w:rsid w:val="005C245E"/>
    <w:rsid w:val="005C36E7"/>
    <w:rsid w:val="005C426F"/>
    <w:rsid w:val="005C4360"/>
    <w:rsid w:val="005D07A1"/>
    <w:rsid w:val="005D0B28"/>
    <w:rsid w:val="005D1C73"/>
    <w:rsid w:val="005D1D68"/>
    <w:rsid w:val="005D1DBD"/>
    <w:rsid w:val="005D257C"/>
    <w:rsid w:val="005D299B"/>
    <w:rsid w:val="005D2B90"/>
    <w:rsid w:val="005D331D"/>
    <w:rsid w:val="005D3750"/>
    <w:rsid w:val="005D3898"/>
    <w:rsid w:val="005D40FC"/>
    <w:rsid w:val="005D41DE"/>
    <w:rsid w:val="005D50D4"/>
    <w:rsid w:val="005D57A4"/>
    <w:rsid w:val="005D6524"/>
    <w:rsid w:val="005D7167"/>
    <w:rsid w:val="005D74FD"/>
    <w:rsid w:val="005D7745"/>
    <w:rsid w:val="005E0C50"/>
    <w:rsid w:val="005E1316"/>
    <w:rsid w:val="005E14FE"/>
    <w:rsid w:val="005E1622"/>
    <w:rsid w:val="005E1B97"/>
    <w:rsid w:val="005E1C22"/>
    <w:rsid w:val="005E40A9"/>
    <w:rsid w:val="005E5173"/>
    <w:rsid w:val="005E5CF0"/>
    <w:rsid w:val="005E635C"/>
    <w:rsid w:val="005E63F4"/>
    <w:rsid w:val="005E721B"/>
    <w:rsid w:val="005E7284"/>
    <w:rsid w:val="005E72D1"/>
    <w:rsid w:val="005E79F6"/>
    <w:rsid w:val="005F051E"/>
    <w:rsid w:val="005F0EF0"/>
    <w:rsid w:val="005F116C"/>
    <w:rsid w:val="005F187B"/>
    <w:rsid w:val="005F3B09"/>
    <w:rsid w:val="005F5132"/>
    <w:rsid w:val="005F54EF"/>
    <w:rsid w:val="005F5E21"/>
    <w:rsid w:val="005F743B"/>
    <w:rsid w:val="00601375"/>
    <w:rsid w:val="00603A80"/>
    <w:rsid w:val="00603B2B"/>
    <w:rsid w:val="00603C96"/>
    <w:rsid w:val="00604869"/>
    <w:rsid w:val="00605AC3"/>
    <w:rsid w:val="00606830"/>
    <w:rsid w:val="006075EE"/>
    <w:rsid w:val="00607D9E"/>
    <w:rsid w:val="00610A83"/>
    <w:rsid w:val="00611531"/>
    <w:rsid w:val="00611613"/>
    <w:rsid w:val="006125F0"/>
    <w:rsid w:val="00612AEA"/>
    <w:rsid w:val="00614AFC"/>
    <w:rsid w:val="006157DB"/>
    <w:rsid w:val="006158DB"/>
    <w:rsid w:val="00615C20"/>
    <w:rsid w:val="00615F7D"/>
    <w:rsid w:val="006172E6"/>
    <w:rsid w:val="00620B48"/>
    <w:rsid w:val="00620E2D"/>
    <w:rsid w:val="00621015"/>
    <w:rsid w:val="00621353"/>
    <w:rsid w:val="00622FB3"/>
    <w:rsid w:val="00623253"/>
    <w:rsid w:val="00623854"/>
    <w:rsid w:val="00624616"/>
    <w:rsid w:val="006249A1"/>
    <w:rsid w:val="006253E4"/>
    <w:rsid w:val="00625F38"/>
    <w:rsid w:val="00625F8E"/>
    <w:rsid w:val="0063121C"/>
    <w:rsid w:val="00631800"/>
    <w:rsid w:val="0063277D"/>
    <w:rsid w:val="00633254"/>
    <w:rsid w:val="00633683"/>
    <w:rsid w:val="00633738"/>
    <w:rsid w:val="006342C1"/>
    <w:rsid w:val="00634FD4"/>
    <w:rsid w:val="00636349"/>
    <w:rsid w:val="006374A9"/>
    <w:rsid w:val="00637568"/>
    <w:rsid w:val="00640058"/>
    <w:rsid w:val="0064051A"/>
    <w:rsid w:val="00642392"/>
    <w:rsid w:val="00642917"/>
    <w:rsid w:val="00642D44"/>
    <w:rsid w:val="006435A0"/>
    <w:rsid w:val="00643F05"/>
    <w:rsid w:val="00645207"/>
    <w:rsid w:val="006453DC"/>
    <w:rsid w:val="00645835"/>
    <w:rsid w:val="00645A0E"/>
    <w:rsid w:val="00645DC2"/>
    <w:rsid w:val="00646176"/>
    <w:rsid w:val="0064690A"/>
    <w:rsid w:val="006472BD"/>
    <w:rsid w:val="00647A20"/>
    <w:rsid w:val="00647DEE"/>
    <w:rsid w:val="0065018E"/>
    <w:rsid w:val="00650BE8"/>
    <w:rsid w:val="00650C10"/>
    <w:rsid w:val="00650CFB"/>
    <w:rsid w:val="00651161"/>
    <w:rsid w:val="00651B09"/>
    <w:rsid w:val="00652028"/>
    <w:rsid w:val="00653985"/>
    <w:rsid w:val="00655349"/>
    <w:rsid w:val="006564B8"/>
    <w:rsid w:val="0066010C"/>
    <w:rsid w:val="0066125E"/>
    <w:rsid w:val="00661521"/>
    <w:rsid w:val="006616A7"/>
    <w:rsid w:val="006620D9"/>
    <w:rsid w:val="00663F68"/>
    <w:rsid w:val="006661A7"/>
    <w:rsid w:val="00666482"/>
    <w:rsid w:val="006700ED"/>
    <w:rsid w:val="006704A7"/>
    <w:rsid w:val="006704D5"/>
    <w:rsid w:val="0067190B"/>
    <w:rsid w:val="00671D55"/>
    <w:rsid w:val="00671EDC"/>
    <w:rsid w:val="00680DD3"/>
    <w:rsid w:val="0068113A"/>
    <w:rsid w:val="00685749"/>
    <w:rsid w:val="0068610F"/>
    <w:rsid w:val="006870F5"/>
    <w:rsid w:val="006872F2"/>
    <w:rsid w:val="00687473"/>
    <w:rsid w:val="0068764D"/>
    <w:rsid w:val="00687B41"/>
    <w:rsid w:val="00690045"/>
    <w:rsid w:val="006900D5"/>
    <w:rsid w:val="00691041"/>
    <w:rsid w:val="00691F03"/>
    <w:rsid w:val="0069226D"/>
    <w:rsid w:val="006922D6"/>
    <w:rsid w:val="00692AD4"/>
    <w:rsid w:val="00692C44"/>
    <w:rsid w:val="00693629"/>
    <w:rsid w:val="00694282"/>
    <w:rsid w:val="00694650"/>
    <w:rsid w:val="00694F7F"/>
    <w:rsid w:val="00695938"/>
    <w:rsid w:val="006972A6"/>
    <w:rsid w:val="00697A72"/>
    <w:rsid w:val="00697B10"/>
    <w:rsid w:val="006A2746"/>
    <w:rsid w:val="006A3B72"/>
    <w:rsid w:val="006A415B"/>
    <w:rsid w:val="006A5043"/>
    <w:rsid w:val="006A5916"/>
    <w:rsid w:val="006A6036"/>
    <w:rsid w:val="006A702D"/>
    <w:rsid w:val="006A7396"/>
    <w:rsid w:val="006A7BE3"/>
    <w:rsid w:val="006B0918"/>
    <w:rsid w:val="006B0BE6"/>
    <w:rsid w:val="006B0C38"/>
    <w:rsid w:val="006B189E"/>
    <w:rsid w:val="006B1E5F"/>
    <w:rsid w:val="006B256D"/>
    <w:rsid w:val="006B2C60"/>
    <w:rsid w:val="006B2CA3"/>
    <w:rsid w:val="006B2FAE"/>
    <w:rsid w:val="006B4015"/>
    <w:rsid w:val="006B51D0"/>
    <w:rsid w:val="006B5844"/>
    <w:rsid w:val="006B5DF4"/>
    <w:rsid w:val="006B6414"/>
    <w:rsid w:val="006B706A"/>
    <w:rsid w:val="006C0116"/>
    <w:rsid w:val="006C2728"/>
    <w:rsid w:val="006C3156"/>
    <w:rsid w:val="006C73A9"/>
    <w:rsid w:val="006C74F0"/>
    <w:rsid w:val="006D0AB3"/>
    <w:rsid w:val="006D0BAB"/>
    <w:rsid w:val="006D0F2C"/>
    <w:rsid w:val="006D1284"/>
    <w:rsid w:val="006D18B5"/>
    <w:rsid w:val="006D2216"/>
    <w:rsid w:val="006D4892"/>
    <w:rsid w:val="006D4BE2"/>
    <w:rsid w:val="006D6899"/>
    <w:rsid w:val="006D7F1A"/>
    <w:rsid w:val="006D7FC2"/>
    <w:rsid w:val="006E1084"/>
    <w:rsid w:val="006E3D57"/>
    <w:rsid w:val="006E5D42"/>
    <w:rsid w:val="006E6CA5"/>
    <w:rsid w:val="006E7625"/>
    <w:rsid w:val="006F0D0B"/>
    <w:rsid w:val="006F18D3"/>
    <w:rsid w:val="006F1B26"/>
    <w:rsid w:val="006F21A7"/>
    <w:rsid w:val="006F399B"/>
    <w:rsid w:val="006F45DE"/>
    <w:rsid w:val="006F57C6"/>
    <w:rsid w:val="00700528"/>
    <w:rsid w:val="00701421"/>
    <w:rsid w:val="00701781"/>
    <w:rsid w:val="00701B1F"/>
    <w:rsid w:val="00702066"/>
    <w:rsid w:val="007029D4"/>
    <w:rsid w:val="007031DB"/>
    <w:rsid w:val="00704368"/>
    <w:rsid w:val="00705ABB"/>
    <w:rsid w:val="00706EB7"/>
    <w:rsid w:val="00706ED4"/>
    <w:rsid w:val="00707B57"/>
    <w:rsid w:val="007110DC"/>
    <w:rsid w:val="007111EC"/>
    <w:rsid w:val="00711648"/>
    <w:rsid w:val="0071187C"/>
    <w:rsid w:val="0071231F"/>
    <w:rsid w:val="00713504"/>
    <w:rsid w:val="0071424E"/>
    <w:rsid w:val="00715E38"/>
    <w:rsid w:val="00716AA8"/>
    <w:rsid w:val="0072011B"/>
    <w:rsid w:val="007205E2"/>
    <w:rsid w:val="00720C78"/>
    <w:rsid w:val="00721D9A"/>
    <w:rsid w:val="00722066"/>
    <w:rsid w:val="0072226A"/>
    <w:rsid w:val="00722EB7"/>
    <w:rsid w:val="0072302E"/>
    <w:rsid w:val="0072321A"/>
    <w:rsid w:val="0072353F"/>
    <w:rsid w:val="00724025"/>
    <w:rsid w:val="00724351"/>
    <w:rsid w:val="00724452"/>
    <w:rsid w:val="00725D4F"/>
    <w:rsid w:val="0072792C"/>
    <w:rsid w:val="0073084D"/>
    <w:rsid w:val="00730D72"/>
    <w:rsid w:val="00731365"/>
    <w:rsid w:val="007328B8"/>
    <w:rsid w:val="0073301E"/>
    <w:rsid w:val="007336D4"/>
    <w:rsid w:val="007343B7"/>
    <w:rsid w:val="007364B3"/>
    <w:rsid w:val="00741624"/>
    <w:rsid w:val="007420E7"/>
    <w:rsid w:val="00742C56"/>
    <w:rsid w:val="0074329C"/>
    <w:rsid w:val="00743B49"/>
    <w:rsid w:val="00743BA3"/>
    <w:rsid w:val="007441D8"/>
    <w:rsid w:val="007445FC"/>
    <w:rsid w:val="00744864"/>
    <w:rsid w:val="00746F29"/>
    <w:rsid w:val="00747277"/>
    <w:rsid w:val="00747346"/>
    <w:rsid w:val="00750F77"/>
    <w:rsid w:val="00751646"/>
    <w:rsid w:val="0075186B"/>
    <w:rsid w:val="007521B2"/>
    <w:rsid w:val="007535D6"/>
    <w:rsid w:val="0075413E"/>
    <w:rsid w:val="0075475A"/>
    <w:rsid w:val="00754E89"/>
    <w:rsid w:val="00755121"/>
    <w:rsid w:val="00755255"/>
    <w:rsid w:val="00755CA9"/>
    <w:rsid w:val="00756D44"/>
    <w:rsid w:val="00760246"/>
    <w:rsid w:val="0076076E"/>
    <w:rsid w:val="00760D13"/>
    <w:rsid w:val="007610BA"/>
    <w:rsid w:val="00761407"/>
    <w:rsid w:val="007632DF"/>
    <w:rsid w:val="007635B7"/>
    <w:rsid w:val="007649FF"/>
    <w:rsid w:val="00764D24"/>
    <w:rsid w:val="00765998"/>
    <w:rsid w:val="00766B23"/>
    <w:rsid w:val="00767115"/>
    <w:rsid w:val="00770194"/>
    <w:rsid w:val="00771C15"/>
    <w:rsid w:val="007724F6"/>
    <w:rsid w:val="00772CCD"/>
    <w:rsid w:val="00773125"/>
    <w:rsid w:val="00773B22"/>
    <w:rsid w:val="00773CE1"/>
    <w:rsid w:val="0077477E"/>
    <w:rsid w:val="00781B74"/>
    <w:rsid w:val="00783A4D"/>
    <w:rsid w:val="00784DC8"/>
    <w:rsid w:val="00785CA1"/>
    <w:rsid w:val="00785D76"/>
    <w:rsid w:val="007864DD"/>
    <w:rsid w:val="00786831"/>
    <w:rsid w:val="00786B8D"/>
    <w:rsid w:val="007905BF"/>
    <w:rsid w:val="00791E89"/>
    <w:rsid w:val="007924D0"/>
    <w:rsid w:val="007934C5"/>
    <w:rsid w:val="0079354A"/>
    <w:rsid w:val="007950FC"/>
    <w:rsid w:val="00795714"/>
    <w:rsid w:val="00795E82"/>
    <w:rsid w:val="00797A81"/>
    <w:rsid w:val="00797F9B"/>
    <w:rsid w:val="007A0F00"/>
    <w:rsid w:val="007A1138"/>
    <w:rsid w:val="007A25CE"/>
    <w:rsid w:val="007A3AB9"/>
    <w:rsid w:val="007A4A3C"/>
    <w:rsid w:val="007A504D"/>
    <w:rsid w:val="007A52B0"/>
    <w:rsid w:val="007A54C6"/>
    <w:rsid w:val="007A6F4C"/>
    <w:rsid w:val="007A7B73"/>
    <w:rsid w:val="007B18C3"/>
    <w:rsid w:val="007B1987"/>
    <w:rsid w:val="007B4C78"/>
    <w:rsid w:val="007B5771"/>
    <w:rsid w:val="007B61AE"/>
    <w:rsid w:val="007B6F7A"/>
    <w:rsid w:val="007B711A"/>
    <w:rsid w:val="007C0782"/>
    <w:rsid w:val="007C129F"/>
    <w:rsid w:val="007C3793"/>
    <w:rsid w:val="007C4697"/>
    <w:rsid w:val="007C4E6F"/>
    <w:rsid w:val="007C72C8"/>
    <w:rsid w:val="007D0D11"/>
    <w:rsid w:val="007D164E"/>
    <w:rsid w:val="007D3943"/>
    <w:rsid w:val="007D44E2"/>
    <w:rsid w:val="007D5000"/>
    <w:rsid w:val="007D5D5F"/>
    <w:rsid w:val="007D6A82"/>
    <w:rsid w:val="007D7218"/>
    <w:rsid w:val="007D76E3"/>
    <w:rsid w:val="007E11A9"/>
    <w:rsid w:val="007E1D88"/>
    <w:rsid w:val="007E212C"/>
    <w:rsid w:val="007E2272"/>
    <w:rsid w:val="007E27C9"/>
    <w:rsid w:val="007E3E7D"/>
    <w:rsid w:val="007E50D6"/>
    <w:rsid w:val="007E55D1"/>
    <w:rsid w:val="007E5AB0"/>
    <w:rsid w:val="007E64C8"/>
    <w:rsid w:val="007E6F89"/>
    <w:rsid w:val="007E788A"/>
    <w:rsid w:val="007F036E"/>
    <w:rsid w:val="007F18F2"/>
    <w:rsid w:val="007F290D"/>
    <w:rsid w:val="007F2E58"/>
    <w:rsid w:val="007F30C5"/>
    <w:rsid w:val="007F37D0"/>
    <w:rsid w:val="007F3891"/>
    <w:rsid w:val="007F3A06"/>
    <w:rsid w:val="007F3AEE"/>
    <w:rsid w:val="007F458F"/>
    <w:rsid w:val="007F525D"/>
    <w:rsid w:val="007F55BD"/>
    <w:rsid w:val="007F67D1"/>
    <w:rsid w:val="007F7712"/>
    <w:rsid w:val="00800AC4"/>
    <w:rsid w:val="00803140"/>
    <w:rsid w:val="00803F7D"/>
    <w:rsid w:val="008043AD"/>
    <w:rsid w:val="00806171"/>
    <w:rsid w:val="0080704C"/>
    <w:rsid w:val="008108B4"/>
    <w:rsid w:val="0081114B"/>
    <w:rsid w:val="00814507"/>
    <w:rsid w:val="008148A4"/>
    <w:rsid w:val="00815186"/>
    <w:rsid w:val="008155A5"/>
    <w:rsid w:val="00815B72"/>
    <w:rsid w:val="0082043A"/>
    <w:rsid w:val="00820E0F"/>
    <w:rsid w:val="0082220F"/>
    <w:rsid w:val="00822A08"/>
    <w:rsid w:val="00822A13"/>
    <w:rsid w:val="00822F9B"/>
    <w:rsid w:val="00823117"/>
    <w:rsid w:val="00823339"/>
    <w:rsid w:val="00825194"/>
    <w:rsid w:val="00825C42"/>
    <w:rsid w:val="00825DEC"/>
    <w:rsid w:val="00826972"/>
    <w:rsid w:val="008278C6"/>
    <w:rsid w:val="00827C7C"/>
    <w:rsid w:val="008312B2"/>
    <w:rsid w:val="00831D23"/>
    <w:rsid w:val="00831DB1"/>
    <w:rsid w:val="00833D7E"/>
    <w:rsid w:val="00833E7F"/>
    <w:rsid w:val="0083406F"/>
    <w:rsid w:val="00834534"/>
    <w:rsid w:val="00835BB5"/>
    <w:rsid w:val="008376EE"/>
    <w:rsid w:val="00841953"/>
    <w:rsid w:val="008422E2"/>
    <w:rsid w:val="0084232C"/>
    <w:rsid w:val="0084269A"/>
    <w:rsid w:val="00842759"/>
    <w:rsid w:val="008430BB"/>
    <w:rsid w:val="0084359E"/>
    <w:rsid w:val="00843EF5"/>
    <w:rsid w:val="00843FE9"/>
    <w:rsid w:val="0084580D"/>
    <w:rsid w:val="00846AE2"/>
    <w:rsid w:val="008470C0"/>
    <w:rsid w:val="00851499"/>
    <w:rsid w:val="00851F97"/>
    <w:rsid w:val="00853451"/>
    <w:rsid w:val="00854A5A"/>
    <w:rsid w:val="00854CD9"/>
    <w:rsid w:val="008569A1"/>
    <w:rsid w:val="00861E00"/>
    <w:rsid w:val="00862C10"/>
    <w:rsid w:val="00862E1F"/>
    <w:rsid w:val="00863182"/>
    <w:rsid w:val="00864070"/>
    <w:rsid w:val="008650C7"/>
    <w:rsid w:val="00866706"/>
    <w:rsid w:val="00867E0E"/>
    <w:rsid w:val="008707FF"/>
    <w:rsid w:val="00871152"/>
    <w:rsid w:val="0087128E"/>
    <w:rsid w:val="008723B2"/>
    <w:rsid w:val="00872EFA"/>
    <w:rsid w:val="008731D7"/>
    <w:rsid w:val="00873E01"/>
    <w:rsid w:val="00873E69"/>
    <w:rsid w:val="00874916"/>
    <w:rsid w:val="008751C7"/>
    <w:rsid w:val="00876E04"/>
    <w:rsid w:val="00877E61"/>
    <w:rsid w:val="008806BD"/>
    <w:rsid w:val="00880874"/>
    <w:rsid w:val="0088111D"/>
    <w:rsid w:val="008815B3"/>
    <w:rsid w:val="0088184E"/>
    <w:rsid w:val="0088309B"/>
    <w:rsid w:val="00884FFA"/>
    <w:rsid w:val="0088510D"/>
    <w:rsid w:val="008871B5"/>
    <w:rsid w:val="008900D0"/>
    <w:rsid w:val="008916D5"/>
    <w:rsid w:val="00892236"/>
    <w:rsid w:val="008935C8"/>
    <w:rsid w:val="00893696"/>
    <w:rsid w:val="00893E32"/>
    <w:rsid w:val="0089407F"/>
    <w:rsid w:val="008963D2"/>
    <w:rsid w:val="008A0B91"/>
    <w:rsid w:val="008A0D4B"/>
    <w:rsid w:val="008A0DA3"/>
    <w:rsid w:val="008A201D"/>
    <w:rsid w:val="008A3483"/>
    <w:rsid w:val="008A353D"/>
    <w:rsid w:val="008A3AEF"/>
    <w:rsid w:val="008A464C"/>
    <w:rsid w:val="008A467E"/>
    <w:rsid w:val="008A51A7"/>
    <w:rsid w:val="008B0A9F"/>
    <w:rsid w:val="008B3012"/>
    <w:rsid w:val="008B3355"/>
    <w:rsid w:val="008B3814"/>
    <w:rsid w:val="008B3915"/>
    <w:rsid w:val="008B4202"/>
    <w:rsid w:val="008B50D5"/>
    <w:rsid w:val="008B54AE"/>
    <w:rsid w:val="008B71BC"/>
    <w:rsid w:val="008B7D3B"/>
    <w:rsid w:val="008C06C3"/>
    <w:rsid w:val="008C16E9"/>
    <w:rsid w:val="008C1D6C"/>
    <w:rsid w:val="008C27AB"/>
    <w:rsid w:val="008C370E"/>
    <w:rsid w:val="008C378B"/>
    <w:rsid w:val="008C387E"/>
    <w:rsid w:val="008C3D5D"/>
    <w:rsid w:val="008C5261"/>
    <w:rsid w:val="008C5DBD"/>
    <w:rsid w:val="008C633B"/>
    <w:rsid w:val="008C68EF"/>
    <w:rsid w:val="008C7149"/>
    <w:rsid w:val="008D0417"/>
    <w:rsid w:val="008D0F4A"/>
    <w:rsid w:val="008D1814"/>
    <w:rsid w:val="008D1D87"/>
    <w:rsid w:val="008D2CE3"/>
    <w:rsid w:val="008D4333"/>
    <w:rsid w:val="008D532E"/>
    <w:rsid w:val="008D54D2"/>
    <w:rsid w:val="008D5EB4"/>
    <w:rsid w:val="008D78E5"/>
    <w:rsid w:val="008D7B8C"/>
    <w:rsid w:val="008D7BE9"/>
    <w:rsid w:val="008E0444"/>
    <w:rsid w:val="008E0AB0"/>
    <w:rsid w:val="008E0C18"/>
    <w:rsid w:val="008E0FAF"/>
    <w:rsid w:val="008E1D3D"/>
    <w:rsid w:val="008E27B1"/>
    <w:rsid w:val="008E4869"/>
    <w:rsid w:val="008E5A07"/>
    <w:rsid w:val="008E5F00"/>
    <w:rsid w:val="008E6183"/>
    <w:rsid w:val="008E6784"/>
    <w:rsid w:val="008F13AF"/>
    <w:rsid w:val="008F1E1C"/>
    <w:rsid w:val="008F265F"/>
    <w:rsid w:val="008F5D9C"/>
    <w:rsid w:val="008F6742"/>
    <w:rsid w:val="008F67E8"/>
    <w:rsid w:val="008F6F5B"/>
    <w:rsid w:val="009021F6"/>
    <w:rsid w:val="00902FE3"/>
    <w:rsid w:val="009038F2"/>
    <w:rsid w:val="009043CF"/>
    <w:rsid w:val="00905255"/>
    <w:rsid w:val="0090571F"/>
    <w:rsid w:val="00905B35"/>
    <w:rsid w:val="00906438"/>
    <w:rsid w:val="0090654F"/>
    <w:rsid w:val="00910241"/>
    <w:rsid w:val="00910993"/>
    <w:rsid w:val="00910A2C"/>
    <w:rsid w:val="00910D4E"/>
    <w:rsid w:val="00911F87"/>
    <w:rsid w:val="00912442"/>
    <w:rsid w:val="00913678"/>
    <w:rsid w:val="009141AE"/>
    <w:rsid w:val="0091491F"/>
    <w:rsid w:val="0091571E"/>
    <w:rsid w:val="009158C7"/>
    <w:rsid w:val="009160FA"/>
    <w:rsid w:val="009161E6"/>
    <w:rsid w:val="0091712A"/>
    <w:rsid w:val="00920340"/>
    <w:rsid w:val="0092114B"/>
    <w:rsid w:val="0092218C"/>
    <w:rsid w:val="0092358F"/>
    <w:rsid w:val="009235C3"/>
    <w:rsid w:val="00923AE1"/>
    <w:rsid w:val="00925045"/>
    <w:rsid w:val="0092728F"/>
    <w:rsid w:val="00930D4A"/>
    <w:rsid w:val="00930FE6"/>
    <w:rsid w:val="009313DD"/>
    <w:rsid w:val="00931497"/>
    <w:rsid w:val="009314BB"/>
    <w:rsid w:val="00937C76"/>
    <w:rsid w:val="00937D43"/>
    <w:rsid w:val="009412E7"/>
    <w:rsid w:val="00941D4D"/>
    <w:rsid w:val="00943AF1"/>
    <w:rsid w:val="00943FBA"/>
    <w:rsid w:val="00945227"/>
    <w:rsid w:val="00946D2C"/>
    <w:rsid w:val="00946DE0"/>
    <w:rsid w:val="00950DA4"/>
    <w:rsid w:val="00951119"/>
    <w:rsid w:val="009530B2"/>
    <w:rsid w:val="00954D97"/>
    <w:rsid w:val="0095501E"/>
    <w:rsid w:val="0095576D"/>
    <w:rsid w:val="009564F1"/>
    <w:rsid w:val="00956641"/>
    <w:rsid w:val="00957834"/>
    <w:rsid w:val="00961935"/>
    <w:rsid w:val="00963346"/>
    <w:rsid w:val="009633C4"/>
    <w:rsid w:val="0096366A"/>
    <w:rsid w:val="0096380C"/>
    <w:rsid w:val="00965E25"/>
    <w:rsid w:val="00966233"/>
    <w:rsid w:val="00966369"/>
    <w:rsid w:val="009665AD"/>
    <w:rsid w:val="00967437"/>
    <w:rsid w:val="009677AB"/>
    <w:rsid w:val="00967B33"/>
    <w:rsid w:val="00970DF3"/>
    <w:rsid w:val="009716C7"/>
    <w:rsid w:val="00971E10"/>
    <w:rsid w:val="00971E31"/>
    <w:rsid w:val="0097232D"/>
    <w:rsid w:val="009731C7"/>
    <w:rsid w:val="00973E49"/>
    <w:rsid w:val="00975303"/>
    <w:rsid w:val="00975391"/>
    <w:rsid w:val="00975AC8"/>
    <w:rsid w:val="00976530"/>
    <w:rsid w:val="00976E9F"/>
    <w:rsid w:val="00976F6F"/>
    <w:rsid w:val="009772C5"/>
    <w:rsid w:val="009775A1"/>
    <w:rsid w:val="00981AE0"/>
    <w:rsid w:val="00982234"/>
    <w:rsid w:val="00982430"/>
    <w:rsid w:val="009824BE"/>
    <w:rsid w:val="009826E2"/>
    <w:rsid w:val="00984545"/>
    <w:rsid w:val="00984668"/>
    <w:rsid w:val="00984AE2"/>
    <w:rsid w:val="00985CD7"/>
    <w:rsid w:val="00986174"/>
    <w:rsid w:val="009869F7"/>
    <w:rsid w:val="00987139"/>
    <w:rsid w:val="00987520"/>
    <w:rsid w:val="009906F2"/>
    <w:rsid w:val="0099183C"/>
    <w:rsid w:val="0099296F"/>
    <w:rsid w:val="00992FF9"/>
    <w:rsid w:val="0099673E"/>
    <w:rsid w:val="00996925"/>
    <w:rsid w:val="00997E06"/>
    <w:rsid w:val="00997E53"/>
    <w:rsid w:val="009A1677"/>
    <w:rsid w:val="009A1B5F"/>
    <w:rsid w:val="009A1E2F"/>
    <w:rsid w:val="009A1E70"/>
    <w:rsid w:val="009A43C2"/>
    <w:rsid w:val="009A5263"/>
    <w:rsid w:val="009A55FE"/>
    <w:rsid w:val="009A6DB9"/>
    <w:rsid w:val="009A7C10"/>
    <w:rsid w:val="009B1018"/>
    <w:rsid w:val="009B1F02"/>
    <w:rsid w:val="009B28E0"/>
    <w:rsid w:val="009B3109"/>
    <w:rsid w:val="009B3240"/>
    <w:rsid w:val="009B3484"/>
    <w:rsid w:val="009B41D5"/>
    <w:rsid w:val="009B49BA"/>
    <w:rsid w:val="009B568C"/>
    <w:rsid w:val="009B7AF1"/>
    <w:rsid w:val="009B7B44"/>
    <w:rsid w:val="009C0015"/>
    <w:rsid w:val="009C0123"/>
    <w:rsid w:val="009C059A"/>
    <w:rsid w:val="009C0708"/>
    <w:rsid w:val="009C08CB"/>
    <w:rsid w:val="009C1610"/>
    <w:rsid w:val="009C1B47"/>
    <w:rsid w:val="009C2D55"/>
    <w:rsid w:val="009C2FAD"/>
    <w:rsid w:val="009C3678"/>
    <w:rsid w:val="009C3D2E"/>
    <w:rsid w:val="009C3EB2"/>
    <w:rsid w:val="009C5D44"/>
    <w:rsid w:val="009C5E35"/>
    <w:rsid w:val="009C7283"/>
    <w:rsid w:val="009C76DD"/>
    <w:rsid w:val="009D03A8"/>
    <w:rsid w:val="009D058C"/>
    <w:rsid w:val="009D090E"/>
    <w:rsid w:val="009D0E3A"/>
    <w:rsid w:val="009D0EA5"/>
    <w:rsid w:val="009D128B"/>
    <w:rsid w:val="009D2E23"/>
    <w:rsid w:val="009D5198"/>
    <w:rsid w:val="009D7291"/>
    <w:rsid w:val="009D73AC"/>
    <w:rsid w:val="009E0C06"/>
    <w:rsid w:val="009E0D57"/>
    <w:rsid w:val="009E2471"/>
    <w:rsid w:val="009E30C6"/>
    <w:rsid w:val="009E4057"/>
    <w:rsid w:val="009E4723"/>
    <w:rsid w:val="009E580A"/>
    <w:rsid w:val="009E6E9A"/>
    <w:rsid w:val="009E7887"/>
    <w:rsid w:val="009F0F17"/>
    <w:rsid w:val="009F1C13"/>
    <w:rsid w:val="009F3788"/>
    <w:rsid w:val="009F4EE9"/>
    <w:rsid w:val="009F5BA7"/>
    <w:rsid w:val="009F6C2A"/>
    <w:rsid w:val="009F7B6C"/>
    <w:rsid w:val="009F7FCF"/>
    <w:rsid w:val="00A00E0C"/>
    <w:rsid w:val="00A00E4D"/>
    <w:rsid w:val="00A01487"/>
    <w:rsid w:val="00A023F4"/>
    <w:rsid w:val="00A02995"/>
    <w:rsid w:val="00A04148"/>
    <w:rsid w:val="00A042E0"/>
    <w:rsid w:val="00A04928"/>
    <w:rsid w:val="00A04AAA"/>
    <w:rsid w:val="00A05A01"/>
    <w:rsid w:val="00A05EEA"/>
    <w:rsid w:val="00A065B6"/>
    <w:rsid w:val="00A06DD4"/>
    <w:rsid w:val="00A103CB"/>
    <w:rsid w:val="00A11981"/>
    <w:rsid w:val="00A12265"/>
    <w:rsid w:val="00A12956"/>
    <w:rsid w:val="00A14070"/>
    <w:rsid w:val="00A141C9"/>
    <w:rsid w:val="00A143B4"/>
    <w:rsid w:val="00A14502"/>
    <w:rsid w:val="00A14AFB"/>
    <w:rsid w:val="00A15401"/>
    <w:rsid w:val="00A15DB4"/>
    <w:rsid w:val="00A15E89"/>
    <w:rsid w:val="00A16034"/>
    <w:rsid w:val="00A16834"/>
    <w:rsid w:val="00A2024E"/>
    <w:rsid w:val="00A20358"/>
    <w:rsid w:val="00A21908"/>
    <w:rsid w:val="00A21A31"/>
    <w:rsid w:val="00A2268E"/>
    <w:rsid w:val="00A2455D"/>
    <w:rsid w:val="00A256FF"/>
    <w:rsid w:val="00A25F53"/>
    <w:rsid w:val="00A2604E"/>
    <w:rsid w:val="00A275D5"/>
    <w:rsid w:val="00A3093E"/>
    <w:rsid w:val="00A30B19"/>
    <w:rsid w:val="00A30B37"/>
    <w:rsid w:val="00A30BAD"/>
    <w:rsid w:val="00A321A4"/>
    <w:rsid w:val="00A32278"/>
    <w:rsid w:val="00A3304A"/>
    <w:rsid w:val="00A34B91"/>
    <w:rsid w:val="00A35AAB"/>
    <w:rsid w:val="00A36CE3"/>
    <w:rsid w:val="00A372DE"/>
    <w:rsid w:val="00A377F1"/>
    <w:rsid w:val="00A37BEF"/>
    <w:rsid w:val="00A4000D"/>
    <w:rsid w:val="00A40585"/>
    <w:rsid w:val="00A40936"/>
    <w:rsid w:val="00A41536"/>
    <w:rsid w:val="00A41E8C"/>
    <w:rsid w:val="00A420A7"/>
    <w:rsid w:val="00A44016"/>
    <w:rsid w:val="00A44540"/>
    <w:rsid w:val="00A454D7"/>
    <w:rsid w:val="00A4586D"/>
    <w:rsid w:val="00A464CA"/>
    <w:rsid w:val="00A50DC3"/>
    <w:rsid w:val="00A50E20"/>
    <w:rsid w:val="00A51ADB"/>
    <w:rsid w:val="00A5220B"/>
    <w:rsid w:val="00A52A71"/>
    <w:rsid w:val="00A5309B"/>
    <w:rsid w:val="00A535C4"/>
    <w:rsid w:val="00A53C1A"/>
    <w:rsid w:val="00A53D07"/>
    <w:rsid w:val="00A541E1"/>
    <w:rsid w:val="00A54646"/>
    <w:rsid w:val="00A56C52"/>
    <w:rsid w:val="00A57341"/>
    <w:rsid w:val="00A57563"/>
    <w:rsid w:val="00A57B74"/>
    <w:rsid w:val="00A60E11"/>
    <w:rsid w:val="00A60F36"/>
    <w:rsid w:val="00A61118"/>
    <w:rsid w:val="00A6208A"/>
    <w:rsid w:val="00A625B1"/>
    <w:rsid w:val="00A63260"/>
    <w:rsid w:val="00A634C5"/>
    <w:rsid w:val="00A6367F"/>
    <w:rsid w:val="00A70443"/>
    <w:rsid w:val="00A713DF"/>
    <w:rsid w:val="00A71F2F"/>
    <w:rsid w:val="00A72A29"/>
    <w:rsid w:val="00A72AFB"/>
    <w:rsid w:val="00A7319A"/>
    <w:rsid w:val="00A732BF"/>
    <w:rsid w:val="00A743DC"/>
    <w:rsid w:val="00A74559"/>
    <w:rsid w:val="00A7460B"/>
    <w:rsid w:val="00A75BCC"/>
    <w:rsid w:val="00A76781"/>
    <w:rsid w:val="00A77E2B"/>
    <w:rsid w:val="00A80B4F"/>
    <w:rsid w:val="00A814B5"/>
    <w:rsid w:val="00A825B6"/>
    <w:rsid w:val="00A83D9F"/>
    <w:rsid w:val="00A84E94"/>
    <w:rsid w:val="00A8600F"/>
    <w:rsid w:val="00A8685D"/>
    <w:rsid w:val="00A86CB9"/>
    <w:rsid w:val="00A86ED4"/>
    <w:rsid w:val="00A90A03"/>
    <w:rsid w:val="00A91834"/>
    <w:rsid w:val="00A93BF8"/>
    <w:rsid w:val="00A96683"/>
    <w:rsid w:val="00AA1389"/>
    <w:rsid w:val="00AA1963"/>
    <w:rsid w:val="00AA2E3D"/>
    <w:rsid w:val="00AA3073"/>
    <w:rsid w:val="00AA3137"/>
    <w:rsid w:val="00AA4062"/>
    <w:rsid w:val="00AA4509"/>
    <w:rsid w:val="00AA47AD"/>
    <w:rsid w:val="00AA55FA"/>
    <w:rsid w:val="00AA55FD"/>
    <w:rsid w:val="00AA56B0"/>
    <w:rsid w:val="00AA65B5"/>
    <w:rsid w:val="00AA7BE6"/>
    <w:rsid w:val="00AB0CC5"/>
    <w:rsid w:val="00AB1AB5"/>
    <w:rsid w:val="00AB23BD"/>
    <w:rsid w:val="00AB38AB"/>
    <w:rsid w:val="00AB495B"/>
    <w:rsid w:val="00AB6337"/>
    <w:rsid w:val="00AB742C"/>
    <w:rsid w:val="00AC157F"/>
    <w:rsid w:val="00AC21BC"/>
    <w:rsid w:val="00AC221E"/>
    <w:rsid w:val="00AC2CE8"/>
    <w:rsid w:val="00AC4FFB"/>
    <w:rsid w:val="00AC6C6F"/>
    <w:rsid w:val="00AC77FE"/>
    <w:rsid w:val="00AD026E"/>
    <w:rsid w:val="00AD12BC"/>
    <w:rsid w:val="00AD1880"/>
    <w:rsid w:val="00AD1B36"/>
    <w:rsid w:val="00AD213D"/>
    <w:rsid w:val="00AD223F"/>
    <w:rsid w:val="00AD2B18"/>
    <w:rsid w:val="00AD3409"/>
    <w:rsid w:val="00AD34AB"/>
    <w:rsid w:val="00AD3B91"/>
    <w:rsid w:val="00AD3ED5"/>
    <w:rsid w:val="00AD431C"/>
    <w:rsid w:val="00AD5390"/>
    <w:rsid w:val="00AD692D"/>
    <w:rsid w:val="00AE0889"/>
    <w:rsid w:val="00AE08EC"/>
    <w:rsid w:val="00AE0DC2"/>
    <w:rsid w:val="00AE0F90"/>
    <w:rsid w:val="00AE25B5"/>
    <w:rsid w:val="00AE2FAA"/>
    <w:rsid w:val="00AE3BBE"/>
    <w:rsid w:val="00AE4A96"/>
    <w:rsid w:val="00AE4ECB"/>
    <w:rsid w:val="00AE72C5"/>
    <w:rsid w:val="00AE7482"/>
    <w:rsid w:val="00AE7A3F"/>
    <w:rsid w:val="00AF040C"/>
    <w:rsid w:val="00AF08C0"/>
    <w:rsid w:val="00AF0D66"/>
    <w:rsid w:val="00AF0DBB"/>
    <w:rsid w:val="00AF0FBE"/>
    <w:rsid w:val="00AF176C"/>
    <w:rsid w:val="00AF1AC4"/>
    <w:rsid w:val="00AF215A"/>
    <w:rsid w:val="00AF26A2"/>
    <w:rsid w:val="00AF2AC8"/>
    <w:rsid w:val="00AF6FB3"/>
    <w:rsid w:val="00AF7343"/>
    <w:rsid w:val="00AF799B"/>
    <w:rsid w:val="00AF7BDE"/>
    <w:rsid w:val="00AF7DC8"/>
    <w:rsid w:val="00AF7F04"/>
    <w:rsid w:val="00B001AB"/>
    <w:rsid w:val="00B0046F"/>
    <w:rsid w:val="00B008CC"/>
    <w:rsid w:val="00B00D0F"/>
    <w:rsid w:val="00B012AC"/>
    <w:rsid w:val="00B013D5"/>
    <w:rsid w:val="00B0166C"/>
    <w:rsid w:val="00B02C2E"/>
    <w:rsid w:val="00B0583E"/>
    <w:rsid w:val="00B06A1D"/>
    <w:rsid w:val="00B06E18"/>
    <w:rsid w:val="00B06F91"/>
    <w:rsid w:val="00B101B6"/>
    <w:rsid w:val="00B1253F"/>
    <w:rsid w:val="00B126F0"/>
    <w:rsid w:val="00B1285C"/>
    <w:rsid w:val="00B12B12"/>
    <w:rsid w:val="00B12C37"/>
    <w:rsid w:val="00B13CF3"/>
    <w:rsid w:val="00B13ED2"/>
    <w:rsid w:val="00B1477C"/>
    <w:rsid w:val="00B14B7A"/>
    <w:rsid w:val="00B14C6C"/>
    <w:rsid w:val="00B15DE6"/>
    <w:rsid w:val="00B16181"/>
    <w:rsid w:val="00B16D92"/>
    <w:rsid w:val="00B170A1"/>
    <w:rsid w:val="00B1748B"/>
    <w:rsid w:val="00B20D7B"/>
    <w:rsid w:val="00B218DD"/>
    <w:rsid w:val="00B21A5B"/>
    <w:rsid w:val="00B21E55"/>
    <w:rsid w:val="00B22A42"/>
    <w:rsid w:val="00B23900"/>
    <w:rsid w:val="00B241E7"/>
    <w:rsid w:val="00B24230"/>
    <w:rsid w:val="00B268A6"/>
    <w:rsid w:val="00B26F56"/>
    <w:rsid w:val="00B26FE8"/>
    <w:rsid w:val="00B274BB"/>
    <w:rsid w:val="00B27B1A"/>
    <w:rsid w:val="00B32A27"/>
    <w:rsid w:val="00B33102"/>
    <w:rsid w:val="00B34AF7"/>
    <w:rsid w:val="00B3572B"/>
    <w:rsid w:val="00B36007"/>
    <w:rsid w:val="00B375CE"/>
    <w:rsid w:val="00B4001D"/>
    <w:rsid w:val="00B41882"/>
    <w:rsid w:val="00B421DC"/>
    <w:rsid w:val="00B423C0"/>
    <w:rsid w:val="00B42626"/>
    <w:rsid w:val="00B42B94"/>
    <w:rsid w:val="00B4369C"/>
    <w:rsid w:val="00B446F9"/>
    <w:rsid w:val="00B44C22"/>
    <w:rsid w:val="00B45345"/>
    <w:rsid w:val="00B46D4D"/>
    <w:rsid w:val="00B46F04"/>
    <w:rsid w:val="00B5030C"/>
    <w:rsid w:val="00B51BA8"/>
    <w:rsid w:val="00B524A5"/>
    <w:rsid w:val="00B5256F"/>
    <w:rsid w:val="00B535E9"/>
    <w:rsid w:val="00B53C5C"/>
    <w:rsid w:val="00B54008"/>
    <w:rsid w:val="00B54222"/>
    <w:rsid w:val="00B54CF1"/>
    <w:rsid w:val="00B5527F"/>
    <w:rsid w:val="00B55414"/>
    <w:rsid w:val="00B57F92"/>
    <w:rsid w:val="00B6025D"/>
    <w:rsid w:val="00B60C62"/>
    <w:rsid w:val="00B612B3"/>
    <w:rsid w:val="00B62748"/>
    <w:rsid w:val="00B636D0"/>
    <w:rsid w:val="00B660F7"/>
    <w:rsid w:val="00B66FC2"/>
    <w:rsid w:val="00B67E75"/>
    <w:rsid w:val="00B70BA0"/>
    <w:rsid w:val="00B71946"/>
    <w:rsid w:val="00B71E2A"/>
    <w:rsid w:val="00B72875"/>
    <w:rsid w:val="00B7367F"/>
    <w:rsid w:val="00B74095"/>
    <w:rsid w:val="00B74B41"/>
    <w:rsid w:val="00B74C0F"/>
    <w:rsid w:val="00B755D8"/>
    <w:rsid w:val="00B758E4"/>
    <w:rsid w:val="00B80A54"/>
    <w:rsid w:val="00B80DF5"/>
    <w:rsid w:val="00B843DA"/>
    <w:rsid w:val="00B856EC"/>
    <w:rsid w:val="00B857EC"/>
    <w:rsid w:val="00B863E2"/>
    <w:rsid w:val="00B90B74"/>
    <w:rsid w:val="00B91C2A"/>
    <w:rsid w:val="00B93994"/>
    <w:rsid w:val="00B93E56"/>
    <w:rsid w:val="00B94242"/>
    <w:rsid w:val="00B94D45"/>
    <w:rsid w:val="00B96836"/>
    <w:rsid w:val="00BA018E"/>
    <w:rsid w:val="00BA0B90"/>
    <w:rsid w:val="00BA1241"/>
    <w:rsid w:val="00BA1FB9"/>
    <w:rsid w:val="00BA24BD"/>
    <w:rsid w:val="00BA3858"/>
    <w:rsid w:val="00BA42A9"/>
    <w:rsid w:val="00BA46D4"/>
    <w:rsid w:val="00BA5309"/>
    <w:rsid w:val="00BA535F"/>
    <w:rsid w:val="00BA5742"/>
    <w:rsid w:val="00BA7CE4"/>
    <w:rsid w:val="00BB0137"/>
    <w:rsid w:val="00BB0D24"/>
    <w:rsid w:val="00BB2A84"/>
    <w:rsid w:val="00BB4AAD"/>
    <w:rsid w:val="00BB58C7"/>
    <w:rsid w:val="00BB5B28"/>
    <w:rsid w:val="00BB5E56"/>
    <w:rsid w:val="00BB7D74"/>
    <w:rsid w:val="00BC04AA"/>
    <w:rsid w:val="00BC06A3"/>
    <w:rsid w:val="00BC088A"/>
    <w:rsid w:val="00BC2DFE"/>
    <w:rsid w:val="00BC33C1"/>
    <w:rsid w:val="00BC3E94"/>
    <w:rsid w:val="00BC3F25"/>
    <w:rsid w:val="00BC42F1"/>
    <w:rsid w:val="00BC67CC"/>
    <w:rsid w:val="00BD008B"/>
    <w:rsid w:val="00BD0C39"/>
    <w:rsid w:val="00BD0F8E"/>
    <w:rsid w:val="00BD3656"/>
    <w:rsid w:val="00BD41D1"/>
    <w:rsid w:val="00BD6626"/>
    <w:rsid w:val="00BD71DA"/>
    <w:rsid w:val="00BD7538"/>
    <w:rsid w:val="00BD7799"/>
    <w:rsid w:val="00BD7EFB"/>
    <w:rsid w:val="00BE0B78"/>
    <w:rsid w:val="00BE0D4A"/>
    <w:rsid w:val="00BE1021"/>
    <w:rsid w:val="00BE1941"/>
    <w:rsid w:val="00BE233F"/>
    <w:rsid w:val="00BE243F"/>
    <w:rsid w:val="00BE26C8"/>
    <w:rsid w:val="00BE37D7"/>
    <w:rsid w:val="00BE37EF"/>
    <w:rsid w:val="00BE4458"/>
    <w:rsid w:val="00BE5BD6"/>
    <w:rsid w:val="00BE61BA"/>
    <w:rsid w:val="00BE7F4C"/>
    <w:rsid w:val="00BF0761"/>
    <w:rsid w:val="00BF18F1"/>
    <w:rsid w:val="00BF1D5A"/>
    <w:rsid w:val="00BF347D"/>
    <w:rsid w:val="00BF402B"/>
    <w:rsid w:val="00BF4973"/>
    <w:rsid w:val="00BF669F"/>
    <w:rsid w:val="00BF78F9"/>
    <w:rsid w:val="00BF7CA9"/>
    <w:rsid w:val="00BF7CD8"/>
    <w:rsid w:val="00C00510"/>
    <w:rsid w:val="00C0080B"/>
    <w:rsid w:val="00C01426"/>
    <w:rsid w:val="00C017FB"/>
    <w:rsid w:val="00C01FD7"/>
    <w:rsid w:val="00C02C89"/>
    <w:rsid w:val="00C03137"/>
    <w:rsid w:val="00C03729"/>
    <w:rsid w:val="00C03917"/>
    <w:rsid w:val="00C03B5E"/>
    <w:rsid w:val="00C04309"/>
    <w:rsid w:val="00C048D3"/>
    <w:rsid w:val="00C04BCB"/>
    <w:rsid w:val="00C05010"/>
    <w:rsid w:val="00C0646B"/>
    <w:rsid w:val="00C064E6"/>
    <w:rsid w:val="00C068BC"/>
    <w:rsid w:val="00C0773C"/>
    <w:rsid w:val="00C122D0"/>
    <w:rsid w:val="00C12344"/>
    <w:rsid w:val="00C13566"/>
    <w:rsid w:val="00C13569"/>
    <w:rsid w:val="00C1469C"/>
    <w:rsid w:val="00C146D6"/>
    <w:rsid w:val="00C155D7"/>
    <w:rsid w:val="00C15621"/>
    <w:rsid w:val="00C15BCF"/>
    <w:rsid w:val="00C15C22"/>
    <w:rsid w:val="00C1628A"/>
    <w:rsid w:val="00C16323"/>
    <w:rsid w:val="00C16BDC"/>
    <w:rsid w:val="00C16FCA"/>
    <w:rsid w:val="00C1707B"/>
    <w:rsid w:val="00C1765B"/>
    <w:rsid w:val="00C17F5D"/>
    <w:rsid w:val="00C201FC"/>
    <w:rsid w:val="00C20571"/>
    <w:rsid w:val="00C2216E"/>
    <w:rsid w:val="00C225C1"/>
    <w:rsid w:val="00C23D3F"/>
    <w:rsid w:val="00C23EC5"/>
    <w:rsid w:val="00C24768"/>
    <w:rsid w:val="00C24C87"/>
    <w:rsid w:val="00C25861"/>
    <w:rsid w:val="00C2592B"/>
    <w:rsid w:val="00C25BC5"/>
    <w:rsid w:val="00C25D70"/>
    <w:rsid w:val="00C27432"/>
    <w:rsid w:val="00C30D47"/>
    <w:rsid w:val="00C31CEC"/>
    <w:rsid w:val="00C324CF"/>
    <w:rsid w:val="00C33F6D"/>
    <w:rsid w:val="00C342D3"/>
    <w:rsid w:val="00C3442D"/>
    <w:rsid w:val="00C3524A"/>
    <w:rsid w:val="00C35971"/>
    <w:rsid w:val="00C35E6B"/>
    <w:rsid w:val="00C36431"/>
    <w:rsid w:val="00C36559"/>
    <w:rsid w:val="00C36979"/>
    <w:rsid w:val="00C36C7B"/>
    <w:rsid w:val="00C36DE3"/>
    <w:rsid w:val="00C36E0D"/>
    <w:rsid w:val="00C40AB6"/>
    <w:rsid w:val="00C40C43"/>
    <w:rsid w:val="00C40C58"/>
    <w:rsid w:val="00C42FD3"/>
    <w:rsid w:val="00C43724"/>
    <w:rsid w:val="00C44404"/>
    <w:rsid w:val="00C44E1E"/>
    <w:rsid w:val="00C460F1"/>
    <w:rsid w:val="00C46295"/>
    <w:rsid w:val="00C46823"/>
    <w:rsid w:val="00C470B8"/>
    <w:rsid w:val="00C47B3A"/>
    <w:rsid w:val="00C50586"/>
    <w:rsid w:val="00C506AD"/>
    <w:rsid w:val="00C50734"/>
    <w:rsid w:val="00C519CA"/>
    <w:rsid w:val="00C51ECE"/>
    <w:rsid w:val="00C52627"/>
    <w:rsid w:val="00C52B42"/>
    <w:rsid w:val="00C52F04"/>
    <w:rsid w:val="00C532F6"/>
    <w:rsid w:val="00C54266"/>
    <w:rsid w:val="00C54433"/>
    <w:rsid w:val="00C5490A"/>
    <w:rsid w:val="00C5500C"/>
    <w:rsid w:val="00C55233"/>
    <w:rsid w:val="00C55399"/>
    <w:rsid w:val="00C55AF2"/>
    <w:rsid w:val="00C56BC3"/>
    <w:rsid w:val="00C5786B"/>
    <w:rsid w:val="00C605F8"/>
    <w:rsid w:val="00C611EE"/>
    <w:rsid w:val="00C615F3"/>
    <w:rsid w:val="00C61BF8"/>
    <w:rsid w:val="00C627B2"/>
    <w:rsid w:val="00C63086"/>
    <w:rsid w:val="00C632A3"/>
    <w:rsid w:val="00C63D55"/>
    <w:rsid w:val="00C63E3E"/>
    <w:rsid w:val="00C64083"/>
    <w:rsid w:val="00C64458"/>
    <w:rsid w:val="00C65B6D"/>
    <w:rsid w:val="00C65D79"/>
    <w:rsid w:val="00C67056"/>
    <w:rsid w:val="00C67208"/>
    <w:rsid w:val="00C67DB0"/>
    <w:rsid w:val="00C70CBF"/>
    <w:rsid w:val="00C72679"/>
    <w:rsid w:val="00C730A6"/>
    <w:rsid w:val="00C732F0"/>
    <w:rsid w:val="00C736C1"/>
    <w:rsid w:val="00C74D03"/>
    <w:rsid w:val="00C74FB6"/>
    <w:rsid w:val="00C764C7"/>
    <w:rsid w:val="00C8240A"/>
    <w:rsid w:val="00C82AB3"/>
    <w:rsid w:val="00C82B91"/>
    <w:rsid w:val="00C833A5"/>
    <w:rsid w:val="00C83AAF"/>
    <w:rsid w:val="00C85D3E"/>
    <w:rsid w:val="00C90392"/>
    <w:rsid w:val="00C90DDC"/>
    <w:rsid w:val="00C934C4"/>
    <w:rsid w:val="00C93E34"/>
    <w:rsid w:val="00C94A20"/>
    <w:rsid w:val="00C94B58"/>
    <w:rsid w:val="00C9560E"/>
    <w:rsid w:val="00C96E60"/>
    <w:rsid w:val="00C971C4"/>
    <w:rsid w:val="00C979CB"/>
    <w:rsid w:val="00CA0C2F"/>
    <w:rsid w:val="00CA1380"/>
    <w:rsid w:val="00CA182D"/>
    <w:rsid w:val="00CA1A90"/>
    <w:rsid w:val="00CA3997"/>
    <w:rsid w:val="00CA3EA8"/>
    <w:rsid w:val="00CA3ED1"/>
    <w:rsid w:val="00CA54D9"/>
    <w:rsid w:val="00CA597B"/>
    <w:rsid w:val="00CA6DAA"/>
    <w:rsid w:val="00CA7BAE"/>
    <w:rsid w:val="00CA7CA2"/>
    <w:rsid w:val="00CB01C0"/>
    <w:rsid w:val="00CB04ED"/>
    <w:rsid w:val="00CB0688"/>
    <w:rsid w:val="00CB0786"/>
    <w:rsid w:val="00CB0A1F"/>
    <w:rsid w:val="00CB10FE"/>
    <w:rsid w:val="00CB168D"/>
    <w:rsid w:val="00CB325A"/>
    <w:rsid w:val="00CB38D1"/>
    <w:rsid w:val="00CB5669"/>
    <w:rsid w:val="00CB5BCC"/>
    <w:rsid w:val="00CB5CEE"/>
    <w:rsid w:val="00CB7AAA"/>
    <w:rsid w:val="00CC034A"/>
    <w:rsid w:val="00CC0780"/>
    <w:rsid w:val="00CC0AC5"/>
    <w:rsid w:val="00CC0B66"/>
    <w:rsid w:val="00CC1B10"/>
    <w:rsid w:val="00CC1BEA"/>
    <w:rsid w:val="00CC3A8B"/>
    <w:rsid w:val="00CC4061"/>
    <w:rsid w:val="00CC4100"/>
    <w:rsid w:val="00CC55D1"/>
    <w:rsid w:val="00CC5E28"/>
    <w:rsid w:val="00CC6B2B"/>
    <w:rsid w:val="00CC7B21"/>
    <w:rsid w:val="00CC7DDF"/>
    <w:rsid w:val="00CD0A13"/>
    <w:rsid w:val="00CD0E63"/>
    <w:rsid w:val="00CD11AD"/>
    <w:rsid w:val="00CD1D4D"/>
    <w:rsid w:val="00CD27E5"/>
    <w:rsid w:val="00CD315E"/>
    <w:rsid w:val="00CD41F4"/>
    <w:rsid w:val="00CD47FB"/>
    <w:rsid w:val="00CD4A8B"/>
    <w:rsid w:val="00CD5043"/>
    <w:rsid w:val="00CD54E1"/>
    <w:rsid w:val="00CD579F"/>
    <w:rsid w:val="00CD76C2"/>
    <w:rsid w:val="00CD7DBF"/>
    <w:rsid w:val="00CE1532"/>
    <w:rsid w:val="00CE16EF"/>
    <w:rsid w:val="00CE2C39"/>
    <w:rsid w:val="00CE31CD"/>
    <w:rsid w:val="00CE348F"/>
    <w:rsid w:val="00CE3F6C"/>
    <w:rsid w:val="00CE42CD"/>
    <w:rsid w:val="00CE4477"/>
    <w:rsid w:val="00CE4490"/>
    <w:rsid w:val="00CE53FE"/>
    <w:rsid w:val="00CE67A8"/>
    <w:rsid w:val="00CE7103"/>
    <w:rsid w:val="00CE716F"/>
    <w:rsid w:val="00CF1487"/>
    <w:rsid w:val="00CF1847"/>
    <w:rsid w:val="00CF3288"/>
    <w:rsid w:val="00CF35CB"/>
    <w:rsid w:val="00CF629A"/>
    <w:rsid w:val="00CF688C"/>
    <w:rsid w:val="00D00A87"/>
    <w:rsid w:val="00D010B8"/>
    <w:rsid w:val="00D01982"/>
    <w:rsid w:val="00D04EBE"/>
    <w:rsid w:val="00D063D7"/>
    <w:rsid w:val="00D0676D"/>
    <w:rsid w:val="00D07CCE"/>
    <w:rsid w:val="00D1294D"/>
    <w:rsid w:val="00D12BFC"/>
    <w:rsid w:val="00D12E23"/>
    <w:rsid w:val="00D12F70"/>
    <w:rsid w:val="00D135AF"/>
    <w:rsid w:val="00D13760"/>
    <w:rsid w:val="00D15494"/>
    <w:rsid w:val="00D157B5"/>
    <w:rsid w:val="00D201E0"/>
    <w:rsid w:val="00D20C04"/>
    <w:rsid w:val="00D20F45"/>
    <w:rsid w:val="00D216F0"/>
    <w:rsid w:val="00D22C3C"/>
    <w:rsid w:val="00D22CE3"/>
    <w:rsid w:val="00D23FEE"/>
    <w:rsid w:val="00D25B59"/>
    <w:rsid w:val="00D26136"/>
    <w:rsid w:val="00D2662A"/>
    <w:rsid w:val="00D26730"/>
    <w:rsid w:val="00D26B8D"/>
    <w:rsid w:val="00D271CF"/>
    <w:rsid w:val="00D275CE"/>
    <w:rsid w:val="00D30D2E"/>
    <w:rsid w:val="00D32145"/>
    <w:rsid w:val="00D32B87"/>
    <w:rsid w:val="00D32BDF"/>
    <w:rsid w:val="00D339E5"/>
    <w:rsid w:val="00D34164"/>
    <w:rsid w:val="00D344F6"/>
    <w:rsid w:val="00D34761"/>
    <w:rsid w:val="00D34CA7"/>
    <w:rsid w:val="00D358CE"/>
    <w:rsid w:val="00D373FE"/>
    <w:rsid w:val="00D37BAD"/>
    <w:rsid w:val="00D4063F"/>
    <w:rsid w:val="00D41304"/>
    <w:rsid w:val="00D42155"/>
    <w:rsid w:val="00D42969"/>
    <w:rsid w:val="00D42DE2"/>
    <w:rsid w:val="00D43032"/>
    <w:rsid w:val="00D43925"/>
    <w:rsid w:val="00D4452F"/>
    <w:rsid w:val="00D44977"/>
    <w:rsid w:val="00D45441"/>
    <w:rsid w:val="00D464F5"/>
    <w:rsid w:val="00D4676A"/>
    <w:rsid w:val="00D467D5"/>
    <w:rsid w:val="00D47F18"/>
    <w:rsid w:val="00D50869"/>
    <w:rsid w:val="00D50AFA"/>
    <w:rsid w:val="00D50B50"/>
    <w:rsid w:val="00D51727"/>
    <w:rsid w:val="00D517F7"/>
    <w:rsid w:val="00D51809"/>
    <w:rsid w:val="00D51A31"/>
    <w:rsid w:val="00D537A8"/>
    <w:rsid w:val="00D5418F"/>
    <w:rsid w:val="00D56B3F"/>
    <w:rsid w:val="00D574AD"/>
    <w:rsid w:val="00D57771"/>
    <w:rsid w:val="00D57833"/>
    <w:rsid w:val="00D5796F"/>
    <w:rsid w:val="00D57BF2"/>
    <w:rsid w:val="00D60F28"/>
    <w:rsid w:val="00D612DA"/>
    <w:rsid w:val="00D627EA"/>
    <w:rsid w:val="00D62DB4"/>
    <w:rsid w:val="00D631B0"/>
    <w:rsid w:val="00D632DC"/>
    <w:rsid w:val="00D634C1"/>
    <w:rsid w:val="00D65B5A"/>
    <w:rsid w:val="00D663AC"/>
    <w:rsid w:val="00D70379"/>
    <w:rsid w:val="00D71304"/>
    <w:rsid w:val="00D7159F"/>
    <w:rsid w:val="00D71FD7"/>
    <w:rsid w:val="00D73BA7"/>
    <w:rsid w:val="00D74198"/>
    <w:rsid w:val="00D7490A"/>
    <w:rsid w:val="00D74C8D"/>
    <w:rsid w:val="00D754F8"/>
    <w:rsid w:val="00D75979"/>
    <w:rsid w:val="00D7600E"/>
    <w:rsid w:val="00D76919"/>
    <w:rsid w:val="00D77291"/>
    <w:rsid w:val="00D77B85"/>
    <w:rsid w:val="00D817D9"/>
    <w:rsid w:val="00D81CBD"/>
    <w:rsid w:val="00D838EC"/>
    <w:rsid w:val="00D83BBC"/>
    <w:rsid w:val="00D83FCE"/>
    <w:rsid w:val="00D843F1"/>
    <w:rsid w:val="00D849FD"/>
    <w:rsid w:val="00D84EE9"/>
    <w:rsid w:val="00D86422"/>
    <w:rsid w:val="00D86A07"/>
    <w:rsid w:val="00D86D7C"/>
    <w:rsid w:val="00D872F0"/>
    <w:rsid w:val="00D91A4B"/>
    <w:rsid w:val="00D91BFA"/>
    <w:rsid w:val="00D92106"/>
    <w:rsid w:val="00D92ED4"/>
    <w:rsid w:val="00D93A32"/>
    <w:rsid w:val="00D93D35"/>
    <w:rsid w:val="00D94096"/>
    <w:rsid w:val="00D94DEC"/>
    <w:rsid w:val="00D94E0E"/>
    <w:rsid w:val="00D96FBA"/>
    <w:rsid w:val="00D97DD2"/>
    <w:rsid w:val="00D97EE1"/>
    <w:rsid w:val="00DA1A36"/>
    <w:rsid w:val="00DA1CE9"/>
    <w:rsid w:val="00DA2D37"/>
    <w:rsid w:val="00DA2E17"/>
    <w:rsid w:val="00DA30D0"/>
    <w:rsid w:val="00DA4482"/>
    <w:rsid w:val="00DA768C"/>
    <w:rsid w:val="00DA7D93"/>
    <w:rsid w:val="00DB01C3"/>
    <w:rsid w:val="00DB03F7"/>
    <w:rsid w:val="00DB0D4B"/>
    <w:rsid w:val="00DB116A"/>
    <w:rsid w:val="00DB372C"/>
    <w:rsid w:val="00DB3DB3"/>
    <w:rsid w:val="00DB494B"/>
    <w:rsid w:val="00DB4D80"/>
    <w:rsid w:val="00DB5218"/>
    <w:rsid w:val="00DB5D55"/>
    <w:rsid w:val="00DB5EEC"/>
    <w:rsid w:val="00DB5EFC"/>
    <w:rsid w:val="00DB784F"/>
    <w:rsid w:val="00DB79A4"/>
    <w:rsid w:val="00DC0C36"/>
    <w:rsid w:val="00DC1449"/>
    <w:rsid w:val="00DC1A7E"/>
    <w:rsid w:val="00DC1E42"/>
    <w:rsid w:val="00DC429A"/>
    <w:rsid w:val="00DC504E"/>
    <w:rsid w:val="00DC51DA"/>
    <w:rsid w:val="00DC59DD"/>
    <w:rsid w:val="00DC6722"/>
    <w:rsid w:val="00DC77E4"/>
    <w:rsid w:val="00DC7CC8"/>
    <w:rsid w:val="00DC7EEA"/>
    <w:rsid w:val="00DC7F8C"/>
    <w:rsid w:val="00DD0401"/>
    <w:rsid w:val="00DD0C09"/>
    <w:rsid w:val="00DD0F58"/>
    <w:rsid w:val="00DD17AD"/>
    <w:rsid w:val="00DD1850"/>
    <w:rsid w:val="00DD2240"/>
    <w:rsid w:val="00DD2EFD"/>
    <w:rsid w:val="00DD322E"/>
    <w:rsid w:val="00DD34A2"/>
    <w:rsid w:val="00DD3CF8"/>
    <w:rsid w:val="00DD51AB"/>
    <w:rsid w:val="00DD5A9A"/>
    <w:rsid w:val="00DD617E"/>
    <w:rsid w:val="00DE14B7"/>
    <w:rsid w:val="00DE1CBE"/>
    <w:rsid w:val="00DE3566"/>
    <w:rsid w:val="00DE38C2"/>
    <w:rsid w:val="00DE47EE"/>
    <w:rsid w:val="00DE5970"/>
    <w:rsid w:val="00DE5B0C"/>
    <w:rsid w:val="00DE7E84"/>
    <w:rsid w:val="00DF0415"/>
    <w:rsid w:val="00DF12FB"/>
    <w:rsid w:val="00DF1564"/>
    <w:rsid w:val="00DF2CCB"/>
    <w:rsid w:val="00DF3816"/>
    <w:rsid w:val="00DF3986"/>
    <w:rsid w:val="00DF3AD2"/>
    <w:rsid w:val="00DF42B7"/>
    <w:rsid w:val="00DF478E"/>
    <w:rsid w:val="00DF56EA"/>
    <w:rsid w:val="00DF60FF"/>
    <w:rsid w:val="00DF61F5"/>
    <w:rsid w:val="00DF7497"/>
    <w:rsid w:val="00E002A5"/>
    <w:rsid w:val="00E0312A"/>
    <w:rsid w:val="00E04BC5"/>
    <w:rsid w:val="00E04C2A"/>
    <w:rsid w:val="00E069CE"/>
    <w:rsid w:val="00E079DC"/>
    <w:rsid w:val="00E07FB6"/>
    <w:rsid w:val="00E101C4"/>
    <w:rsid w:val="00E10420"/>
    <w:rsid w:val="00E134D3"/>
    <w:rsid w:val="00E136FD"/>
    <w:rsid w:val="00E1583C"/>
    <w:rsid w:val="00E15BC5"/>
    <w:rsid w:val="00E15CDB"/>
    <w:rsid w:val="00E16439"/>
    <w:rsid w:val="00E16589"/>
    <w:rsid w:val="00E17FE1"/>
    <w:rsid w:val="00E201C7"/>
    <w:rsid w:val="00E201E3"/>
    <w:rsid w:val="00E20E0F"/>
    <w:rsid w:val="00E23622"/>
    <w:rsid w:val="00E238AC"/>
    <w:rsid w:val="00E23F0D"/>
    <w:rsid w:val="00E25CA4"/>
    <w:rsid w:val="00E2713F"/>
    <w:rsid w:val="00E276D5"/>
    <w:rsid w:val="00E278C2"/>
    <w:rsid w:val="00E31B33"/>
    <w:rsid w:val="00E31FBB"/>
    <w:rsid w:val="00E32EEE"/>
    <w:rsid w:val="00E333AF"/>
    <w:rsid w:val="00E33B5B"/>
    <w:rsid w:val="00E3434F"/>
    <w:rsid w:val="00E35244"/>
    <w:rsid w:val="00E35314"/>
    <w:rsid w:val="00E35E0E"/>
    <w:rsid w:val="00E3603B"/>
    <w:rsid w:val="00E37C4C"/>
    <w:rsid w:val="00E37FEF"/>
    <w:rsid w:val="00E41336"/>
    <w:rsid w:val="00E416FE"/>
    <w:rsid w:val="00E41E5A"/>
    <w:rsid w:val="00E43071"/>
    <w:rsid w:val="00E434E4"/>
    <w:rsid w:val="00E43741"/>
    <w:rsid w:val="00E45BED"/>
    <w:rsid w:val="00E46037"/>
    <w:rsid w:val="00E463F9"/>
    <w:rsid w:val="00E46748"/>
    <w:rsid w:val="00E47F27"/>
    <w:rsid w:val="00E51039"/>
    <w:rsid w:val="00E53C13"/>
    <w:rsid w:val="00E5457F"/>
    <w:rsid w:val="00E55A69"/>
    <w:rsid w:val="00E55E97"/>
    <w:rsid w:val="00E560B1"/>
    <w:rsid w:val="00E5731A"/>
    <w:rsid w:val="00E57A8A"/>
    <w:rsid w:val="00E57A9E"/>
    <w:rsid w:val="00E60287"/>
    <w:rsid w:val="00E608A6"/>
    <w:rsid w:val="00E629C8"/>
    <w:rsid w:val="00E63DBF"/>
    <w:rsid w:val="00E656A9"/>
    <w:rsid w:val="00E66BD7"/>
    <w:rsid w:val="00E66DD5"/>
    <w:rsid w:val="00E679A3"/>
    <w:rsid w:val="00E7105F"/>
    <w:rsid w:val="00E710EB"/>
    <w:rsid w:val="00E719EB"/>
    <w:rsid w:val="00E72481"/>
    <w:rsid w:val="00E7258E"/>
    <w:rsid w:val="00E72923"/>
    <w:rsid w:val="00E72F36"/>
    <w:rsid w:val="00E732DB"/>
    <w:rsid w:val="00E73E6C"/>
    <w:rsid w:val="00E74B34"/>
    <w:rsid w:val="00E74F4D"/>
    <w:rsid w:val="00E762F8"/>
    <w:rsid w:val="00E76692"/>
    <w:rsid w:val="00E81355"/>
    <w:rsid w:val="00E81C62"/>
    <w:rsid w:val="00E83EC0"/>
    <w:rsid w:val="00E84781"/>
    <w:rsid w:val="00E84B02"/>
    <w:rsid w:val="00E85A6E"/>
    <w:rsid w:val="00E901FE"/>
    <w:rsid w:val="00E9188F"/>
    <w:rsid w:val="00E91AB9"/>
    <w:rsid w:val="00E92EE0"/>
    <w:rsid w:val="00E936DC"/>
    <w:rsid w:val="00EA0BAE"/>
    <w:rsid w:val="00EA2B1E"/>
    <w:rsid w:val="00EA2DE3"/>
    <w:rsid w:val="00EA4027"/>
    <w:rsid w:val="00EA654E"/>
    <w:rsid w:val="00EA6E7C"/>
    <w:rsid w:val="00EA746B"/>
    <w:rsid w:val="00EA76F0"/>
    <w:rsid w:val="00EB176E"/>
    <w:rsid w:val="00EB2517"/>
    <w:rsid w:val="00EB27CA"/>
    <w:rsid w:val="00EB2829"/>
    <w:rsid w:val="00EB2942"/>
    <w:rsid w:val="00EB2CBE"/>
    <w:rsid w:val="00EB39B6"/>
    <w:rsid w:val="00EB39DF"/>
    <w:rsid w:val="00EB3FDE"/>
    <w:rsid w:val="00EB48BB"/>
    <w:rsid w:val="00EB7A6A"/>
    <w:rsid w:val="00EC015C"/>
    <w:rsid w:val="00EC08AA"/>
    <w:rsid w:val="00EC0B87"/>
    <w:rsid w:val="00EC2508"/>
    <w:rsid w:val="00EC2606"/>
    <w:rsid w:val="00EC2AD6"/>
    <w:rsid w:val="00EC2E6D"/>
    <w:rsid w:val="00EC31C8"/>
    <w:rsid w:val="00EC43CA"/>
    <w:rsid w:val="00EC4B58"/>
    <w:rsid w:val="00EC5556"/>
    <w:rsid w:val="00ED0833"/>
    <w:rsid w:val="00ED1877"/>
    <w:rsid w:val="00ED3261"/>
    <w:rsid w:val="00ED3CC7"/>
    <w:rsid w:val="00ED3EA8"/>
    <w:rsid w:val="00ED4C18"/>
    <w:rsid w:val="00ED52E2"/>
    <w:rsid w:val="00ED5371"/>
    <w:rsid w:val="00ED5DB5"/>
    <w:rsid w:val="00ED67C8"/>
    <w:rsid w:val="00ED6CB5"/>
    <w:rsid w:val="00ED7FC6"/>
    <w:rsid w:val="00EE09FB"/>
    <w:rsid w:val="00EE12B3"/>
    <w:rsid w:val="00EE15CD"/>
    <w:rsid w:val="00EE1EC1"/>
    <w:rsid w:val="00EE2344"/>
    <w:rsid w:val="00EE2802"/>
    <w:rsid w:val="00EE2D33"/>
    <w:rsid w:val="00EE3919"/>
    <w:rsid w:val="00EE3D55"/>
    <w:rsid w:val="00EE4262"/>
    <w:rsid w:val="00EE4762"/>
    <w:rsid w:val="00EE49AE"/>
    <w:rsid w:val="00EE5264"/>
    <w:rsid w:val="00EE558E"/>
    <w:rsid w:val="00EE590A"/>
    <w:rsid w:val="00EE63AC"/>
    <w:rsid w:val="00EE7A3E"/>
    <w:rsid w:val="00EF1F51"/>
    <w:rsid w:val="00EF213E"/>
    <w:rsid w:val="00EF2220"/>
    <w:rsid w:val="00EF3113"/>
    <w:rsid w:val="00EF3846"/>
    <w:rsid w:val="00EF4FFF"/>
    <w:rsid w:val="00EF60A8"/>
    <w:rsid w:val="00EF60C5"/>
    <w:rsid w:val="00EF6291"/>
    <w:rsid w:val="00EF6394"/>
    <w:rsid w:val="00EF792B"/>
    <w:rsid w:val="00F00E89"/>
    <w:rsid w:val="00F01866"/>
    <w:rsid w:val="00F02C58"/>
    <w:rsid w:val="00F03822"/>
    <w:rsid w:val="00F056C9"/>
    <w:rsid w:val="00F056E9"/>
    <w:rsid w:val="00F076AB"/>
    <w:rsid w:val="00F107B6"/>
    <w:rsid w:val="00F11D58"/>
    <w:rsid w:val="00F13F26"/>
    <w:rsid w:val="00F144B5"/>
    <w:rsid w:val="00F14869"/>
    <w:rsid w:val="00F14B6D"/>
    <w:rsid w:val="00F15FC4"/>
    <w:rsid w:val="00F166D0"/>
    <w:rsid w:val="00F167EB"/>
    <w:rsid w:val="00F17A1E"/>
    <w:rsid w:val="00F20B0A"/>
    <w:rsid w:val="00F21517"/>
    <w:rsid w:val="00F219A9"/>
    <w:rsid w:val="00F22008"/>
    <w:rsid w:val="00F221E8"/>
    <w:rsid w:val="00F23297"/>
    <w:rsid w:val="00F2678C"/>
    <w:rsid w:val="00F271F0"/>
    <w:rsid w:val="00F3022D"/>
    <w:rsid w:val="00F3026C"/>
    <w:rsid w:val="00F3028E"/>
    <w:rsid w:val="00F303E9"/>
    <w:rsid w:val="00F3046D"/>
    <w:rsid w:val="00F30946"/>
    <w:rsid w:val="00F33E5A"/>
    <w:rsid w:val="00F35150"/>
    <w:rsid w:val="00F35D09"/>
    <w:rsid w:val="00F365E8"/>
    <w:rsid w:val="00F36A3E"/>
    <w:rsid w:val="00F40974"/>
    <w:rsid w:val="00F4129B"/>
    <w:rsid w:val="00F42DD6"/>
    <w:rsid w:val="00F4333E"/>
    <w:rsid w:val="00F43BB0"/>
    <w:rsid w:val="00F445A7"/>
    <w:rsid w:val="00F445BB"/>
    <w:rsid w:val="00F450FC"/>
    <w:rsid w:val="00F4641A"/>
    <w:rsid w:val="00F530CD"/>
    <w:rsid w:val="00F53197"/>
    <w:rsid w:val="00F53528"/>
    <w:rsid w:val="00F53F4F"/>
    <w:rsid w:val="00F542B2"/>
    <w:rsid w:val="00F542FA"/>
    <w:rsid w:val="00F54A0F"/>
    <w:rsid w:val="00F557EC"/>
    <w:rsid w:val="00F61D9C"/>
    <w:rsid w:val="00F623FB"/>
    <w:rsid w:val="00F63649"/>
    <w:rsid w:val="00F638B4"/>
    <w:rsid w:val="00F6429B"/>
    <w:rsid w:val="00F6454B"/>
    <w:rsid w:val="00F65803"/>
    <w:rsid w:val="00F65A44"/>
    <w:rsid w:val="00F65C5C"/>
    <w:rsid w:val="00F6659F"/>
    <w:rsid w:val="00F679AA"/>
    <w:rsid w:val="00F71C42"/>
    <w:rsid w:val="00F727F3"/>
    <w:rsid w:val="00F74256"/>
    <w:rsid w:val="00F74EDF"/>
    <w:rsid w:val="00F75065"/>
    <w:rsid w:val="00F7647A"/>
    <w:rsid w:val="00F76D8F"/>
    <w:rsid w:val="00F76E75"/>
    <w:rsid w:val="00F77435"/>
    <w:rsid w:val="00F80349"/>
    <w:rsid w:val="00F81C3C"/>
    <w:rsid w:val="00F81F98"/>
    <w:rsid w:val="00F85B5C"/>
    <w:rsid w:val="00F866A9"/>
    <w:rsid w:val="00F9016E"/>
    <w:rsid w:val="00F903CC"/>
    <w:rsid w:val="00F907EA"/>
    <w:rsid w:val="00F90CDA"/>
    <w:rsid w:val="00F90E66"/>
    <w:rsid w:val="00F91719"/>
    <w:rsid w:val="00F929D5"/>
    <w:rsid w:val="00F92C34"/>
    <w:rsid w:val="00F93D60"/>
    <w:rsid w:val="00F93D91"/>
    <w:rsid w:val="00F93E5E"/>
    <w:rsid w:val="00F93FDA"/>
    <w:rsid w:val="00F95267"/>
    <w:rsid w:val="00F953F7"/>
    <w:rsid w:val="00F96E8D"/>
    <w:rsid w:val="00FA095B"/>
    <w:rsid w:val="00FA0BA0"/>
    <w:rsid w:val="00FA2B58"/>
    <w:rsid w:val="00FA2D07"/>
    <w:rsid w:val="00FA2DB5"/>
    <w:rsid w:val="00FA352E"/>
    <w:rsid w:val="00FA3D1F"/>
    <w:rsid w:val="00FA5CE5"/>
    <w:rsid w:val="00FA7930"/>
    <w:rsid w:val="00FB0EF8"/>
    <w:rsid w:val="00FB1340"/>
    <w:rsid w:val="00FB14CE"/>
    <w:rsid w:val="00FB2E85"/>
    <w:rsid w:val="00FB33EE"/>
    <w:rsid w:val="00FB48A8"/>
    <w:rsid w:val="00FB55F8"/>
    <w:rsid w:val="00FB5739"/>
    <w:rsid w:val="00FC0A6D"/>
    <w:rsid w:val="00FC0D24"/>
    <w:rsid w:val="00FC15BB"/>
    <w:rsid w:val="00FC1ADF"/>
    <w:rsid w:val="00FC2CA0"/>
    <w:rsid w:val="00FC33E5"/>
    <w:rsid w:val="00FC3A86"/>
    <w:rsid w:val="00FC3B1D"/>
    <w:rsid w:val="00FC558B"/>
    <w:rsid w:val="00FC6163"/>
    <w:rsid w:val="00FC64AD"/>
    <w:rsid w:val="00FC6682"/>
    <w:rsid w:val="00FC6ECD"/>
    <w:rsid w:val="00FC6FFC"/>
    <w:rsid w:val="00FC7165"/>
    <w:rsid w:val="00FC7A06"/>
    <w:rsid w:val="00FD0F1B"/>
    <w:rsid w:val="00FD0FDC"/>
    <w:rsid w:val="00FD182C"/>
    <w:rsid w:val="00FD1CEB"/>
    <w:rsid w:val="00FD1E13"/>
    <w:rsid w:val="00FD2417"/>
    <w:rsid w:val="00FD27E9"/>
    <w:rsid w:val="00FD36DA"/>
    <w:rsid w:val="00FD374F"/>
    <w:rsid w:val="00FD40CE"/>
    <w:rsid w:val="00FD41AF"/>
    <w:rsid w:val="00FD4DB4"/>
    <w:rsid w:val="00FD53E7"/>
    <w:rsid w:val="00FD58F7"/>
    <w:rsid w:val="00FD5FF6"/>
    <w:rsid w:val="00FD67C9"/>
    <w:rsid w:val="00FD7F86"/>
    <w:rsid w:val="00FE22B6"/>
    <w:rsid w:val="00FE27A0"/>
    <w:rsid w:val="00FE3696"/>
    <w:rsid w:val="00FE36C0"/>
    <w:rsid w:val="00FE5291"/>
    <w:rsid w:val="00FE52C4"/>
    <w:rsid w:val="00FE5AD9"/>
    <w:rsid w:val="00FE6052"/>
    <w:rsid w:val="00FE6425"/>
    <w:rsid w:val="00FE6F54"/>
    <w:rsid w:val="00FF0696"/>
    <w:rsid w:val="00FF070A"/>
    <w:rsid w:val="00FF080F"/>
    <w:rsid w:val="00FF15E1"/>
    <w:rsid w:val="00FF33FD"/>
    <w:rsid w:val="00FF3644"/>
    <w:rsid w:val="00FF3CBD"/>
    <w:rsid w:val="00FF48BB"/>
    <w:rsid w:val="00FF5010"/>
    <w:rsid w:val="00FF505B"/>
    <w:rsid w:val="00FF5226"/>
    <w:rsid w:val="00FF598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8F791C12-6A68-406B-86A0-A7D22C06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6A2"/>
    <w:pPr>
      <w:spacing w:after="0" w:line="240" w:lineRule="auto"/>
    </w:pPr>
    <w:rPr>
      <w:rFonts w:asciiTheme="majorBidi" w:hAnsiTheme="majorBidi"/>
      <w:sz w:val="24"/>
      <w:szCs w:val="24"/>
    </w:rPr>
  </w:style>
  <w:style w:type="paragraph" w:styleId="1">
    <w:name w:val="heading 1"/>
    <w:aliases w:val=" תו"/>
    <w:basedOn w:val="a"/>
    <w:link w:val="10"/>
    <w:qFormat/>
    <w:rsid w:val="006A415B"/>
    <w:pPr>
      <w:numPr>
        <w:numId w:val="1"/>
      </w:numPr>
      <w:bidi/>
      <w:spacing w:line="360" w:lineRule="auto"/>
      <w:ind w:right="340"/>
      <w:jc w:val="both"/>
      <w:outlineLvl w:val="0"/>
    </w:pPr>
    <w:rPr>
      <w:rFonts w:ascii="Times New Roman" w:eastAsia="Times New Roman" w:hAnsi="Times New Roman" w:cs="David"/>
      <w:kern w:val="28"/>
      <w:lang w:eastAsia="he-IL"/>
    </w:rPr>
  </w:style>
  <w:style w:type="paragraph" w:styleId="2">
    <w:name w:val="heading 2"/>
    <w:basedOn w:val="1"/>
    <w:link w:val="20"/>
    <w:qFormat/>
    <w:rsid w:val="006A415B"/>
    <w:pPr>
      <w:numPr>
        <w:ilvl w:val="1"/>
      </w:numPr>
      <w:tabs>
        <w:tab w:val="num" w:pos="360"/>
      </w:tabs>
      <w:ind w:right="680"/>
      <w:outlineLvl w:val="1"/>
    </w:pPr>
  </w:style>
  <w:style w:type="paragraph" w:styleId="3">
    <w:name w:val="heading 3"/>
    <w:basedOn w:val="2"/>
    <w:link w:val="30"/>
    <w:qFormat/>
    <w:rsid w:val="006A415B"/>
    <w:pPr>
      <w:keepNext/>
      <w:numPr>
        <w:ilvl w:val="2"/>
      </w:numPr>
      <w:tabs>
        <w:tab w:val="num" w:pos="360"/>
      </w:tabs>
      <w:ind w:right="1020"/>
      <w:outlineLvl w:val="2"/>
    </w:pPr>
  </w:style>
  <w:style w:type="paragraph" w:styleId="4">
    <w:name w:val="heading 4"/>
    <w:basedOn w:val="3"/>
    <w:link w:val="40"/>
    <w:qFormat/>
    <w:rsid w:val="006A415B"/>
    <w:pPr>
      <w:keepNext w:val="0"/>
      <w:numPr>
        <w:ilvl w:val="3"/>
      </w:numPr>
      <w:tabs>
        <w:tab w:val="num" w:pos="360"/>
      </w:tabs>
      <w:ind w:right="1360"/>
      <w:outlineLvl w:val="3"/>
    </w:pPr>
  </w:style>
  <w:style w:type="paragraph" w:styleId="5">
    <w:name w:val="heading 5"/>
    <w:basedOn w:val="4"/>
    <w:link w:val="50"/>
    <w:qFormat/>
    <w:rsid w:val="006A415B"/>
    <w:pPr>
      <w:numPr>
        <w:ilvl w:val="4"/>
      </w:numPr>
      <w:tabs>
        <w:tab w:val="num" w:pos="360"/>
      </w:tabs>
      <w:ind w:right="2068"/>
      <w:outlineLvl w:val="4"/>
    </w:pPr>
  </w:style>
  <w:style w:type="paragraph" w:styleId="6">
    <w:name w:val="heading 6"/>
    <w:basedOn w:val="a"/>
    <w:next w:val="a"/>
    <w:link w:val="60"/>
    <w:qFormat/>
    <w:rsid w:val="006A415B"/>
    <w:pPr>
      <w:numPr>
        <w:ilvl w:val="5"/>
        <w:numId w:val="1"/>
      </w:numPr>
      <w:bidi/>
      <w:spacing w:before="240" w:after="60" w:line="360" w:lineRule="auto"/>
      <w:ind w:right="2776"/>
      <w:jc w:val="both"/>
      <w:outlineLvl w:val="5"/>
    </w:pPr>
    <w:rPr>
      <w:rFonts w:ascii="Arial" w:eastAsia="Times New Roman" w:hAnsi="Arial" w:cs="Arial"/>
      <w:i/>
      <w:iCs/>
      <w:szCs w:val="22"/>
      <w:lang w:eastAsia="he-IL"/>
    </w:rPr>
  </w:style>
  <w:style w:type="paragraph" w:styleId="7">
    <w:name w:val="heading 7"/>
    <w:basedOn w:val="a"/>
    <w:next w:val="a"/>
    <w:link w:val="70"/>
    <w:qFormat/>
    <w:rsid w:val="006A415B"/>
    <w:pPr>
      <w:numPr>
        <w:ilvl w:val="6"/>
        <w:numId w:val="1"/>
      </w:numPr>
      <w:bidi/>
      <w:spacing w:before="240" w:after="60" w:line="360" w:lineRule="auto"/>
      <w:ind w:right="3484"/>
      <w:jc w:val="both"/>
      <w:outlineLvl w:val="6"/>
    </w:pPr>
    <w:rPr>
      <w:rFonts w:ascii="Arial" w:eastAsia="Times New Roman" w:hAnsi="Arial" w:cs="Arial"/>
      <w:sz w:val="20"/>
      <w:szCs w:val="20"/>
      <w:lang w:eastAsia="he-IL"/>
    </w:rPr>
  </w:style>
  <w:style w:type="paragraph" w:styleId="8">
    <w:name w:val="heading 8"/>
    <w:basedOn w:val="a"/>
    <w:next w:val="a"/>
    <w:link w:val="80"/>
    <w:qFormat/>
    <w:rsid w:val="006A415B"/>
    <w:pPr>
      <w:numPr>
        <w:ilvl w:val="7"/>
        <w:numId w:val="1"/>
      </w:numPr>
      <w:bidi/>
      <w:spacing w:before="240" w:after="60" w:line="360" w:lineRule="auto"/>
      <w:ind w:right="4192"/>
      <w:jc w:val="both"/>
      <w:outlineLvl w:val="7"/>
    </w:pPr>
    <w:rPr>
      <w:rFonts w:ascii="Arial" w:eastAsia="Times New Roman" w:hAnsi="Arial" w:cs="Arial"/>
      <w:i/>
      <w:iCs/>
      <w:sz w:val="20"/>
      <w:szCs w:val="20"/>
      <w:lang w:eastAsia="he-IL"/>
    </w:rPr>
  </w:style>
  <w:style w:type="paragraph" w:styleId="9">
    <w:name w:val="heading 9"/>
    <w:basedOn w:val="a"/>
    <w:next w:val="a"/>
    <w:link w:val="90"/>
    <w:qFormat/>
    <w:rsid w:val="006A415B"/>
    <w:pPr>
      <w:numPr>
        <w:ilvl w:val="8"/>
        <w:numId w:val="1"/>
      </w:numPr>
      <w:bidi/>
      <w:spacing w:before="240" w:after="60" w:line="360" w:lineRule="auto"/>
      <w:ind w:right="4900"/>
      <w:jc w:val="both"/>
      <w:outlineLvl w:val="8"/>
    </w:pPr>
    <w:rPr>
      <w:rFonts w:ascii="Arial" w:eastAsia="Times New Roman" w:hAnsi="Arial" w:cs="Arial"/>
      <w:i/>
      <w:iCs/>
      <w:sz w:val="18"/>
      <w:szCs w:val="1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2DEE"/>
    <w:rPr>
      <w:rFonts w:ascii="Tahoma" w:hAnsi="Tahoma" w:cs="Tahoma"/>
      <w:sz w:val="16"/>
      <w:szCs w:val="16"/>
    </w:rPr>
  </w:style>
  <w:style w:type="character" w:customStyle="1" w:styleId="a4">
    <w:name w:val="טקסט בלונים תו"/>
    <w:basedOn w:val="a0"/>
    <w:link w:val="a3"/>
    <w:uiPriority w:val="99"/>
    <w:semiHidden/>
    <w:rsid w:val="003A2DEE"/>
    <w:rPr>
      <w:rFonts w:ascii="Tahoma" w:hAnsi="Tahoma" w:cs="Tahoma"/>
      <w:sz w:val="16"/>
      <w:szCs w:val="16"/>
    </w:rPr>
  </w:style>
  <w:style w:type="character" w:styleId="a5">
    <w:name w:val="annotation reference"/>
    <w:basedOn w:val="a0"/>
    <w:uiPriority w:val="99"/>
    <w:semiHidden/>
    <w:unhideWhenUsed/>
    <w:rsid w:val="009021F6"/>
    <w:rPr>
      <w:sz w:val="16"/>
      <w:szCs w:val="16"/>
    </w:rPr>
  </w:style>
  <w:style w:type="paragraph" w:styleId="a6">
    <w:name w:val="annotation text"/>
    <w:basedOn w:val="a"/>
    <w:link w:val="a7"/>
    <w:uiPriority w:val="99"/>
    <w:semiHidden/>
    <w:unhideWhenUsed/>
    <w:rsid w:val="009021F6"/>
    <w:rPr>
      <w:sz w:val="20"/>
      <w:szCs w:val="20"/>
    </w:rPr>
  </w:style>
  <w:style w:type="character" w:customStyle="1" w:styleId="a7">
    <w:name w:val="טקסט הערה תו"/>
    <w:basedOn w:val="a0"/>
    <w:link w:val="a6"/>
    <w:uiPriority w:val="99"/>
    <w:semiHidden/>
    <w:rsid w:val="009021F6"/>
    <w:rPr>
      <w:rFonts w:asciiTheme="majorBidi" w:hAnsiTheme="majorBidi"/>
      <w:sz w:val="20"/>
      <w:szCs w:val="20"/>
    </w:rPr>
  </w:style>
  <w:style w:type="paragraph" w:styleId="a8">
    <w:name w:val="annotation subject"/>
    <w:basedOn w:val="a6"/>
    <w:next w:val="a6"/>
    <w:link w:val="a9"/>
    <w:uiPriority w:val="99"/>
    <w:semiHidden/>
    <w:unhideWhenUsed/>
    <w:rsid w:val="009021F6"/>
    <w:rPr>
      <w:b/>
      <w:bCs/>
    </w:rPr>
  </w:style>
  <w:style w:type="character" w:customStyle="1" w:styleId="a9">
    <w:name w:val="נושא הערה תו"/>
    <w:basedOn w:val="a7"/>
    <w:link w:val="a8"/>
    <w:uiPriority w:val="99"/>
    <w:semiHidden/>
    <w:rsid w:val="009021F6"/>
    <w:rPr>
      <w:rFonts w:asciiTheme="majorBidi" w:hAnsiTheme="majorBidi"/>
      <w:b/>
      <w:bCs/>
      <w:sz w:val="20"/>
      <w:szCs w:val="20"/>
    </w:rPr>
  </w:style>
  <w:style w:type="character" w:customStyle="1" w:styleId="10">
    <w:name w:val="כותרת 1 תו"/>
    <w:aliases w:val=" תו תו"/>
    <w:basedOn w:val="a0"/>
    <w:link w:val="1"/>
    <w:rsid w:val="006A415B"/>
    <w:rPr>
      <w:rFonts w:ascii="Times New Roman" w:eastAsia="Times New Roman" w:hAnsi="Times New Roman" w:cs="David"/>
      <w:kern w:val="28"/>
      <w:sz w:val="24"/>
      <w:szCs w:val="24"/>
      <w:lang w:eastAsia="he-IL"/>
    </w:rPr>
  </w:style>
  <w:style w:type="character" w:customStyle="1" w:styleId="20">
    <w:name w:val="כותרת 2 תו"/>
    <w:basedOn w:val="a0"/>
    <w:link w:val="2"/>
    <w:rsid w:val="006A415B"/>
    <w:rPr>
      <w:rFonts w:ascii="Times New Roman" w:eastAsia="Times New Roman" w:hAnsi="Times New Roman" w:cs="David"/>
      <w:kern w:val="28"/>
      <w:sz w:val="24"/>
      <w:szCs w:val="24"/>
      <w:lang w:eastAsia="he-IL"/>
    </w:rPr>
  </w:style>
  <w:style w:type="character" w:customStyle="1" w:styleId="30">
    <w:name w:val="כותרת 3 תו"/>
    <w:basedOn w:val="a0"/>
    <w:link w:val="3"/>
    <w:rsid w:val="006A415B"/>
    <w:rPr>
      <w:rFonts w:ascii="Times New Roman" w:eastAsia="Times New Roman" w:hAnsi="Times New Roman" w:cs="David"/>
      <w:kern w:val="28"/>
      <w:sz w:val="24"/>
      <w:szCs w:val="24"/>
      <w:lang w:eastAsia="he-IL"/>
    </w:rPr>
  </w:style>
  <w:style w:type="character" w:customStyle="1" w:styleId="40">
    <w:name w:val="כותרת 4 תו"/>
    <w:basedOn w:val="a0"/>
    <w:link w:val="4"/>
    <w:rsid w:val="006A415B"/>
    <w:rPr>
      <w:rFonts w:ascii="Times New Roman" w:eastAsia="Times New Roman" w:hAnsi="Times New Roman" w:cs="David"/>
      <w:kern w:val="28"/>
      <w:sz w:val="24"/>
      <w:szCs w:val="24"/>
      <w:lang w:eastAsia="he-IL"/>
    </w:rPr>
  </w:style>
  <w:style w:type="character" w:customStyle="1" w:styleId="50">
    <w:name w:val="כותרת 5 תו"/>
    <w:basedOn w:val="a0"/>
    <w:link w:val="5"/>
    <w:rsid w:val="006A415B"/>
    <w:rPr>
      <w:rFonts w:ascii="Times New Roman" w:eastAsia="Times New Roman" w:hAnsi="Times New Roman" w:cs="David"/>
      <w:kern w:val="28"/>
      <w:sz w:val="24"/>
      <w:szCs w:val="24"/>
      <w:lang w:eastAsia="he-IL"/>
    </w:rPr>
  </w:style>
  <w:style w:type="character" w:customStyle="1" w:styleId="60">
    <w:name w:val="כותרת 6 תו"/>
    <w:basedOn w:val="a0"/>
    <w:link w:val="6"/>
    <w:rsid w:val="006A415B"/>
    <w:rPr>
      <w:rFonts w:ascii="Arial" w:eastAsia="Times New Roman" w:hAnsi="Arial" w:cs="Arial"/>
      <w:i/>
      <w:iCs/>
      <w:sz w:val="24"/>
      <w:lang w:eastAsia="he-IL"/>
    </w:rPr>
  </w:style>
  <w:style w:type="character" w:customStyle="1" w:styleId="70">
    <w:name w:val="כותרת 7 תו"/>
    <w:basedOn w:val="a0"/>
    <w:link w:val="7"/>
    <w:rsid w:val="006A415B"/>
    <w:rPr>
      <w:rFonts w:ascii="Arial" w:eastAsia="Times New Roman" w:hAnsi="Arial" w:cs="Arial"/>
      <w:sz w:val="20"/>
      <w:szCs w:val="20"/>
      <w:lang w:eastAsia="he-IL"/>
    </w:rPr>
  </w:style>
  <w:style w:type="character" w:customStyle="1" w:styleId="80">
    <w:name w:val="כותרת 8 תו"/>
    <w:basedOn w:val="a0"/>
    <w:link w:val="8"/>
    <w:rsid w:val="006A415B"/>
    <w:rPr>
      <w:rFonts w:ascii="Arial" w:eastAsia="Times New Roman" w:hAnsi="Arial" w:cs="Arial"/>
      <w:i/>
      <w:iCs/>
      <w:sz w:val="20"/>
      <w:szCs w:val="20"/>
      <w:lang w:eastAsia="he-IL"/>
    </w:rPr>
  </w:style>
  <w:style w:type="character" w:customStyle="1" w:styleId="90">
    <w:name w:val="כותרת 9 תו"/>
    <w:basedOn w:val="a0"/>
    <w:link w:val="9"/>
    <w:rsid w:val="006A415B"/>
    <w:rPr>
      <w:rFonts w:ascii="Arial" w:eastAsia="Times New Roman" w:hAnsi="Arial" w:cs="Arial"/>
      <w:i/>
      <w:iCs/>
      <w:sz w:val="18"/>
      <w:szCs w:val="18"/>
      <w:lang w:eastAsia="he-IL"/>
    </w:rPr>
  </w:style>
  <w:style w:type="paragraph" w:styleId="aa">
    <w:name w:val="header"/>
    <w:basedOn w:val="a"/>
    <w:link w:val="ab"/>
    <w:rsid w:val="006A415B"/>
    <w:pPr>
      <w:tabs>
        <w:tab w:val="center" w:pos="4153"/>
        <w:tab w:val="right" w:pos="8306"/>
      </w:tabs>
      <w:bidi/>
      <w:spacing w:line="360" w:lineRule="auto"/>
      <w:jc w:val="both"/>
    </w:pPr>
    <w:rPr>
      <w:rFonts w:ascii="Times New Roman" w:eastAsia="Times New Roman" w:hAnsi="Times New Roman" w:cs="David"/>
      <w:lang w:eastAsia="he-IL"/>
    </w:rPr>
  </w:style>
  <w:style w:type="character" w:customStyle="1" w:styleId="ab">
    <w:name w:val="כותרת עליונה תו"/>
    <w:basedOn w:val="a0"/>
    <w:link w:val="aa"/>
    <w:rsid w:val="006A415B"/>
    <w:rPr>
      <w:rFonts w:ascii="Times New Roman" w:eastAsia="Times New Roman" w:hAnsi="Times New Roman" w:cs="David"/>
      <w:sz w:val="24"/>
      <w:szCs w:val="24"/>
      <w:lang w:eastAsia="he-IL"/>
    </w:rPr>
  </w:style>
  <w:style w:type="paragraph" w:styleId="ac">
    <w:name w:val="List Paragraph"/>
    <w:basedOn w:val="a"/>
    <w:uiPriority w:val="34"/>
    <w:qFormat/>
    <w:rsid w:val="006A415B"/>
    <w:pPr>
      <w:bidi/>
      <w:spacing w:line="360" w:lineRule="auto"/>
      <w:ind w:left="720"/>
      <w:contextualSpacing/>
      <w:jc w:val="both"/>
    </w:pPr>
    <w:rPr>
      <w:rFonts w:ascii="Times New Roman" w:eastAsia="Times New Roman" w:hAnsi="Times New Roman" w:cs="David"/>
      <w:lang w:eastAsia="he-IL"/>
    </w:rPr>
  </w:style>
  <w:style w:type="paragraph" w:styleId="ad">
    <w:name w:val="footer"/>
    <w:basedOn w:val="a"/>
    <w:link w:val="ae"/>
    <w:uiPriority w:val="99"/>
    <w:unhideWhenUsed/>
    <w:rsid w:val="006A415B"/>
    <w:pPr>
      <w:tabs>
        <w:tab w:val="center" w:pos="4320"/>
        <w:tab w:val="right" w:pos="8640"/>
      </w:tabs>
    </w:pPr>
  </w:style>
  <w:style w:type="character" w:customStyle="1" w:styleId="ae">
    <w:name w:val="כותרת תחתונה תו"/>
    <w:basedOn w:val="a0"/>
    <w:link w:val="ad"/>
    <w:uiPriority w:val="99"/>
    <w:rsid w:val="006A415B"/>
    <w:rPr>
      <w:rFonts w:asciiTheme="majorBidi" w:hAnsiTheme="majorBidi"/>
      <w:sz w:val="24"/>
      <w:szCs w:val="24"/>
    </w:rPr>
  </w:style>
  <w:style w:type="paragraph" w:customStyle="1" w:styleId="regpar">
    <w:name w:val="regpar"/>
    <w:basedOn w:val="a"/>
    <w:rsid w:val="006A415B"/>
    <w:pPr>
      <w:spacing w:line="300" w:lineRule="exact"/>
      <w:ind w:firstLine="240"/>
      <w:jc w:val="both"/>
    </w:pPr>
    <w:rPr>
      <w:rFonts w:ascii="Times" w:eastAsia="Times New Roman" w:hAnsi="Times" w:cs="Times"/>
    </w:rPr>
  </w:style>
  <w:style w:type="paragraph" w:styleId="af">
    <w:name w:val="Revision"/>
    <w:hidden/>
    <w:uiPriority w:val="99"/>
    <w:semiHidden/>
    <w:rsid w:val="002530C3"/>
    <w:pPr>
      <w:spacing w:after="0" w:line="240" w:lineRule="auto"/>
    </w:pPr>
    <w:rPr>
      <w:rFonts w:asciiTheme="majorBidi" w:hAnsiTheme="majorBidi"/>
      <w:sz w:val="24"/>
      <w:szCs w:val="24"/>
    </w:rPr>
  </w:style>
  <w:style w:type="paragraph" w:styleId="af0">
    <w:name w:val="footnote text"/>
    <w:basedOn w:val="a"/>
    <w:link w:val="af1"/>
    <w:uiPriority w:val="99"/>
    <w:semiHidden/>
    <w:unhideWhenUsed/>
    <w:rsid w:val="00701421"/>
    <w:rPr>
      <w:sz w:val="20"/>
      <w:szCs w:val="20"/>
    </w:rPr>
  </w:style>
  <w:style w:type="character" w:customStyle="1" w:styleId="af1">
    <w:name w:val="טקסט הערת שוליים תו"/>
    <w:basedOn w:val="a0"/>
    <w:link w:val="af0"/>
    <w:uiPriority w:val="99"/>
    <w:semiHidden/>
    <w:rsid w:val="00701421"/>
    <w:rPr>
      <w:rFonts w:asciiTheme="majorBidi" w:hAnsiTheme="majorBidi"/>
      <w:sz w:val="20"/>
      <w:szCs w:val="20"/>
    </w:rPr>
  </w:style>
  <w:style w:type="character" w:styleId="af2">
    <w:name w:val="footnote reference"/>
    <w:basedOn w:val="a0"/>
    <w:uiPriority w:val="99"/>
    <w:semiHidden/>
    <w:unhideWhenUsed/>
    <w:rsid w:val="00701421"/>
    <w:rPr>
      <w:vertAlign w:val="superscript"/>
    </w:rPr>
  </w:style>
  <w:style w:type="character" w:styleId="Hyperlink">
    <w:name w:val="Hyperlink"/>
    <w:basedOn w:val="a0"/>
    <w:uiPriority w:val="99"/>
    <w:unhideWhenUsed/>
    <w:rsid w:val="00B21E55"/>
    <w:rPr>
      <w:color w:val="0563C1"/>
      <w:u w:val="single"/>
    </w:rPr>
  </w:style>
  <w:style w:type="character" w:styleId="FollowedHyperlink">
    <w:name w:val="FollowedHyperlink"/>
    <w:basedOn w:val="a0"/>
    <w:uiPriority w:val="99"/>
    <w:semiHidden/>
    <w:unhideWhenUsed/>
    <w:rsid w:val="00606830"/>
    <w:rPr>
      <w:color w:val="800080" w:themeColor="followedHyperlink"/>
      <w:u w:val="single"/>
    </w:rPr>
  </w:style>
  <w:style w:type="paragraph" w:styleId="NormalWeb">
    <w:name w:val="Normal (Web)"/>
    <w:basedOn w:val="a"/>
    <w:uiPriority w:val="99"/>
    <w:unhideWhenUsed/>
    <w:rsid w:val="00D32BDF"/>
    <w:pPr>
      <w:spacing w:before="100" w:beforeAutospacing="1" w:after="100" w:afterAutospacing="1"/>
    </w:pPr>
    <w:rPr>
      <w:rFonts w:ascii="Times New Roman" w:eastAsia="Times New Roman" w:hAnsi="Times New Roman" w:cs="Times New Roman"/>
    </w:rPr>
  </w:style>
  <w:style w:type="character" w:styleId="af3">
    <w:name w:val="Emphasis"/>
    <w:basedOn w:val="a0"/>
    <w:uiPriority w:val="20"/>
    <w:qFormat/>
    <w:rsid w:val="008C633B"/>
    <w:rPr>
      <w:i/>
      <w:iCs/>
    </w:rPr>
  </w:style>
  <w:style w:type="paragraph" w:customStyle="1" w:styleId="LetterheadBOI">
    <w:name w:val="Letterhead BOI"/>
    <w:basedOn w:val="regpar"/>
    <w:link w:val="LetterheadBOIChar"/>
    <w:qFormat/>
    <w:rsid w:val="00064421"/>
    <w:pPr>
      <w:spacing w:line="300" w:lineRule="atLeast"/>
      <w:ind w:firstLine="0"/>
      <w:jc w:val="center"/>
    </w:pPr>
    <w:rPr>
      <w:rFonts w:ascii="Times New Roman" w:hAnsi="Times New Roman" w:cs="David"/>
      <w:b/>
    </w:rPr>
  </w:style>
  <w:style w:type="character" w:customStyle="1" w:styleId="LetterheadBOIChar">
    <w:name w:val="Letterhead BOI Char"/>
    <w:basedOn w:val="a0"/>
    <w:link w:val="LetterheadBOI"/>
    <w:rsid w:val="00064421"/>
    <w:rPr>
      <w:rFonts w:ascii="Times New Roman" w:eastAsia="Times New Roman" w:hAnsi="Times New Roman" w:cs="Davi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B677A2A-706A-4213-91D2-9DC32CF6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2102</Words>
  <Characters>10513</Characters>
  <Application>Microsoft Office Word</Application>
  <DocSecurity>4</DocSecurity>
  <Lines>87</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BOI</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יהודה פאש</dc:creator>
  <cp:lastModifiedBy>רוסול דכוור</cp:lastModifiedBy>
  <cp:revision>2</cp:revision>
  <cp:lastPrinted>2025-02-24T11:13:00Z</cp:lastPrinted>
  <dcterms:created xsi:type="dcterms:W3CDTF">2026-10-21T13:31:00Z</dcterms:created>
  <dcterms:modified xsi:type="dcterms:W3CDTF">2026-10-21T13:31:00Z</dcterms:modified>
</cp:coreProperties>
</file>