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50" w:rsidRDefault="00BF3957" w:rsidP="00EB0650">
      <w:pPr>
        <w:jc w:val="right"/>
        <w:rPr>
          <w:rtl/>
        </w:rPr>
      </w:pPr>
      <w:bookmarkStart w:id="0" w:name="D001"/>
      <w:r>
        <w:rPr>
          <w:rtl/>
        </w:rPr>
        <w:tab/>
      </w:r>
    </w:p>
    <w:tbl>
      <w:tblPr>
        <w:tblpPr w:leftFromText="180" w:rightFromText="180" w:vertAnchor="page" w:horzAnchor="margin" w:tblpXSpec="center" w:tblpY="1021"/>
        <w:bidiVisual/>
        <w:tblW w:w="852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EB0650" w:rsidRPr="00E35309" w:rsidTr="00B7580E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650" w:rsidRPr="007515BB" w:rsidRDefault="00EB0650" w:rsidP="00B7580E">
            <w:pPr>
              <w:jc w:val="center"/>
              <w:rPr>
                <w:b/>
                <w:bCs/>
                <w:sz w:val="28"/>
                <w:szCs w:val="28"/>
              </w:rPr>
            </w:pPr>
            <w:r w:rsidRPr="007515BB">
              <w:rPr>
                <w:b/>
                <w:bCs/>
                <w:sz w:val="28"/>
                <w:szCs w:val="28"/>
                <w:rtl/>
              </w:rPr>
              <w:t>בנ</w:t>
            </w:r>
            <w:r w:rsidRPr="007515BB"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7515BB">
              <w:rPr>
                <w:b/>
                <w:bCs/>
                <w:sz w:val="28"/>
                <w:szCs w:val="28"/>
                <w:rtl/>
              </w:rPr>
              <w:t>יש</w:t>
            </w:r>
            <w:r w:rsidRPr="007515BB"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EB0650" w:rsidRPr="007515BB" w:rsidRDefault="00EB0650" w:rsidP="00B7580E">
            <w:pPr>
              <w:ind w:right="-101"/>
              <w:jc w:val="center"/>
            </w:pPr>
            <w:r w:rsidRPr="007515BB">
              <w:rPr>
                <w:rtl/>
              </w:rPr>
              <w:t>דו</w:t>
            </w:r>
            <w:r w:rsidRPr="007515BB">
              <w:rPr>
                <w:rFonts w:hint="cs"/>
                <w:rtl/>
              </w:rPr>
              <w:t>בר</w:t>
            </w:r>
            <w:r w:rsidRPr="007515BB">
              <w:rPr>
                <w:rtl/>
              </w:rPr>
              <w:t>ות</w:t>
            </w:r>
            <w:r w:rsidRPr="007515BB"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B0650" w:rsidRPr="007515BB" w:rsidRDefault="00EB0650" w:rsidP="00B7580E">
            <w:pPr>
              <w:jc w:val="center"/>
            </w:pPr>
            <w:r w:rsidRPr="007515BB">
              <w:rPr>
                <w:noProof/>
              </w:rPr>
              <w:drawing>
                <wp:inline distT="0" distB="0" distL="0" distR="0" wp14:anchorId="5195D1B1" wp14:editId="7B9A5860">
                  <wp:extent cx="887105" cy="887105"/>
                  <wp:effectExtent l="0" t="0" r="8255" b="8255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650" w:rsidRPr="00E35309" w:rsidRDefault="00EB0650" w:rsidP="00B7580E">
            <w:pPr>
              <w:spacing w:line="480" w:lineRule="auto"/>
              <w:jc w:val="center"/>
              <w:rPr>
                <w:rtl/>
              </w:rPr>
            </w:pPr>
          </w:p>
          <w:p w:rsidR="00EB0650" w:rsidRPr="00E35309" w:rsidRDefault="00EB0650" w:rsidP="00EB0650">
            <w:pPr>
              <w:spacing w:line="480" w:lineRule="auto"/>
              <w:jc w:val="right"/>
            </w:pPr>
            <w:r w:rsidRPr="00E35309">
              <w:rPr>
                <w:rFonts w:hint="cs"/>
                <w:rtl/>
              </w:rPr>
              <w:t xml:space="preserve">  ירושלים, </w:t>
            </w:r>
            <w:r w:rsidRPr="00E35309">
              <w:rPr>
                <w:rFonts w:hint="eastAsia"/>
                <w:rtl/>
              </w:rPr>
              <w:t>‏</w:t>
            </w:r>
            <w:r>
              <w:rPr>
                <w:rFonts w:hint="cs"/>
                <w:rtl/>
              </w:rPr>
              <w:t>ח'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בסיוון</w:t>
            </w:r>
            <w:r w:rsidRPr="00E35309">
              <w:rPr>
                <w:rtl/>
              </w:rPr>
              <w:t>, תשפ"א</w:t>
            </w:r>
          </w:p>
          <w:p w:rsidR="00EB0650" w:rsidRPr="00E35309" w:rsidRDefault="00EB0650" w:rsidP="00EB0650">
            <w:pPr>
              <w:spacing w:line="480" w:lineRule="auto"/>
              <w:jc w:val="right"/>
              <w:rPr>
                <w:rtl/>
              </w:rPr>
            </w:pPr>
            <w:r w:rsidRPr="00E35309">
              <w:rPr>
                <w:rFonts w:hint="eastAsia"/>
                <w:rtl/>
              </w:rPr>
              <w:t>‏‏</w:t>
            </w:r>
            <w:r>
              <w:rPr>
                <w:rFonts w:hint="cs"/>
                <w:rtl/>
              </w:rPr>
              <w:t>19</w:t>
            </w:r>
            <w:r w:rsidRPr="00E3530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במאי</w:t>
            </w:r>
            <w:r w:rsidRPr="00E35309">
              <w:rPr>
                <w:rFonts w:hint="cs"/>
                <w:rtl/>
              </w:rPr>
              <w:t xml:space="preserve">,  </w:t>
            </w:r>
            <w:r>
              <w:rPr>
                <w:rFonts w:hint="cs"/>
                <w:rtl/>
              </w:rPr>
              <w:t>2021</w:t>
            </w:r>
          </w:p>
          <w:p w:rsidR="00EB0650" w:rsidRPr="00E35309" w:rsidRDefault="00EB0650" w:rsidP="00B7580E">
            <w:pPr>
              <w:spacing w:line="480" w:lineRule="auto"/>
              <w:jc w:val="right"/>
              <w:rPr>
                <w:rtl/>
              </w:rPr>
            </w:pPr>
          </w:p>
        </w:tc>
      </w:tr>
    </w:tbl>
    <w:p w:rsidR="00EB0650" w:rsidRDefault="00EB0650" w:rsidP="00EB0650">
      <w:pPr>
        <w:rPr>
          <w:rtl/>
        </w:rPr>
      </w:pPr>
      <w:r w:rsidRPr="00660595">
        <w:rPr>
          <w:rFonts w:hint="cs"/>
          <w:rtl/>
        </w:rPr>
        <w:t>הודעה לעיתונות:</w:t>
      </w:r>
    </w:p>
    <w:p w:rsidR="00EB0650" w:rsidRPr="00660595" w:rsidRDefault="00EB0650" w:rsidP="005871A5">
      <w:pPr>
        <w:jc w:val="center"/>
        <w:rPr>
          <w:rtl/>
        </w:rPr>
      </w:pPr>
      <w:r w:rsidRPr="00EB0650">
        <w:rPr>
          <w:rtl/>
        </w:rPr>
        <w:t xml:space="preserve">תיבה מתוך </w:t>
      </w:r>
      <w:r w:rsidR="005871A5">
        <w:rPr>
          <w:rFonts w:hint="cs"/>
          <w:rtl/>
        </w:rPr>
        <w:t>הסקירה השנתית של מערכת הבנקאות לשנת 2020 שתפורסם בקרוב</w:t>
      </w:r>
      <w:bookmarkStart w:id="1" w:name="_GoBack"/>
      <w:bookmarkEnd w:id="1"/>
      <w:r w:rsidR="00F03F4F">
        <w:rPr>
          <w:rFonts w:hint="cs"/>
          <w:rtl/>
        </w:rPr>
        <w:t>:</w:t>
      </w:r>
    </w:p>
    <w:p w:rsidR="003A4C76" w:rsidRDefault="00BF3957" w:rsidP="00EB0650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bookmarkEnd w:id="0"/>
    </w:p>
    <w:p w:rsidR="006C5662" w:rsidRPr="00EB0650" w:rsidRDefault="0080262F" w:rsidP="003C7CF0">
      <w:pPr>
        <w:pStyle w:val="2"/>
        <w:numPr>
          <w:ilvl w:val="0"/>
          <w:numId w:val="0"/>
        </w:numPr>
        <w:spacing w:line="240" w:lineRule="auto"/>
        <w:ind w:left="576" w:hanging="576"/>
        <w:jc w:val="center"/>
        <w:rPr>
          <w:b/>
          <w:bCs/>
          <w:sz w:val="28"/>
          <w:szCs w:val="28"/>
          <w:u w:val="single"/>
          <w:rtl/>
        </w:rPr>
      </w:pPr>
      <w:bookmarkStart w:id="2" w:name="_Toc439075627"/>
      <w:bookmarkStart w:id="3" w:name="_Toc439591296"/>
      <w:bookmarkStart w:id="4" w:name="_Toc439592687"/>
      <w:bookmarkStart w:id="5" w:name="_Toc442719739"/>
      <w:bookmarkStart w:id="6" w:name="_Toc442979292"/>
      <w:bookmarkStart w:id="7" w:name="_Toc5037722"/>
      <w:bookmarkStart w:id="8" w:name="_Toc17812801"/>
      <w:bookmarkStart w:id="9" w:name="_Toc28798785"/>
      <w:bookmarkStart w:id="10" w:name="_Toc33371542"/>
      <w:r w:rsidRPr="00EB0650">
        <w:rPr>
          <w:rFonts w:hint="eastAsia"/>
          <w:b/>
          <w:bCs/>
          <w:sz w:val="28"/>
          <w:szCs w:val="28"/>
          <w:u w:val="single"/>
          <w:rtl/>
        </w:rPr>
        <w:t>תמונת</w:t>
      </w:r>
      <w:r w:rsidRPr="00EB0650">
        <w:rPr>
          <w:b/>
          <w:bCs/>
          <w:sz w:val="28"/>
          <w:szCs w:val="28"/>
          <w:u w:val="single"/>
          <w:rtl/>
        </w:rPr>
        <w:t xml:space="preserve"> מצב </w:t>
      </w:r>
      <w:r w:rsidR="006C5662" w:rsidRPr="00EB0650">
        <w:rPr>
          <w:rFonts w:hint="cs"/>
          <w:b/>
          <w:bCs/>
          <w:sz w:val="28"/>
          <w:szCs w:val="28"/>
          <w:u w:val="single"/>
          <w:rtl/>
        </w:rPr>
        <w:t xml:space="preserve">של </w:t>
      </w:r>
      <w:r w:rsidR="00453261" w:rsidRPr="00EB0650">
        <w:rPr>
          <w:rFonts w:hint="cs"/>
          <w:b/>
          <w:bCs/>
          <w:sz w:val="28"/>
          <w:szCs w:val="28"/>
          <w:u w:val="single"/>
          <w:rtl/>
        </w:rPr>
        <w:t>היקף</w:t>
      </w:r>
      <w:r w:rsidR="006C5662" w:rsidRPr="00EB065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EB0650">
        <w:rPr>
          <w:rFonts w:hint="eastAsia"/>
          <w:b/>
          <w:bCs/>
          <w:sz w:val="28"/>
          <w:szCs w:val="28"/>
          <w:u w:val="single"/>
          <w:rtl/>
        </w:rPr>
        <w:t>החשיפה</w:t>
      </w:r>
      <w:r w:rsidRPr="00EB0650">
        <w:rPr>
          <w:b/>
          <w:bCs/>
          <w:sz w:val="28"/>
          <w:szCs w:val="28"/>
          <w:u w:val="single"/>
          <w:rtl/>
        </w:rPr>
        <w:t xml:space="preserve"> ו</w:t>
      </w:r>
      <w:r w:rsidR="00453261" w:rsidRPr="00EB0650">
        <w:rPr>
          <w:rFonts w:hint="cs"/>
          <w:b/>
          <w:bCs/>
          <w:sz w:val="28"/>
          <w:szCs w:val="28"/>
          <w:u w:val="single"/>
          <w:rtl/>
        </w:rPr>
        <w:t xml:space="preserve">רמות </w:t>
      </w:r>
      <w:r w:rsidRPr="00EB0650">
        <w:rPr>
          <w:b/>
          <w:bCs/>
          <w:sz w:val="28"/>
          <w:szCs w:val="28"/>
          <w:u w:val="single"/>
          <w:rtl/>
        </w:rPr>
        <w:t xml:space="preserve">הסיכונים </w:t>
      </w:r>
    </w:p>
    <w:p w:rsidR="0080262F" w:rsidRPr="00EB0650" w:rsidRDefault="0080262F" w:rsidP="003C7CF0">
      <w:pPr>
        <w:pStyle w:val="2"/>
        <w:numPr>
          <w:ilvl w:val="0"/>
          <w:numId w:val="0"/>
        </w:numPr>
        <w:ind w:left="576" w:hanging="576"/>
        <w:jc w:val="center"/>
        <w:rPr>
          <w:b/>
          <w:bCs/>
          <w:sz w:val="28"/>
          <w:szCs w:val="28"/>
          <w:u w:val="single"/>
          <w:rtl/>
        </w:rPr>
      </w:pPr>
      <w:r w:rsidRPr="00EB0650">
        <w:rPr>
          <w:rFonts w:hint="eastAsia"/>
          <w:b/>
          <w:bCs/>
          <w:sz w:val="28"/>
          <w:szCs w:val="28"/>
          <w:u w:val="single"/>
          <w:rtl/>
        </w:rPr>
        <w:t>של</w:t>
      </w:r>
      <w:r w:rsidRPr="00EB0650">
        <w:rPr>
          <w:b/>
          <w:bCs/>
          <w:sz w:val="28"/>
          <w:szCs w:val="28"/>
          <w:u w:val="single"/>
          <w:rtl/>
        </w:rPr>
        <w:t xml:space="preserve"> </w:t>
      </w:r>
      <w:r w:rsidRPr="00EB0650">
        <w:rPr>
          <w:rFonts w:hint="eastAsia"/>
          <w:b/>
          <w:bCs/>
          <w:sz w:val="28"/>
          <w:szCs w:val="28"/>
          <w:u w:val="single"/>
          <w:rtl/>
        </w:rPr>
        <w:t>האשראי</w:t>
      </w:r>
      <w:r w:rsidRPr="00EB0650">
        <w:rPr>
          <w:b/>
          <w:bCs/>
          <w:sz w:val="28"/>
          <w:szCs w:val="28"/>
          <w:u w:val="single"/>
          <w:rtl/>
        </w:rPr>
        <w:t xml:space="preserve"> </w:t>
      </w:r>
      <w:r w:rsidRPr="00EB0650">
        <w:rPr>
          <w:rFonts w:hint="eastAsia"/>
          <w:b/>
          <w:bCs/>
          <w:sz w:val="28"/>
          <w:szCs w:val="28"/>
          <w:u w:val="single"/>
          <w:rtl/>
        </w:rPr>
        <w:t>לענף</w:t>
      </w:r>
      <w:r w:rsidRPr="00EB0650">
        <w:rPr>
          <w:b/>
          <w:bCs/>
          <w:sz w:val="28"/>
          <w:szCs w:val="28"/>
          <w:u w:val="single"/>
          <w:rtl/>
        </w:rPr>
        <w:t xml:space="preserve"> </w:t>
      </w:r>
      <w:r w:rsidRPr="00EB0650">
        <w:rPr>
          <w:rFonts w:hint="eastAsia"/>
          <w:b/>
          <w:bCs/>
          <w:sz w:val="28"/>
          <w:szCs w:val="28"/>
          <w:u w:val="single"/>
          <w:rtl/>
        </w:rPr>
        <w:t>הבינוי</w:t>
      </w:r>
      <w:r w:rsidRPr="00EB0650">
        <w:rPr>
          <w:b/>
          <w:bCs/>
          <w:sz w:val="28"/>
          <w:szCs w:val="28"/>
          <w:u w:val="single"/>
          <w:rtl/>
        </w:rPr>
        <w:t xml:space="preserve"> </w:t>
      </w:r>
      <w:r w:rsidRPr="00EB0650">
        <w:rPr>
          <w:rFonts w:hint="eastAsia"/>
          <w:b/>
          <w:bCs/>
          <w:sz w:val="28"/>
          <w:szCs w:val="28"/>
          <w:u w:val="single"/>
          <w:rtl/>
        </w:rPr>
        <w:t>והנדל</w:t>
      </w:r>
      <w:r w:rsidRPr="00EB0650">
        <w:rPr>
          <w:b/>
          <w:bCs/>
          <w:sz w:val="28"/>
          <w:szCs w:val="28"/>
          <w:u w:val="single"/>
          <w:rtl/>
        </w:rPr>
        <w:t xml:space="preserve">"ן </w:t>
      </w:r>
      <w:r w:rsidRPr="00EB0650">
        <w:rPr>
          <w:rFonts w:hint="eastAsia"/>
          <w:b/>
          <w:bCs/>
          <w:sz w:val="28"/>
          <w:szCs w:val="28"/>
          <w:u w:val="single"/>
          <w:rtl/>
        </w:rPr>
        <w:t>במערכת</w:t>
      </w:r>
      <w:r w:rsidRPr="00EB0650">
        <w:rPr>
          <w:b/>
          <w:bCs/>
          <w:sz w:val="28"/>
          <w:szCs w:val="28"/>
          <w:u w:val="single"/>
          <w:rtl/>
        </w:rPr>
        <w:t xml:space="preserve"> </w:t>
      </w:r>
      <w:r w:rsidRPr="00EB0650">
        <w:rPr>
          <w:rFonts w:hint="eastAsia"/>
          <w:b/>
          <w:bCs/>
          <w:sz w:val="28"/>
          <w:szCs w:val="28"/>
          <w:u w:val="single"/>
          <w:rtl/>
        </w:rPr>
        <w:t>הבנקא</w:t>
      </w:r>
      <w:r w:rsidR="005B7E3F" w:rsidRPr="00EB0650">
        <w:rPr>
          <w:rFonts w:hint="cs"/>
          <w:b/>
          <w:bCs/>
          <w:sz w:val="28"/>
          <w:szCs w:val="28"/>
          <w:u w:val="single"/>
          <w:rtl/>
        </w:rPr>
        <w:t>ו</w:t>
      </w:r>
      <w:r w:rsidRPr="00EB0650">
        <w:rPr>
          <w:rFonts w:hint="eastAsia"/>
          <w:b/>
          <w:bCs/>
          <w:sz w:val="28"/>
          <w:szCs w:val="28"/>
          <w:u w:val="single"/>
          <w:rtl/>
        </w:rPr>
        <w:t>ת</w:t>
      </w:r>
    </w:p>
    <w:p w:rsidR="0080262F" w:rsidRDefault="0080262F" w:rsidP="00D0475D">
      <w:pPr>
        <w:pStyle w:val="2"/>
        <w:numPr>
          <w:ilvl w:val="0"/>
          <w:numId w:val="0"/>
        </w:numPr>
        <w:ind w:left="576" w:hanging="576"/>
        <w:jc w:val="center"/>
        <w:rPr>
          <w:b/>
          <w:bCs/>
          <w:color w:val="4F81BD" w:themeColor="accent1"/>
          <w:sz w:val="32"/>
          <w:szCs w:val="32"/>
          <w:u w:val="single"/>
          <w:rtl/>
        </w:rPr>
      </w:pPr>
      <w:r>
        <w:rPr>
          <w:rFonts w:hint="cs"/>
          <w:b/>
          <w:bCs/>
          <w:color w:val="4F81BD" w:themeColor="accent1"/>
          <w:sz w:val="32"/>
          <w:szCs w:val="32"/>
          <w:u w:val="single"/>
          <w:rtl/>
        </w:rPr>
        <w:t>תמצית</w:t>
      </w:r>
    </w:p>
    <w:p w:rsidR="002847A7" w:rsidRPr="002847A7" w:rsidRDefault="002847A7" w:rsidP="00776D12">
      <w:pPr>
        <w:pStyle w:val="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4"/>
        </w:rPr>
      </w:pPr>
      <w:r>
        <w:rPr>
          <w:rFonts w:hint="cs"/>
          <w:rtl/>
        </w:rPr>
        <w:t xml:space="preserve">במסגרת </w:t>
      </w:r>
      <w:r w:rsidR="00776D12">
        <w:rPr>
          <w:rFonts w:hint="cs"/>
          <w:rtl/>
        </w:rPr>
        <w:t>ניתוח</w:t>
      </w:r>
      <w:r w:rsidR="004A7E7D">
        <w:rPr>
          <w:rFonts w:hint="cs"/>
          <w:rtl/>
        </w:rPr>
        <w:t xml:space="preserve"> ייעודי שביצע הפיקוח על הבנקים,</w:t>
      </w:r>
      <w:r w:rsidR="00776D12">
        <w:rPr>
          <w:rFonts w:hint="cs"/>
          <w:rtl/>
        </w:rPr>
        <w:t xml:space="preserve"> </w:t>
      </w:r>
      <w:r w:rsidR="00075CC3">
        <w:rPr>
          <w:rFonts w:hint="cs"/>
          <w:rtl/>
        </w:rPr>
        <w:t xml:space="preserve">נבחן אשראי </w:t>
      </w:r>
      <w:r w:rsidR="004A7E7D">
        <w:rPr>
          <w:rFonts w:hint="cs"/>
          <w:rtl/>
        </w:rPr>
        <w:t xml:space="preserve">לענף הבינוי והנדל"ן </w:t>
      </w:r>
      <w:r w:rsidR="00075CC3">
        <w:rPr>
          <w:rFonts w:hint="cs"/>
          <w:rtl/>
        </w:rPr>
        <w:t>בהיקף של</w:t>
      </w:r>
      <w:r w:rsidR="00453261">
        <w:rPr>
          <w:rFonts w:hint="cs"/>
          <w:rtl/>
        </w:rPr>
        <w:t xml:space="preserve"> כ-</w:t>
      </w:r>
      <w:r w:rsidR="00075CC3">
        <w:rPr>
          <w:rFonts w:hint="cs"/>
          <w:rtl/>
        </w:rPr>
        <w:t xml:space="preserve"> </w:t>
      </w:r>
      <w:r w:rsidR="00075CC3" w:rsidRPr="00F92616">
        <w:rPr>
          <w:rFonts w:hint="cs"/>
          <w:rtl/>
        </w:rPr>
        <w:t xml:space="preserve">300 מיליארד </w:t>
      </w:r>
      <w:r w:rsidR="00977CC5">
        <w:rPr>
          <w:rFonts w:hint="cs"/>
          <w:rtl/>
        </w:rPr>
        <w:t>ש</w:t>
      </w:r>
      <w:r w:rsidR="00E539AC">
        <w:rPr>
          <w:rFonts w:hint="cs"/>
          <w:rtl/>
        </w:rPr>
        <w:t>"</w:t>
      </w:r>
      <w:r w:rsidR="00977CC5">
        <w:rPr>
          <w:rFonts w:hint="cs"/>
          <w:rtl/>
        </w:rPr>
        <w:t>ח</w:t>
      </w:r>
      <w:r w:rsidR="00075CC3" w:rsidRPr="00F92616">
        <w:rPr>
          <w:rFonts w:hint="cs"/>
          <w:rtl/>
        </w:rPr>
        <w:t xml:space="preserve"> (לפני</w:t>
      </w:r>
      <w:r w:rsidR="00075CC3">
        <w:rPr>
          <w:rFonts w:hint="cs"/>
          <w:rtl/>
        </w:rPr>
        <w:t xml:space="preserve"> שקלול נכסי סיכון)</w:t>
      </w:r>
      <w:r w:rsidR="00510AA6">
        <w:rPr>
          <w:rFonts w:hint="cs"/>
          <w:rtl/>
        </w:rPr>
        <w:t>,</w:t>
      </w:r>
      <w:r w:rsidR="00075CC3">
        <w:rPr>
          <w:rFonts w:hint="cs"/>
          <w:rtl/>
        </w:rPr>
        <w:t xml:space="preserve"> </w:t>
      </w:r>
      <w:r w:rsidR="00075CC3" w:rsidRPr="004D51F9">
        <w:rPr>
          <w:rFonts w:hint="cs"/>
          <w:rtl/>
        </w:rPr>
        <w:t>ש</w:t>
      </w:r>
      <w:r w:rsidR="00D5066C">
        <w:rPr>
          <w:rFonts w:hint="cs"/>
          <w:rtl/>
        </w:rPr>
        <w:t>ל</w:t>
      </w:r>
      <w:r w:rsidR="00075CC3" w:rsidRPr="004D51F9">
        <w:rPr>
          <w:rFonts w:hint="cs"/>
          <w:rtl/>
        </w:rPr>
        <w:t>פי אומדן משוער מהווה</w:t>
      </w:r>
      <w:r w:rsidR="00510AA6" w:rsidRPr="00510AA6">
        <w:rPr>
          <w:rFonts w:hint="cs"/>
          <w:rtl/>
        </w:rPr>
        <w:t xml:space="preserve"> </w:t>
      </w:r>
      <w:r w:rsidR="00510AA6">
        <w:rPr>
          <w:rFonts w:hint="cs"/>
          <w:rtl/>
        </w:rPr>
        <w:t>בחמשת הבנקים הגדולים</w:t>
      </w:r>
      <w:r w:rsidR="00D5066C">
        <w:rPr>
          <w:rFonts w:hint="cs"/>
          <w:rtl/>
        </w:rPr>
        <w:t>,</w:t>
      </w:r>
      <w:r w:rsidR="00510AA6">
        <w:rPr>
          <w:rFonts w:hint="cs"/>
          <w:rtl/>
        </w:rPr>
        <w:t xml:space="preserve"> נכון ליום 30 ביוני 2020</w:t>
      </w:r>
      <w:r w:rsidR="00D5066C">
        <w:rPr>
          <w:rFonts w:hint="cs"/>
          <w:rtl/>
        </w:rPr>
        <w:t>,</w:t>
      </w:r>
      <w:r w:rsidR="00075CC3" w:rsidRPr="004D51F9">
        <w:rPr>
          <w:rFonts w:hint="cs"/>
          <w:rtl/>
        </w:rPr>
        <w:t xml:space="preserve"> כ</w:t>
      </w:r>
      <w:r w:rsidR="00E539AC">
        <w:rPr>
          <w:rFonts w:hint="cs"/>
          <w:rtl/>
        </w:rPr>
        <w:t>-</w:t>
      </w:r>
      <w:r w:rsidR="00075CC3" w:rsidRPr="004D51F9">
        <w:rPr>
          <w:rFonts w:hint="cs"/>
          <w:rtl/>
        </w:rPr>
        <w:t>85%-90%</w:t>
      </w:r>
      <w:r w:rsidR="00075CC3">
        <w:rPr>
          <w:rFonts w:hint="cs"/>
          <w:rtl/>
        </w:rPr>
        <w:t xml:space="preserve"> מ</w:t>
      </w:r>
      <w:r w:rsidR="00453261">
        <w:rPr>
          <w:rFonts w:hint="cs"/>
          <w:rtl/>
        </w:rPr>
        <w:t>היקף</w:t>
      </w:r>
      <w:r w:rsidR="006C5662">
        <w:rPr>
          <w:rFonts w:hint="cs"/>
          <w:rtl/>
        </w:rPr>
        <w:t xml:space="preserve"> </w:t>
      </w:r>
      <w:r w:rsidR="00075CC3">
        <w:rPr>
          <w:rFonts w:hint="cs"/>
          <w:rtl/>
        </w:rPr>
        <w:t>החשיפה לענף</w:t>
      </w:r>
      <w:r w:rsidR="007854DB">
        <w:rPr>
          <w:rFonts w:hint="cs"/>
          <w:rtl/>
        </w:rPr>
        <w:t xml:space="preserve"> (להלן </w:t>
      </w:r>
      <w:r w:rsidR="007854DB">
        <w:rPr>
          <w:rtl/>
        </w:rPr>
        <w:t>–</w:t>
      </w:r>
      <w:r w:rsidR="007854DB">
        <w:rPr>
          <w:rFonts w:hint="cs"/>
          <w:rtl/>
        </w:rPr>
        <w:t xml:space="preserve"> "האשראי שנבחן")</w:t>
      </w:r>
      <w:r w:rsidR="00B55B40">
        <w:rPr>
          <w:rStyle w:val="a9"/>
          <w:rtl/>
        </w:rPr>
        <w:footnoteReference w:id="2"/>
      </w:r>
      <w:r w:rsidR="00075CC3">
        <w:rPr>
          <w:rFonts w:hint="cs"/>
          <w:rtl/>
        </w:rPr>
        <w:t xml:space="preserve">. האשראי נבחן </w:t>
      </w:r>
      <w:r w:rsidR="00E539AC">
        <w:rPr>
          <w:rFonts w:hint="cs"/>
          <w:rtl/>
        </w:rPr>
        <w:t>לפי</w:t>
      </w:r>
      <w:r w:rsidR="00075CC3">
        <w:rPr>
          <w:rFonts w:hint="cs"/>
          <w:rtl/>
        </w:rPr>
        <w:t xml:space="preserve"> </w:t>
      </w:r>
      <w:r w:rsidR="0035223E">
        <w:rPr>
          <w:rFonts w:hint="cs"/>
          <w:rtl/>
        </w:rPr>
        <w:t xml:space="preserve">החתכים </w:t>
      </w:r>
      <w:r w:rsidR="00075CC3">
        <w:rPr>
          <w:rFonts w:hint="cs"/>
          <w:rtl/>
        </w:rPr>
        <w:t>של</w:t>
      </w:r>
      <w:r w:rsidR="0035223E">
        <w:rPr>
          <w:rFonts w:hint="cs"/>
          <w:rtl/>
        </w:rPr>
        <w:t>ו</w:t>
      </w:r>
      <w:r w:rsidR="00075CC3">
        <w:rPr>
          <w:rFonts w:hint="cs"/>
          <w:rtl/>
        </w:rPr>
        <w:t xml:space="preserve"> </w:t>
      </w:r>
      <w:r w:rsidR="0035223E">
        <w:rPr>
          <w:rFonts w:hint="cs"/>
          <w:rtl/>
        </w:rPr>
        <w:t>בפלחי הענף</w:t>
      </w:r>
      <w:r w:rsidR="00E539AC">
        <w:rPr>
          <w:rFonts w:hint="cs"/>
          <w:rtl/>
        </w:rPr>
        <w:t xml:space="preserve"> </w:t>
      </w:r>
      <w:r w:rsidR="00075CC3">
        <w:rPr>
          <w:rFonts w:hint="cs"/>
          <w:rtl/>
        </w:rPr>
        <w:t>השונים ו</w:t>
      </w:r>
      <w:r w:rsidR="00E539AC">
        <w:rPr>
          <w:rFonts w:hint="cs"/>
          <w:rtl/>
        </w:rPr>
        <w:t xml:space="preserve">לפי </w:t>
      </w:r>
      <w:r w:rsidR="00075CC3">
        <w:rPr>
          <w:rFonts w:hint="cs"/>
          <w:rtl/>
        </w:rPr>
        <w:t xml:space="preserve">מדדי סיכון מתאימים לכל </w:t>
      </w:r>
      <w:r w:rsidR="0035223E">
        <w:rPr>
          <w:rFonts w:hint="cs"/>
          <w:rtl/>
        </w:rPr>
        <w:t>פלח</w:t>
      </w:r>
      <w:r w:rsidR="00075CC3">
        <w:rPr>
          <w:rFonts w:hint="cs"/>
          <w:rtl/>
        </w:rPr>
        <w:t>.</w:t>
      </w:r>
    </w:p>
    <w:p w:rsidR="00AE1A2F" w:rsidRPr="0058348E" w:rsidRDefault="00BE3331" w:rsidP="00426C4F">
      <w:pPr>
        <w:pStyle w:val="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4"/>
        </w:rPr>
      </w:pPr>
      <w:r w:rsidRPr="0058348E">
        <w:rPr>
          <w:rFonts w:hint="cs"/>
          <w:rtl/>
        </w:rPr>
        <w:t xml:space="preserve">הערכת </w:t>
      </w:r>
      <w:r w:rsidR="00D5066C">
        <w:rPr>
          <w:rFonts w:hint="cs"/>
          <w:rtl/>
        </w:rPr>
        <w:t xml:space="preserve">רמת </w:t>
      </w:r>
      <w:r w:rsidRPr="0058348E">
        <w:rPr>
          <w:rFonts w:hint="cs"/>
          <w:rtl/>
        </w:rPr>
        <w:t>הסיכון הממוצעת של האשראי שנבחן אינה גבוהה ומוערכת ב</w:t>
      </w:r>
      <w:r w:rsidR="00D5066C">
        <w:rPr>
          <w:rFonts w:hint="cs"/>
          <w:rtl/>
        </w:rPr>
        <w:t xml:space="preserve">רמת </w:t>
      </w:r>
      <w:r w:rsidRPr="0058348E">
        <w:rPr>
          <w:rFonts w:hint="cs"/>
          <w:rtl/>
        </w:rPr>
        <w:t>סיכון נמו</w:t>
      </w:r>
      <w:r w:rsidR="00D5066C">
        <w:rPr>
          <w:rFonts w:hint="cs"/>
          <w:rtl/>
        </w:rPr>
        <w:t>כה</w:t>
      </w:r>
      <w:r w:rsidR="00E539AC">
        <w:rPr>
          <w:rFonts w:hint="cs"/>
          <w:rtl/>
        </w:rPr>
        <w:t>־</w:t>
      </w:r>
      <w:r w:rsidRPr="0058348E">
        <w:rPr>
          <w:rFonts w:hint="cs"/>
          <w:rtl/>
        </w:rPr>
        <w:t>בינוני</w:t>
      </w:r>
      <w:r w:rsidR="00D5066C">
        <w:rPr>
          <w:rFonts w:hint="cs"/>
          <w:rtl/>
        </w:rPr>
        <w:t>ת</w:t>
      </w:r>
      <w:r w:rsidR="00E539AC">
        <w:rPr>
          <w:rFonts w:hint="cs"/>
          <w:rtl/>
        </w:rPr>
        <w:t>,</w:t>
      </w:r>
      <w:r w:rsidR="006B77D9" w:rsidRPr="0058348E">
        <w:rPr>
          <w:rFonts w:hint="cs"/>
          <w:rtl/>
        </w:rPr>
        <w:t xml:space="preserve"> בעיקר משום ש</w:t>
      </w:r>
      <w:r w:rsidR="00977CC5">
        <w:rPr>
          <w:rFonts w:hint="cs"/>
          <w:rtl/>
        </w:rPr>
        <w:t>רוב</w:t>
      </w:r>
      <w:r w:rsidR="006B77D9" w:rsidRPr="0058348E">
        <w:rPr>
          <w:rFonts w:hint="cs"/>
          <w:rtl/>
        </w:rPr>
        <w:t xml:space="preserve"> האשראי מיועד למימון פרוייקטים לבנייה</w:t>
      </w:r>
      <w:r w:rsidR="004A7E7D">
        <w:rPr>
          <w:rFonts w:hint="cs"/>
          <w:rtl/>
        </w:rPr>
        <w:t xml:space="preserve"> המתבצעים בליווי סגור</w:t>
      </w:r>
      <w:r w:rsidRPr="0058348E">
        <w:rPr>
          <w:rFonts w:hint="cs"/>
          <w:rtl/>
        </w:rPr>
        <w:t xml:space="preserve">. עם </w:t>
      </w:r>
      <w:r w:rsidR="00E539AC" w:rsidRPr="0058348E">
        <w:rPr>
          <w:rFonts w:hint="cs"/>
          <w:rtl/>
        </w:rPr>
        <w:t>ז</w:t>
      </w:r>
      <w:r w:rsidR="00E539AC">
        <w:rPr>
          <w:rFonts w:hint="cs"/>
          <w:rtl/>
        </w:rPr>
        <w:t>ה</w:t>
      </w:r>
      <w:r w:rsidRPr="0058348E">
        <w:rPr>
          <w:rFonts w:hint="cs"/>
          <w:rtl/>
        </w:rPr>
        <w:t xml:space="preserve"> </w:t>
      </w:r>
      <w:r w:rsidR="00E539AC">
        <w:rPr>
          <w:rFonts w:hint="cs"/>
          <w:rtl/>
        </w:rPr>
        <w:t>יש</w:t>
      </w:r>
      <w:r w:rsidR="00E539AC" w:rsidRPr="0058348E">
        <w:rPr>
          <w:rFonts w:hint="cs"/>
          <w:rtl/>
        </w:rPr>
        <w:t xml:space="preserve"> </w:t>
      </w:r>
      <w:r w:rsidRPr="0058348E">
        <w:rPr>
          <w:rFonts w:hint="cs"/>
          <w:rtl/>
        </w:rPr>
        <w:t xml:space="preserve">שונות בהערכת </w:t>
      </w:r>
      <w:r w:rsidR="00D5066C">
        <w:rPr>
          <w:rFonts w:hint="cs"/>
          <w:rtl/>
        </w:rPr>
        <w:t xml:space="preserve">רמות </w:t>
      </w:r>
      <w:r w:rsidRPr="0058348E">
        <w:rPr>
          <w:rFonts w:hint="cs"/>
          <w:rtl/>
        </w:rPr>
        <w:t xml:space="preserve">הסיכון בין </w:t>
      </w:r>
      <w:r w:rsidR="00510AA6">
        <w:rPr>
          <w:rFonts w:hint="cs"/>
          <w:rtl/>
        </w:rPr>
        <w:t>פ</w:t>
      </w:r>
      <w:r w:rsidR="0035223E">
        <w:rPr>
          <w:rFonts w:hint="cs"/>
          <w:rtl/>
        </w:rPr>
        <w:t>לחי הענף</w:t>
      </w:r>
      <w:r w:rsidR="00E539AC" w:rsidRPr="0058348E">
        <w:rPr>
          <w:rFonts w:hint="cs"/>
          <w:rtl/>
        </w:rPr>
        <w:t xml:space="preserve"> </w:t>
      </w:r>
      <w:r w:rsidRPr="0058348E">
        <w:rPr>
          <w:rFonts w:hint="cs"/>
          <w:rtl/>
        </w:rPr>
        <w:t xml:space="preserve">השונים. </w:t>
      </w:r>
      <w:r w:rsidR="0035223E">
        <w:rPr>
          <w:rFonts w:hint="cs"/>
          <w:rtl/>
        </w:rPr>
        <w:t xml:space="preserve">האומדן המשוער של </w:t>
      </w:r>
      <w:r w:rsidR="00365496" w:rsidRPr="0058348E">
        <w:rPr>
          <w:rFonts w:hint="cs"/>
          <w:rtl/>
        </w:rPr>
        <w:t xml:space="preserve">רכיבי האשראי </w:t>
      </w:r>
      <w:r w:rsidR="00E539AC">
        <w:rPr>
          <w:rFonts w:hint="cs"/>
          <w:rtl/>
        </w:rPr>
        <w:t>עם</w:t>
      </w:r>
      <w:r w:rsidR="00E539AC" w:rsidRPr="0058348E">
        <w:rPr>
          <w:rFonts w:hint="cs"/>
          <w:rtl/>
        </w:rPr>
        <w:t xml:space="preserve"> </w:t>
      </w:r>
      <w:r w:rsidR="00D5066C">
        <w:rPr>
          <w:rFonts w:hint="cs"/>
          <w:rtl/>
        </w:rPr>
        <w:t xml:space="preserve">רמת </w:t>
      </w:r>
      <w:r w:rsidR="00365496" w:rsidRPr="0058348E">
        <w:rPr>
          <w:rFonts w:hint="cs"/>
          <w:rtl/>
        </w:rPr>
        <w:t xml:space="preserve">סיכון </w:t>
      </w:r>
      <w:r w:rsidR="0023441F">
        <w:rPr>
          <w:rFonts w:hint="cs"/>
          <w:rtl/>
        </w:rPr>
        <w:t>"</w:t>
      </w:r>
      <w:r w:rsidR="00365496" w:rsidRPr="00B60CAE">
        <w:rPr>
          <w:rFonts w:hint="cs"/>
          <w:rtl/>
        </w:rPr>
        <w:t>מוגבר</w:t>
      </w:r>
      <w:r w:rsidR="00D5066C" w:rsidRPr="00B60CAE">
        <w:rPr>
          <w:rFonts w:hint="cs"/>
          <w:rtl/>
        </w:rPr>
        <w:t>ת</w:t>
      </w:r>
      <w:r w:rsidR="0023441F">
        <w:rPr>
          <w:rFonts w:hint="cs"/>
          <w:rtl/>
        </w:rPr>
        <w:t>"</w:t>
      </w:r>
      <w:bookmarkStart w:id="11" w:name="_Ref71539717"/>
      <w:r w:rsidR="0023441F">
        <w:rPr>
          <w:rStyle w:val="a9"/>
          <w:rtl/>
        </w:rPr>
        <w:footnoteReference w:id="3"/>
      </w:r>
      <w:bookmarkEnd w:id="11"/>
      <w:r w:rsidR="00E539AC" w:rsidRPr="0058348E">
        <w:rPr>
          <w:rFonts w:hint="cs"/>
          <w:rtl/>
        </w:rPr>
        <w:t xml:space="preserve"> </w:t>
      </w:r>
      <w:r w:rsidR="00365496" w:rsidRPr="0058348E">
        <w:rPr>
          <w:rFonts w:hint="cs"/>
          <w:rtl/>
        </w:rPr>
        <w:t>מוערך בכ-</w:t>
      </w:r>
      <w:r w:rsidR="00426C4F">
        <w:rPr>
          <w:rFonts w:hint="cs"/>
          <w:rtl/>
        </w:rPr>
        <w:t>32</w:t>
      </w:r>
      <w:r w:rsidR="00DF51A6" w:rsidRPr="0058348E">
        <w:rPr>
          <w:rFonts w:hint="cs"/>
          <w:rtl/>
        </w:rPr>
        <w:t xml:space="preserve"> </w:t>
      </w:r>
      <w:r w:rsidR="00365496" w:rsidRPr="0058348E">
        <w:rPr>
          <w:rFonts w:hint="cs"/>
          <w:rtl/>
        </w:rPr>
        <w:t xml:space="preserve">מיליארד </w:t>
      </w:r>
      <w:r w:rsidR="00977CC5">
        <w:rPr>
          <w:rFonts w:hint="cs"/>
          <w:rtl/>
        </w:rPr>
        <w:t>ש"ח</w:t>
      </w:r>
      <w:r w:rsidR="0035223E">
        <w:rPr>
          <w:rFonts w:hint="cs"/>
          <w:rtl/>
        </w:rPr>
        <w:t>,</w:t>
      </w:r>
      <w:r w:rsidR="00365496" w:rsidRPr="0058348E">
        <w:rPr>
          <w:rFonts w:hint="cs"/>
          <w:rtl/>
        </w:rPr>
        <w:t xml:space="preserve"> </w:t>
      </w:r>
      <w:r w:rsidR="00977CC5">
        <w:rPr>
          <w:rFonts w:hint="cs"/>
          <w:rtl/>
        </w:rPr>
        <w:t>שהם</w:t>
      </w:r>
      <w:r w:rsidR="00365496" w:rsidRPr="0058348E">
        <w:rPr>
          <w:rFonts w:hint="cs"/>
          <w:rtl/>
        </w:rPr>
        <w:t xml:space="preserve"> כ</w:t>
      </w:r>
      <w:r w:rsidR="00977CC5">
        <w:rPr>
          <w:rFonts w:hint="cs"/>
          <w:rtl/>
        </w:rPr>
        <w:t>-</w:t>
      </w:r>
      <w:r w:rsidR="00426C4F">
        <w:rPr>
          <w:rFonts w:hint="cs"/>
          <w:rtl/>
        </w:rPr>
        <w:t>11</w:t>
      </w:r>
      <w:r w:rsidR="00365496" w:rsidRPr="0058348E">
        <w:rPr>
          <w:rFonts w:hint="cs"/>
          <w:rtl/>
        </w:rPr>
        <w:t xml:space="preserve">% מהאשראי שנבחן </w:t>
      </w:r>
      <w:r w:rsidR="00075CC3" w:rsidRPr="0058348E">
        <w:rPr>
          <w:rFonts w:hint="cs"/>
          <w:rtl/>
        </w:rPr>
        <w:t xml:space="preserve">- </w:t>
      </w:r>
      <w:r w:rsidR="00977CC5">
        <w:rPr>
          <w:rFonts w:hint="cs"/>
          <w:rtl/>
        </w:rPr>
        <w:t>רוב</w:t>
      </w:r>
      <w:r w:rsidR="00365496" w:rsidRPr="0058348E">
        <w:rPr>
          <w:rFonts w:hint="cs"/>
          <w:rtl/>
        </w:rPr>
        <w:t xml:space="preserve">ו בגין אשראים </w:t>
      </w:r>
      <w:r w:rsidR="00E539AC" w:rsidRPr="0058348E">
        <w:rPr>
          <w:rFonts w:hint="cs"/>
          <w:rtl/>
        </w:rPr>
        <w:t>ש</w:t>
      </w:r>
      <w:r w:rsidR="00E539AC">
        <w:rPr>
          <w:rFonts w:hint="cs"/>
          <w:rtl/>
        </w:rPr>
        <w:t>לא</w:t>
      </w:r>
      <w:r w:rsidR="00E539AC" w:rsidRPr="0058348E">
        <w:rPr>
          <w:rFonts w:hint="cs"/>
          <w:rtl/>
        </w:rPr>
        <w:t xml:space="preserve"> </w:t>
      </w:r>
      <w:r w:rsidR="00365496" w:rsidRPr="0058348E">
        <w:rPr>
          <w:rFonts w:hint="cs"/>
          <w:rtl/>
        </w:rPr>
        <w:t xml:space="preserve">מועמדים כנגד נכסים </w:t>
      </w:r>
      <w:r w:rsidR="00E539AC">
        <w:rPr>
          <w:rFonts w:hint="cs"/>
          <w:rtl/>
        </w:rPr>
        <w:t>ייחודיים</w:t>
      </w:r>
      <w:r w:rsidR="00075CC3" w:rsidRPr="0058348E">
        <w:rPr>
          <w:rFonts w:hint="cs"/>
          <w:rtl/>
        </w:rPr>
        <w:t>.</w:t>
      </w:r>
    </w:p>
    <w:p w:rsidR="00075CC3" w:rsidRPr="0058348E" w:rsidRDefault="00977CC5" w:rsidP="00C37FFE">
      <w:pPr>
        <w:pStyle w:val="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>
        <w:rPr>
          <w:rFonts w:hint="cs"/>
          <w:rtl/>
        </w:rPr>
        <w:t>רוב</w:t>
      </w:r>
      <w:r w:rsidR="009012DD" w:rsidRPr="0058348E">
        <w:rPr>
          <w:rFonts w:hint="cs"/>
          <w:rtl/>
        </w:rPr>
        <w:t xml:space="preserve"> האשראי (כ</w:t>
      </w:r>
      <w:r>
        <w:rPr>
          <w:rFonts w:hint="cs"/>
          <w:rtl/>
        </w:rPr>
        <w:t>-</w:t>
      </w:r>
      <w:r w:rsidR="00075CC3" w:rsidRPr="0058348E">
        <w:rPr>
          <w:rFonts w:hint="cs"/>
          <w:rtl/>
        </w:rPr>
        <w:t xml:space="preserve">167 מיליארד </w:t>
      </w:r>
      <w:r>
        <w:rPr>
          <w:rFonts w:hint="cs"/>
          <w:rtl/>
        </w:rPr>
        <w:t>ש"ח</w:t>
      </w:r>
      <w:r w:rsidR="0035223E">
        <w:rPr>
          <w:rFonts w:hint="cs"/>
          <w:rtl/>
        </w:rPr>
        <w:t>,</w:t>
      </w:r>
      <w:r w:rsidR="009012DD" w:rsidRPr="0058348E">
        <w:rPr>
          <w:rFonts w:hint="cs"/>
          <w:rtl/>
        </w:rPr>
        <w:t xml:space="preserve"> </w:t>
      </w:r>
      <w:r>
        <w:rPr>
          <w:rFonts w:hint="cs"/>
          <w:rtl/>
        </w:rPr>
        <w:t>שהם</w:t>
      </w:r>
      <w:r w:rsidR="009012DD" w:rsidRPr="0058348E">
        <w:rPr>
          <w:rFonts w:hint="cs"/>
          <w:rtl/>
        </w:rPr>
        <w:t xml:space="preserve"> כ</w:t>
      </w:r>
      <w:r w:rsidR="00E539AC">
        <w:rPr>
          <w:rFonts w:hint="cs"/>
          <w:rtl/>
        </w:rPr>
        <w:t>-</w:t>
      </w:r>
      <w:r w:rsidR="00075CC3" w:rsidRPr="0058348E">
        <w:rPr>
          <w:rFonts w:hint="cs"/>
          <w:rtl/>
        </w:rPr>
        <w:t>56% מהאשראי שנבחן)</w:t>
      </w:r>
      <w:r w:rsidR="0035223E">
        <w:rPr>
          <w:rFonts w:hint="cs"/>
          <w:rtl/>
        </w:rPr>
        <w:t>,</w:t>
      </w:r>
      <w:r w:rsidR="00075CC3" w:rsidRPr="0058348E">
        <w:rPr>
          <w:rFonts w:hint="cs"/>
          <w:rtl/>
        </w:rPr>
        <w:t xml:space="preserve"> מנוהל במערכת הבנקא</w:t>
      </w:r>
      <w:r w:rsidR="005B7E3F">
        <w:rPr>
          <w:rFonts w:hint="cs"/>
          <w:rtl/>
        </w:rPr>
        <w:t>ו</w:t>
      </w:r>
      <w:r w:rsidR="00075CC3" w:rsidRPr="0058348E">
        <w:rPr>
          <w:rFonts w:hint="cs"/>
          <w:rtl/>
        </w:rPr>
        <w:t xml:space="preserve">ת באמצעות פרוייקטים </w:t>
      </w:r>
      <w:r w:rsidR="004A7E7D">
        <w:rPr>
          <w:rFonts w:hint="cs"/>
          <w:rtl/>
        </w:rPr>
        <w:t>בליווי סגור</w:t>
      </w:r>
      <w:r w:rsidR="004A7E7D" w:rsidRPr="0058348E">
        <w:rPr>
          <w:rFonts w:hint="cs"/>
          <w:rtl/>
        </w:rPr>
        <w:t xml:space="preserve"> </w:t>
      </w:r>
      <w:r w:rsidR="0035223E">
        <w:rPr>
          <w:rFonts w:hint="cs"/>
          <w:rtl/>
        </w:rPr>
        <w:t xml:space="preserve">והוא </w:t>
      </w:r>
      <w:r w:rsidR="00E539AC" w:rsidRPr="0058348E">
        <w:rPr>
          <w:rFonts w:hint="cs"/>
          <w:rtl/>
        </w:rPr>
        <w:t xml:space="preserve">מוערך </w:t>
      </w:r>
      <w:r w:rsidR="00D5066C">
        <w:rPr>
          <w:rFonts w:hint="cs"/>
          <w:rtl/>
        </w:rPr>
        <w:t xml:space="preserve">ברמת </w:t>
      </w:r>
      <w:r w:rsidR="00D5066C" w:rsidRPr="0058348E">
        <w:rPr>
          <w:rFonts w:hint="cs"/>
          <w:rtl/>
        </w:rPr>
        <w:t>סיכון נמו</w:t>
      </w:r>
      <w:r w:rsidR="00D5066C">
        <w:rPr>
          <w:rFonts w:hint="cs"/>
          <w:rtl/>
        </w:rPr>
        <w:t>כה</w:t>
      </w:r>
      <w:r w:rsidR="007F705E">
        <w:rPr>
          <w:rFonts w:hint="cs"/>
          <w:rtl/>
        </w:rPr>
        <w:t>. זאת</w:t>
      </w:r>
      <w:r w:rsidR="0035223E">
        <w:rPr>
          <w:rFonts w:hint="cs"/>
          <w:rtl/>
        </w:rPr>
        <w:t>,</w:t>
      </w:r>
      <w:r w:rsidR="00075CC3" w:rsidRPr="0058348E">
        <w:rPr>
          <w:rFonts w:hint="cs"/>
          <w:rtl/>
        </w:rPr>
        <w:t xml:space="preserve"> לנוכח</w:t>
      </w:r>
      <w:r w:rsidR="007F705E">
        <w:rPr>
          <w:rFonts w:hint="cs"/>
          <w:rtl/>
        </w:rPr>
        <w:t xml:space="preserve"> מימון בחשבון ייעודי ונפרד המיועד אך ורק לפרוייקט</w:t>
      </w:r>
      <w:r w:rsidR="00C37FFE">
        <w:rPr>
          <w:rFonts w:hint="cs"/>
          <w:rtl/>
        </w:rPr>
        <w:t>,</w:t>
      </w:r>
      <w:r w:rsidR="007F705E">
        <w:rPr>
          <w:rFonts w:hint="cs"/>
          <w:rtl/>
        </w:rPr>
        <w:t xml:space="preserve"> עם</w:t>
      </w:r>
      <w:r w:rsidR="00075CC3" w:rsidRPr="0058348E">
        <w:rPr>
          <w:rFonts w:hint="cs"/>
          <w:rtl/>
        </w:rPr>
        <w:t xml:space="preserve"> כושר ספיגה גבוה</w:t>
      </w:r>
      <w:r w:rsidR="0035223E">
        <w:rPr>
          <w:rFonts w:hint="cs"/>
          <w:rtl/>
        </w:rPr>
        <w:t xml:space="preserve"> </w:t>
      </w:r>
      <w:r w:rsidR="007F705E">
        <w:rPr>
          <w:rFonts w:hint="cs"/>
          <w:rtl/>
        </w:rPr>
        <w:t xml:space="preserve">המאפשר לספוג ירידה במחירי המכירה או עליה במחירי הבנייה של עשרות אחוזים, </w:t>
      </w:r>
      <w:r w:rsidR="00075CC3" w:rsidRPr="0058348E">
        <w:rPr>
          <w:rFonts w:hint="cs"/>
          <w:rtl/>
        </w:rPr>
        <w:t>ולנוכח אופן ניהול האשראי בגישה שמרנית</w:t>
      </w:r>
      <w:r w:rsidR="007F705E">
        <w:rPr>
          <w:rFonts w:hint="cs"/>
          <w:rtl/>
        </w:rPr>
        <w:t xml:space="preserve"> </w:t>
      </w:r>
      <w:r w:rsidR="00075CC3" w:rsidRPr="0058348E">
        <w:rPr>
          <w:rFonts w:hint="cs"/>
          <w:rtl/>
        </w:rPr>
        <w:t xml:space="preserve"> ובאמצעות מפקחים חיצוניים.</w:t>
      </w:r>
    </w:p>
    <w:p w:rsidR="00075CC3" w:rsidRPr="00075CC3" w:rsidRDefault="00453261" w:rsidP="00393C13">
      <w:pPr>
        <w:pStyle w:val="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4"/>
        </w:rPr>
      </w:pPr>
      <w:r>
        <w:rPr>
          <w:rFonts w:hint="cs"/>
          <w:rtl/>
        </w:rPr>
        <w:t>היקף</w:t>
      </w:r>
      <w:r w:rsidR="006C5662">
        <w:rPr>
          <w:rFonts w:hint="cs"/>
          <w:rtl/>
        </w:rPr>
        <w:t xml:space="preserve"> </w:t>
      </w:r>
      <w:r w:rsidR="00075CC3" w:rsidRPr="0058348E">
        <w:rPr>
          <w:rFonts w:hint="cs"/>
          <w:rtl/>
        </w:rPr>
        <w:t>החשיפה לנכס</w:t>
      </w:r>
      <w:r w:rsidR="009012DD" w:rsidRPr="0058348E">
        <w:rPr>
          <w:rFonts w:hint="cs"/>
          <w:rtl/>
        </w:rPr>
        <w:t xml:space="preserve">ים מניבים </w:t>
      </w:r>
      <w:r w:rsidR="004A7E7D">
        <w:rPr>
          <w:rFonts w:hint="cs"/>
          <w:rtl/>
        </w:rPr>
        <w:t xml:space="preserve">(לאחר </w:t>
      </w:r>
      <w:r w:rsidR="001F23C8">
        <w:rPr>
          <w:rFonts w:hint="cs"/>
          <w:rtl/>
        </w:rPr>
        <w:t>השלמת</w:t>
      </w:r>
      <w:r w:rsidR="004A7E7D">
        <w:rPr>
          <w:rFonts w:hint="cs"/>
          <w:rtl/>
        </w:rPr>
        <w:t xml:space="preserve"> הבנייה)</w:t>
      </w:r>
      <w:r w:rsidR="009012DD" w:rsidRPr="0058348E">
        <w:rPr>
          <w:rFonts w:hint="cs"/>
          <w:rtl/>
        </w:rPr>
        <w:t xml:space="preserve"> עומד על כ</w:t>
      </w:r>
      <w:r w:rsidR="00E539AC">
        <w:rPr>
          <w:rFonts w:hint="cs"/>
          <w:rtl/>
        </w:rPr>
        <w:t>-</w:t>
      </w:r>
      <w:r w:rsidR="00075CC3" w:rsidRPr="0058348E">
        <w:rPr>
          <w:rFonts w:hint="cs"/>
          <w:rtl/>
        </w:rPr>
        <w:t xml:space="preserve">51 מיליארד </w:t>
      </w:r>
      <w:r w:rsidR="00977CC5">
        <w:rPr>
          <w:rFonts w:hint="cs"/>
          <w:rtl/>
        </w:rPr>
        <w:t>ש"ח</w:t>
      </w:r>
      <w:r w:rsidR="0035223E">
        <w:rPr>
          <w:rFonts w:hint="cs"/>
          <w:rtl/>
        </w:rPr>
        <w:t>,</w:t>
      </w:r>
      <w:r w:rsidR="009012DD" w:rsidRPr="0058348E">
        <w:rPr>
          <w:rFonts w:hint="cs"/>
          <w:rtl/>
        </w:rPr>
        <w:t xml:space="preserve"> </w:t>
      </w:r>
      <w:r w:rsidR="00977CC5">
        <w:rPr>
          <w:rFonts w:hint="cs"/>
          <w:rtl/>
        </w:rPr>
        <w:t>שהם</w:t>
      </w:r>
      <w:r w:rsidR="009012DD" w:rsidRPr="0058348E">
        <w:rPr>
          <w:rFonts w:hint="cs"/>
          <w:rtl/>
        </w:rPr>
        <w:t xml:space="preserve"> כ</w:t>
      </w:r>
      <w:r w:rsidR="00977CC5">
        <w:rPr>
          <w:rFonts w:hint="cs"/>
          <w:rtl/>
        </w:rPr>
        <w:t>-</w:t>
      </w:r>
      <w:r w:rsidR="00075CC3" w:rsidRPr="0058348E">
        <w:rPr>
          <w:rFonts w:hint="cs"/>
          <w:rtl/>
        </w:rPr>
        <w:t>17%</w:t>
      </w:r>
      <w:r w:rsidR="009012DD" w:rsidRPr="0058348E">
        <w:rPr>
          <w:rFonts w:hint="cs"/>
          <w:rtl/>
        </w:rPr>
        <w:t xml:space="preserve"> מהאשראי שנבחן. כ</w:t>
      </w:r>
      <w:r w:rsidR="00977CC5">
        <w:rPr>
          <w:rFonts w:hint="cs"/>
          <w:rtl/>
        </w:rPr>
        <w:t>-</w:t>
      </w:r>
      <w:r w:rsidR="00075CC3" w:rsidRPr="0058348E">
        <w:rPr>
          <w:rFonts w:hint="cs"/>
          <w:rtl/>
        </w:rPr>
        <w:t>80% מהמימון מועמד לנכסים מניבים מסחריים ולמשרדים (</w:t>
      </w:r>
      <w:r w:rsidR="00393C13">
        <w:rPr>
          <w:rFonts w:hint="cs"/>
          <w:rtl/>
        </w:rPr>
        <w:t>51</w:t>
      </w:r>
      <w:r w:rsidR="00075CC3" w:rsidRPr="0058348E">
        <w:rPr>
          <w:rFonts w:hint="cs"/>
          <w:rtl/>
        </w:rPr>
        <w:t>% ו-</w:t>
      </w:r>
      <w:r w:rsidR="00393C13">
        <w:rPr>
          <w:rFonts w:hint="cs"/>
          <w:rtl/>
        </w:rPr>
        <w:t>29</w:t>
      </w:r>
      <w:r w:rsidR="00075CC3" w:rsidRPr="0058348E">
        <w:rPr>
          <w:rFonts w:hint="cs"/>
          <w:rtl/>
        </w:rPr>
        <w:t>% בהתאמה)</w:t>
      </w:r>
      <w:r w:rsidR="001B11F8">
        <w:rPr>
          <w:rFonts w:hint="cs"/>
          <w:rtl/>
        </w:rPr>
        <w:t>,</w:t>
      </w:r>
      <w:r w:rsidR="00075CC3" w:rsidRPr="0058348E">
        <w:rPr>
          <w:rFonts w:hint="cs"/>
          <w:rtl/>
        </w:rPr>
        <w:t xml:space="preserve"> שספגו פגיעה </w:t>
      </w:r>
      <w:r w:rsidR="007854DB">
        <w:rPr>
          <w:rFonts w:hint="cs"/>
          <w:rtl/>
        </w:rPr>
        <w:t xml:space="preserve">מסוימת </w:t>
      </w:r>
      <w:r w:rsidR="00075CC3" w:rsidRPr="0058348E">
        <w:rPr>
          <w:rFonts w:hint="cs"/>
          <w:rtl/>
        </w:rPr>
        <w:t>במשבר הקורונה</w:t>
      </w:r>
      <w:r w:rsidR="005B7E3F">
        <w:rPr>
          <w:rFonts w:hint="cs"/>
          <w:rtl/>
        </w:rPr>
        <w:t xml:space="preserve"> ו</w:t>
      </w:r>
      <w:r w:rsidR="00E539AC">
        <w:rPr>
          <w:rFonts w:hint="cs"/>
          <w:rtl/>
        </w:rPr>
        <w:t>ש</w:t>
      </w:r>
      <w:r w:rsidR="00075CC3" w:rsidRPr="0058348E">
        <w:rPr>
          <w:rFonts w:hint="cs"/>
          <w:rtl/>
        </w:rPr>
        <w:t xml:space="preserve">הסיכון בגינם מוערך </w:t>
      </w:r>
      <w:r w:rsidR="001B11F8">
        <w:rPr>
          <w:rFonts w:hint="cs"/>
          <w:rtl/>
        </w:rPr>
        <w:t>ברמה</w:t>
      </w:r>
      <w:r w:rsidR="001B11F8" w:rsidRPr="0058348E">
        <w:rPr>
          <w:rFonts w:hint="cs"/>
          <w:rtl/>
        </w:rPr>
        <w:t xml:space="preserve"> </w:t>
      </w:r>
      <w:r w:rsidR="00075CC3" w:rsidRPr="0058348E">
        <w:rPr>
          <w:rFonts w:hint="cs"/>
          <w:rtl/>
        </w:rPr>
        <w:t>בינוני</w:t>
      </w:r>
      <w:r w:rsidR="001B11F8">
        <w:rPr>
          <w:rFonts w:hint="cs"/>
          <w:rtl/>
        </w:rPr>
        <w:t>ת</w:t>
      </w:r>
      <w:r w:rsidR="00E539AC">
        <w:rPr>
          <w:rFonts w:hint="cs"/>
          <w:rtl/>
        </w:rPr>
        <w:t>־</w:t>
      </w:r>
      <w:r w:rsidR="00075CC3" w:rsidRPr="0058348E">
        <w:rPr>
          <w:rFonts w:hint="cs"/>
          <w:rtl/>
        </w:rPr>
        <w:t>גבוה</w:t>
      </w:r>
      <w:r w:rsidR="001B11F8">
        <w:rPr>
          <w:rFonts w:hint="cs"/>
          <w:rtl/>
        </w:rPr>
        <w:t>ה</w:t>
      </w:r>
      <w:r w:rsidR="00075CC3" w:rsidRPr="0058348E">
        <w:rPr>
          <w:rFonts w:hint="cs"/>
          <w:rtl/>
        </w:rPr>
        <w:t>.</w:t>
      </w:r>
      <w:r w:rsidR="005B7E3F">
        <w:rPr>
          <w:rFonts w:hint="cs"/>
          <w:rtl/>
        </w:rPr>
        <w:t xml:space="preserve"> </w:t>
      </w:r>
      <w:r w:rsidR="00075CC3" w:rsidRPr="0058348E">
        <w:rPr>
          <w:rFonts w:hint="cs"/>
          <w:rtl/>
        </w:rPr>
        <w:t xml:space="preserve">עם </w:t>
      </w:r>
      <w:r w:rsidR="00E539AC" w:rsidRPr="0058348E">
        <w:rPr>
          <w:rFonts w:hint="cs"/>
          <w:rtl/>
        </w:rPr>
        <w:t>ז</w:t>
      </w:r>
      <w:r w:rsidR="00E539AC">
        <w:rPr>
          <w:rFonts w:hint="cs"/>
          <w:rtl/>
        </w:rPr>
        <w:t>ה בולטים</w:t>
      </w:r>
      <w:r w:rsidR="00075CC3" w:rsidRPr="0058348E">
        <w:rPr>
          <w:rFonts w:hint="cs"/>
          <w:rtl/>
        </w:rPr>
        <w:t xml:space="preserve"> הבנקים יותר במימון מרכזי מסחר מקומיים קטנים</w:t>
      </w:r>
      <w:r w:rsidR="00E539AC">
        <w:rPr>
          <w:rFonts w:hint="cs"/>
          <w:rtl/>
        </w:rPr>
        <w:t>,</w:t>
      </w:r>
      <w:r w:rsidR="00075CC3" w:rsidRPr="0058348E">
        <w:rPr>
          <w:rFonts w:hint="cs"/>
          <w:rtl/>
        </w:rPr>
        <w:t xml:space="preserve"> שפגיע</w:t>
      </w:r>
      <w:r w:rsidR="001B11F8">
        <w:rPr>
          <w:rFonts w:hint="cs"/>
          <w:rtl/>
        </w:rPr>
        <w:t>ו</w:t>
      </w:r>
      <w:r w:rsidR="00075CC3" w:rsidRPr="0058348E">
        <w:rPr>
          <w:rFonts w:hint="cs"/>
          <w:rtl/>
        </w:rPr>
        <w:t xml:space="preserve">תם </w:t>
      </w:r>
      <w:r w:rsidR="001B11F8">
        <w:rPr>
          <w:rFonts w:hint="cs"/>
          <w:rtl/>
        </w:rPr>
        <w:t>ב</w:t>
      </w:r>
      <w:r w:rsidR="001B11F8" w:rsidRPr="0058348E">
        <w:rPr>
          <w:rFonts w:hint="cs"/>
          <w:rtl/>
        </w:rPr>
        <w:t xml:space="preserve">משבר </w:t>
      </w:r>
      <w:r w:rsidR="00075CC3" w:rsidRPr="0058348E">
        <w:rPr>
          <w:rFonts w:hint="cs"/>
          <w:rtl/>
        </w:rPr>
        <w:t>הקורונה ה</w:t>
      </w:r>
      <w:r w:rsidR="001B11F8">
        <w:rPr>
          <w:rFonts w:hint="cs"/>
          <w:rtl/>
        </w:rPr>
        <w:t>י</w:t>
      </w:r>
      <w:r w:rsidR="00075CC3" w:rsidRPr="0058348E">
        <w:rPr>
          <w:rFonts w:hint="cs"/>
          <w:rtl/>
        </w:rPr>
        <w:t>יתה מתונה יותר מפג</w:t>
      </w:r>
      <w:r w:rsidR="001B11F8">
        <w:rPr>
          <w:rFonts w:hint="cs"/>
          <w:rtl/>
        </w:rPr>
        <w:t>י</w:t>
      </w:r>
      <w:r w:rsidR="00075CC3" w:rsidRPr="0058348E">
        <w:rPr>
          <w:rFonts w:hint="cs"/>
          <w:rtl/>
        </w:rPr>
        <w:t>ע</w:t>
      </w:r>
      <w:r w:rsidR="001B11F8">
        <w:rPr>
          <w:rFonts w:hint="cs"/>
          <w:rtl/>
        </w:rPr>
        <w:t>ותם</w:t>
      </w:r>
      <w:r w:rsidR="00075CC3" w:rsidRPr="0058348E">
        <w:rPr>
          <w:rFonts w:hint="cs"/>
          <w:rtl/>
        </w:rPr>
        <w:t xml:space="preserve"> </w:t>
      </w:r>
      <w:r w:rsidR="001B11F8">
        <w:rPr>
          <w:rFonts w:hint="cs"/>
          <w:rtl/>
        </w:rPr>
        <w:t>של ה</w:t>
      </w:r>
      <w:r w:rsidR="001B11F8" w:rsidRPr="0058348E">
        <w:rPr>
          <w:rFonts w:hint="cs"/>
          <w:rtl/>
        </w:rPr>
        <w:t xml:space="preserve">קניונים </w:t>
      </w:r>
      <w:r w:rsidR="00075CC3" w:rsidRPr="0058348E">
        <w:rPr>
          <w:rFonts w:hint="cs"/>
          <w:rtl/>
        </w:rPr>
        <w:t>הגדולים.</w:t>
      </w:r>
    </w:p>
    <w:p w:rsidR="00075CC3" w:rsidRPr="0058348E" w:rsidRDefault="009012DD" w:rsidP="00DF51A6">
      <w:pPr>
        <w:pStyle w:val="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4"/>
        </w:rPr>
      </w:pPr>
      <w:r w:rsidRPr="0058348E">
        <w:rPr>
          <w:rFonts w:hint="cs"/>
          <w:rtl/>
        </w:rPr>
        <w:t>כ</w:t>
      </w:r>
      <w:r w:rsidR="00E539AC">
        <w:rPr>
          <w:rFonts w:hint="cs"/>
          <w:rtl/>
        </w:rPr>
        <w:t>-</w:t>
      </w:r>
      <w:r w:rsidR="00075CC3" w:rsidRPr="0058348E">
        <w:rPr>
          <w:rFonts w:hint="cs"/>
          <w:rtl/>
        </w:rPr>
        <w:t>42 מיליארד</w:t>
      </w:r>
      <w:r w:rsidR="00E539AC">
        <w:rPr>
          <w:rFonts w:hint="cs"/>
          <w:rtl/>
        </w:rPr>
        <w:t xml:space="preserve"> ש"ח,</w:t>
      </w:r>
      <w:r w:rsidR="00075CC3" w:rsidRPr="0058348E">
        <w:rPr>
          <w:rFonts w:hint="cs"/>
          <w:rtl/>
        </w:rPr>
        <w:t xml:space="preserve"> </w:t>
      </w:r>
      <w:r w:rsidR="00977CC5">
        <w:rPr>
          <w:rFonts w:hint="cs"/>
          <w:rtl/>
        </w:rPr>
        <w:t>שהם</w:t>
      </w:r>
      <w:r w:rsidR="00075CC3" w:rsidRPr="0058348E">
        <w:rPr>
          <w:rFonts w:hint="cs"/>
          <w:rtl/>
        </w:rPr>
        <w:t xml:space="preserve"> </w:t>
      </w:r>
      <w:r w:rsidRPr="0058348E">
        <w:rPr>
          <w:rFonts w:hint="cs"/>
          <w:rtl/>
        </w:rPr>
        <w:t>כ</w:t>
      </w:r>
      <w:r w:rsidR="00E539AC">
        <w:rPr>
          <w:rFonts w:hint="cs"/>
          <w:rtl/>
        </w:rPr>
        <w:t>-</w:t>
      </w:r>
      <w:r w:rsidR="00075CC3" w:rsidRPr="0058348E">
        <w:rPr>
          <w:rFonts w:hint="cs"/>
          <w:rtl/>
        </w:rPr>
        <w:t>14% מהאשראי שנבחן</w:t>
      </w:r>
      <w:r w:rsidR="00E539AC">
        <w:rPr>
          <w:rFonts w:hint="cs"/>
          <w:rtl/>
        </w:rPr>
        <w:t>,</w:t>
      </w:r>
      <w:r w:rsidR="00075CC3" w:rsidRPr="0058348E">
        <w:rPr>
          <w:rFonts w:hint="cs"/>
          <w:rtl/>
        </w:rPr>
        <w:t xml:space="preserve"> מ</w:t>
      </w:r>
      <w:r w:rsidR="00E539AC">
        <w:rPr>
          <w:rFonts w:hint="cs"/>
          <w:rtl/>
        </w:rPr>
        <w:t>מ</w:t>
      </w:r>
      <w:r w:rsidR="00075CC3" w:rsidRPr="0058348E">
        <w:rPr>
          <w:rFonts w:hint="cs"/>
          <w:rtl/>
        </w:rPr>
        <w:t xml:space="preserve">מנים </w:t>
      </w:r>
      <w:r w:rsidR="004A7E7D">
        <w:rPr>
          <w:rFonts w:hint="cs"/>
          <w:rtl/>
        </w:rPr>
        <w:t>קרקעות</w:t>
      </w:r>
      <w:r w:rsidR="00075CC3" w:rsidRPr="0058348E">
        <w:rPr>
          <w:rFonts w:hint="cs"/>
          <w:rtl/>
        </w:rPr>
        <w:t xml:space="preserve">. </w:t>
      </w:r>
      <w:r w:rsidRPr="0058348E">
        <w:rPr>
          <w:rFonts w:hint="cs"/>
          <w:rtl/>
        </w:rPr>
        <w:t>כ</w:t>
      </w:r>
      <w:r w:rsidR="00E539AC">
        <w:rPr>
          <w:rFonts w:hint="cs"/>
          <w:rtl/>
        </w:rPr>
        <w:t>-</w:t>
      </w:r>
      <w:r w:rsidR="00075CC3" w:rsidRPr="0058348E">
        <w:rPr>
          <w:rFonts w:hint="cs"/>
          <w:rtl/>
        </w:rPr>
        <w:t>78% מ</w:t>
      </w:r>
      <w:r w:rsidR="009C32D1">
        <w:rPr>
          <w:rFonts w:hint="cs"/>
          <w:rtl/>
        </w:rPr>
        <w:t xml:space="preserve">היקף </w:t>
      </w:r>
      <w:r w:rsidR="00075CC3" w:rsidRPr="0058348E">
        <w:rPr>
          <w:rFonts w:hint="cs"/>
          <w:rtl/>
        </w:rPr>
        <w:t xml:space="preserve">החשיפה </w:t>
      </w:r>
      <w:r w:rsidR="009C32D1" w:rsidRPr="0058348E">
        <w:rPr>
          <w:rFonts w:hint="cs"/>
          <w:rtl/>
        </w:rPr>
        <w:t>ה</w:t>
      </w:r>
      <w:r w:rsidR="009C32D1">
        <w:rPr>
          <w:rFonts w:hint="cs"/>
          <w:rtl/>
        </w:rPr>
        <w:t>ו</w:t>
      </w:r>
      <w:r w:rsidR="009C32D1" w:rsidRPr="0058348E">
        <w:rPr>
          <w:rFonts w:hint="cs"/>
          <w:rtl/>
        </w:rPr>
        <w:t xml:space="preserve">א </w:t>
      </w:r>
      <w:r w:rsidR="00075CC3" w:rsidRPr="0058348E">
        <w:rPr>
          <w:rFonts w:hint="cs"/>
          <w:rtl/>
        </w:rPr>
        <w:t xml:space="preserve">למימון </w:t>
      </w:r>
      <w:r w:rsidR="004A7E7D">
        <w:rPr>
          <w:rFonts w:hint="cs"/>
          <w:rtl/>
        </w:rPr>
        <w:t>קרקעות</w:t>
      </w:r>
      <w:r w:rsidR="00075CC3" w:rsidRPr="0058348E">
        <w:rPr>
          <w:rFonts w:hint="cs"/>
          <w:rtl/>
        </w:rPr>
        <w:t xml:space="preserve"> במסגרת פרוי</w:t>
      </w:r>
      <w:r w:rsidR="001B11F8">
        <w:rPr>
          <w:rFonts w:hint="cs"/>
          <w:rtl/>
        </w:rPr>
        <w:t>י</w:t>
      </w:r>
      <w:r w:rsidR="00075CC3" w:rsidRPr="0058348E">
        <w:rPr>
          <w:rFonts w:hint="cs"/>
          <w:rtl/>
        </w:rPr>
        <w:t>קט בנ</w:t>
      </w:r>
      <w:r w:rsidR="00E539AC">
        <w:rPr>
          <w:rFonts w:hint="cs"/>
          <w:rtl/>
        </w:rPr>
        <w:t>י</w:t>
      </w:r>
      <w:r w:rsidR="00075CC3" w:rsidRPr="0058348E">
        <w:rPr>
          <w:rFonts w:hint="cs"/>
          <w:rtl/>
        </w:rPr>
        <w:t>יה למגורים</w:t>
      </w:r>
      <w:r w:rsidR="001B11F8">
        <w:rPr>
          <w:rFonts w:hint="cs"/>
          <w:rtl/>
        </w:rPr>
        <w:t>,</w:t>
      </w:r>
      <w:r w:rsidR="00075CC3" w:rsidRPr="0058348E">
        <w:rPr>
          <w:rFonts w:hint="cs"/>
          <w:rtl/>
        </w:rPr>
        <w:t xml:space="preserve"> </w:t>
      </w:r>
      <w:r w:rsidR="00E539AC">
        <w:rPr>
          <w:rFonts w:hint="cs"/>
          <w:rtl/>
        </w:rPr>
        <w:t>ש</w:t>
      </w:r>
      <w:r w:rsidR="00075CC3" w:rsidRPr="0058348E">
        <w:rPr>
          <w:rFonts w:hint="cs"/>
          <w:rtl/>
        </w:rPr>
        <w:t>מוערך ב</w:t>
      </w:r>
      <w:r w:rsidR="004E043E">
        <w:rPr>
          <w:rFonts w:hint="cs"/>
          <w:rtl/>
        </w:rPr>
        <w:t xml:space="preserve">רמת </w:t>
      </w:r>
      <w:r w:rsidR="00075CC3" w:rsidRPr="0058348E">
        <w:rPr>
          <w:rFonts w:hint="cs"/>
          <w:rtl/>
        </w:rPr>
        <w:t xml:space="preserve">סיכון </w:t>
      </w:r>
      <w:r w:rsidR="004E043E" w:rsidRPr="0058348E">
        <w:rPr>
          <w:rFonts w:hint="cs"/>
          <w:rtl/>
        </w:rPr>
        <w:t>נמו</w:t>
      </w:r>
      <w:r w:rsidR="004E043E">
        <w:rPr>
          <w:rFonts w:hint="cs"/>
          <w:rtl/>
        </w:rPr>
        <w:t xml:space="preserve">כה; </w:t>
      </w:r>
      <w:r w:rsidR="00075CC3" w:rsidRPr="0058348E">
        <w:rPr>
          <w:rFonts w:hint="cs"/>
          <w:rtl/>
        </w:rPr>
        <w:t xml:space="preserve">כ-17% למימון </w:t>
      </w:r>
      <w:r w:rsidR="004A7E7D">
        <w:rPr>
          <w:rFonts w:hint="cs"/>
          <w:rtl/>
        </w:rPr>
        <w:t>קרקעות</w:t>
      </w:r>
      <w:r w:rsidR="00075CC3" w:rsidRPr="0058348E">
        <w:rPr>
          <w:rFonts w:hint="cs"/>
          <w:rtl/>
        </w:rPr>
        <w:t xml:space="preserve"> </w:t>
      </w:r>
      <w:r w:rsidR="00510AA6">
        <w:rPr>
          <w:rFonts w:hint="cs"/>
          <w:rtl/>
        </w:rPr>
        <w:t>ש</w:t>
      </w:r>
      <w:r w:rsidR="00075CC3" w:rsidRPr="0058348E">
        <w:rPr>
          <w:rFonts w:hint="cs"/>
          <w:rtl/>
        </w:rPr>
        <w:t>מיועדות לבניית נכסים מניבים</w:t>
      </w:r>
      <w:r w:rsidR="001B11F8">
        <w:rPr>
          <w:rFonts w:hint="cs"/>
          <w:rtl/>
        </w:rPr>
        <w:t>,</w:t>
      </w:r>
      <w:r w:rsidR="00075CC3" w:rsidRPr="0058348E">
        <w:rPr>
          <w:rFonts w:hint="cs"/>
          <w:rtl/>
        </w:rPr>
        <w:t xml:space="preserve"> </w:t>
      </w:r>
      <w:r w:rsidR="00DF51A6">
        <w:rPr>
          <w:rFonts w:hint="cs"/>
          <w:rtl/>
        </w:rPr>
        <w:t>ש</w:t>
      </w:r>
      <w:r w:rsidR="00DF51A6" w:rsidRPr="0058348E">
        <w:rPr>
          <w:rFonts w:hint="cs"/>
          <w:rtl/>
        </w:rPr>
        <w:t>מוער</w:t>
      </w:r>
      <w:r w:rsidR="00DF51A6">
        <w:rPr>
          <w:rFonts w:hint="cs"/>
          <w:rtl/>
        </w:rPr>
        <w:t>כת</w:t>
      </w:r>
      <w:r w:rsidR="00DF51A6" w:rsidRPr="0058348E">
        <w:rPr>
          <w:rFonts w:hint="cs"/>
          <w:rtl/>
        </w:rPr>
        <w:t xml:space="preserve"> </w:t>
      </w:r>
      <w:r w:rsidR="00075CC3" w:rsidRPr="0058348E">
        <w:rPr>
          <w:rFonts w:hint="cs"/>
          <w:rtl/>
        </w:rPr>
        <w:t>ב</w:t>
      </w:r>
      <w:r w:rsidR="001B11F8">
        <w:rPr>
          <w:rFonts w:hint="cs"/>
          <w:rtl/>
        </w:rPr>
        <w:t xml:space="preserve">רמת </w:t>
      </w:r>
      <w:r w:rsidR="00075CC3" w:rsidRPr="0058348E">
        <w:rPr>
          <w:rFonts w:hint="cs"/>
          <w:rtl/>
        </w:rPr>
        <w:t>סיכון בינוני</w:t>
      </w:r>
      <w:r w:rsidR="001B11F8">
        <w:rPr>
          <w:rFonts w:hint="cs"/>
          <w:rtl/>
        </w:rPr>
        <w:t>ת</w:t>
      </w:r>
      <w:r w:rsidR="004E043E">
        <w:rPr>
          <w:rFonts w:hint="cs"/>
          <w:rtl/>
        </w:rPr>
        <w:t>;</w:t>
      </w:r>
      <w:r w:rsidR="005B7E3F">
        <w:rPr>
          <w:rFonts w:hint="cs"/>
          <w:rtl/>
        </w:rPr>
        <w:t xml:space="preserve"> ו</w:t>
      </w:r>
      <w:r w:rsidR="00075CC3" w:rsidRPr="0058348E">
        <w:rPr>
          <w:rFonts w:hint="cs"/>
          <w:rtl/>
        </w:rPr>
        <w:t xml:space="preserve">רק 5% מועמד למימון </w:t>
      </w:r>
      <w:r w:rsidR="00DF51A6">
        <w:rPr>
          <w:rFonts w:hint="cs"/>
          <w:rtl/>
        </w:rPr>
        <w:t>קרקעות</w:t>
      </w:r>
      <w:r w:rsidR="00075CC3" w:rsidRPr="0058348E">
        <w:rPr>
          <w:rFonts w:hint="cs"/>
          <w:rtl/>
        </w:rPr>
        <w:t xml:space="preserve"> "שאינן </w:t>
      </w:r>
      <w:r w:rsidR="00CB4678" w:rsidRPr="0058348E">
        <w:rPr>
          <w:rFonts w:hint="cs"/>
          <w:rtl/>
        </w:rPr>
        <w:t>זמינות לבנייה"</w:t>
      </w:r>
      <w:r w:rsidR="001B11F8">
        <w:rPr>
          <w:rFonts w:hint="cs"/>
          <w:rtl/>
        </w:rPr>
        <w:t>,</w:t>
      </w:r>
      <w:r w:rsidR="00CB4678" w:rsidRPr="0058348E">
        <w:rPr>
          <w:rFonts w:hint="cs"/>
          <w:rtl/>
        </w:rPr>
        <w:t xml:space="preserve"> </w:t>
      </w:r>
      <w:r w:rsidR="001B11F8">
        <w:rPr>
          <w:rFonts w:hint="cs"/>
          <w:rtl/>
        </w:rPr>
        <w:t>ש</w:t>
      </w:r>
      <w:r w:rsidR="001B11F8" w:rsidRPr="0058348E">
        <w:rPr>
          <w:rFonts w:hint="cs"/>
          <w:rtl/>
        </w:rPr>
        <w:t>מוער</w:t>
      </w:r>
      <w:r w:rsidR="00C0627B">
        <w:rPr>
          <w:rFonts w:hint="cs"/>
          <w:rtl/>
        </w:rPr>
        <w:t>כות</w:t>
      </w:r>
      <w:r w:rsidR="001B11F8" w:rsidRPr="0058348E">
        <w:rPr>
          <w:rFonts w:hint="cs"/>
          <w:rtl/>
        </w:rPr>
        <w:t xml:space="preserve"> </w:t>
      </w:r>
      <w:r w:rsidR="00075CC3" w:rsidRPr="0058348E">
        <w:rPr>
          <w:rFonts w:hint="cs"/>
          <w:rtl/>
        </w:rPr>
        <w:t>ב</w:t>
      </w:r>
      <w:r w:rsidR="001B11F8">
        <w:rPr>
          <w:rFonts w:hint="cs"/>
          <w:rtl/>
        </w:rPr>
        <w:t xml:space="preserve">רמת </w:t>
      </w:r>
      <w:r w:rsidR="00075CC3" w:rsidRPr="0058348E">
        <w:rPr>
          <w:rFonts w:hint="cs"/>
          <w:rtl/>
        </w:rPr>
        <w:t>סיכון גבוה</w:t>
      </w:r>
      <w:r w:rsidR="001B11F8">
        <w:rPr>
          <w:rFonts w:hint="cs"/>
          <w:rtl/>
        </w:rPr>
        <w:t>ה</w:t>
      </w:r>
      <w:r w:rsidR="00075CC3" w:rsidRPr="0058348E">
        <w:rPr>
          <w:rFonts w:hint="cs"/>
          <w:rtl/>
        </w:rPr>
        <w:t xml:space="preserve"> מאוד.</w:t>
      </w:r>
      <w:r w:rsidR="00776D12">
        <w:rPr>
          <w:rFonts w:hint="cs"/>
          <w:sz w:val="24"/>
          <w:rtl/>
        </w:rPr>
        <w:t xml:space="preserve"> </w:t>
      </w:r>
    </w:p>
    <w:p w:rsidR="0078266B" w:rsidRPr="0078266B" w:rsidRDefault="009012DD" w:rsidP="0078266B">
      <w:pPr>
        <w:pStyle w:val="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tl/>
        </w:rPr>
      </w:pPr>
      <w:r w:rsidRPr="0078266B">
        <w:rPr>
          <w:rFonts w:hint="cs"/>
          <w:rtl/>
        </w:rPr>
        <w:lastRenderedPageBreak/>
        <w:t>כ</w:t>
      </w:r>
      <w:r w:rsidR="004E043E" w:rsidRPr="0078266B">
        <w:rPr>
          <w:rFonts w:hint="cs"/>
          <w:rtl/>
        </w:rPr>
        <w:t>-</w:t>
      </w:r>
      <w:r w:rsidR="00CB4678" w:rsidRPr="0078266B">
        <w:rPr>
          <w:rFonts w:hint="cs"/>
          <w:rtl/>
        </w:rPr>
        <w:t xml:space="preserve">40 מיליארד </w:t>
      </w:r>
      <w:r w:rsidR="00977CC5" w:rsidRPr="0078266B">
        <w:rPr>
          <w:rFonts w:hint="cs"/>
          <w:rtl/>
        </w:rPr>
        <w:t>ש</w:t>
      </w:r>
      <w:r w:rsidR="004E043E" w:rsidRPr="0078266B">
        <w:rPr>
          <w:rFonts w:hint="cs"/>
          <w:rtl/>
        </w:rPr>
        <w:t>"</w:t>
      </w:r>
      <w:r w:rsidR="00977CC5" w:rsidRPr="0078266B">
        <w:rPr>
          <w:rFonts w:hint="cs"/>
          <w:rtl/>
        </w:rPr>
        <w:t>ח</w:t>
      </w:r>
      <w:r w:rsidR="004E043E" w:rsidRPr="0078266B">
        <w:rPr>
          <w:rFonts w:hint="cs"/>
          <w:rtl/>
        </w:rPr>
        <w:t>,</w:t>
      </w:r>
      <w:r w:rsidR="00CB4678" w:rsidRPr="0078266B">
        <w:rPr>
          <w:rFonts w:hint="cs"/>
          <w:rtl/>
        </w:rPr>
        <w:t xml:space="preserve"> </w:t>
      </w:r>
      <w:r w:rsidR="00977CC5" w:rsidRPr="0078266B">
        <w:rPr>
          <w:rFonts w:hint="cs"/>
          <w:rtl/>
        </w:rPr>
        <w:t>שהם</w:t>
      </w:r>
      <w:r w:rsidR="00CB4678" w:rsidRPr="0078266B">
        <w:rPr>
          <w:rFonts w:hint="cs"/>
          <w:rtl/>
        </w:rPr>
        <w:t xml:space="preserve"> כ</w:t>
      </w:r>
      <w:r w:rsidR="004E043E" w:rsidRPr="0078266B">
        <w:rPr>
          <w:rFonts w:hint="cs"/>
          <w:rtl/>
        </w:rPr>
        <w:t>-</w:t>
      </w:r>
      <w:r w:rsidR="00CB4678" w:rsidRPr="0078266B">
        <w:rPr>
          <w:rFonts w:hint="cs"/>
          <w:rtl/>
        </w:rPr>
        <w:t>13% מהאשראי שנבחן</w:t>
      </w:r>
      <w:r w:rsidR="006C5662" w:rsidRPr="0078266B">
        <w:rPr>
          <w:rFonts w:hint="cs"/>
          <w:rtl/>
        </w:rPr>
        <w:t>,</w:t>
      </w:r>
      <w:r w:rsidR="00CB4678" w:rsidRPr="0078266B">
        <w:rPr>
          <w:rFonts w:hint="cs"/>
          <w:rtl/>
        </w:rPr>
        <w:t xml:space="preserve"> </w:t>
      </w:r>
      <w:r w:rsidR="00FF6E24" w:rsidRPr="0078266B">
        <w:rPr>
          <w:rFonts w:hint="cs"/>
          <w:rtl/>
        </w:rPr>
        <w:t>מיועדים לאשראי ישיר לחברות ו</w:t>
      </w:r>
      <w:r w:rsidR="006C5662" w:rsidRPr="0078266B">
        <w:rPr>
          <w:rFonts w:hint="cs"/>
          <w:rtl/>
        </w:rPr>
        <w:t xml:space="preserve">לא </w:t>
      </w:r>
      <w:r w:rsidR="00CB4678" w:rsidRPr="0078266B">
        <w:rPr>
          <w:rFonts w:hint="cs"/>
          <w:rtl/>
        </w:rPr>
        <w:t xml:space="preserve">למימון נכסים </w:t>
      </w:r>
      <w:r w:rsidR="006C5662" w:rsidRPr="0078266B">
        <w:rPr>
          <w:rFonts w:hint="cs"/>
          <w:rtl/>
        </w:rPr>
        <w:t xml:space="preserve">ייחודיים </w:t>
      </w:r>
      <w:r w:rsidR="00CB4678" w:rsidRPr="0078266B">
        <w:rPr>
          <w:rFonts w:hint="cs"/>
          <w:rtl/>
        </w:rPr>
        <w:t>ומוער</w:t>
      </w:r>
      <w:r w:rsidR="00FF6E24" w:rsidRPr="0078266B">
        <w:rPr>
          <w:rFonts w:hint="cs"/>
          <w:rtl/>
        </w:rPr>
        <w:t>כים</w:t>
      </w:r>
      <w:r w:rsidR="00CB4678" w:rsidRPr="0078266B">
        <w:rPr>
          <w:rFonts w:hint="cs"/>
          <w:rtl/>
        </w:rPr>
        <w:t xml:space="preserve"> ב</w:t>
      </w:r>
      <w:r w:rsidR="006C5662" w:rsidRPr="0078266B">
        <w:rPr>
          <w:rFonts w:hint="cs"/>
          <w:rtl/>
        </w:rPr>
        <w:t xml:space="preserve">רמת </w:t>
      </w:r>
      <w:r w:rsidR="00CB4678" w:rsidRPr="0078266B">
        <w:rPr>
          <w:rFonts w:hint="cs"/>
          <w:rtl/>
        </w:rPr>
        <w:t>סיכון גבוה</w:t>
      </w:r>
      <w:r w:rsidR="006C5662" w:rsidRPr="0078266B">
        <w:rPr>
          <w:rFonts w:hint="cs"/>
          <w:rtl/>
        </w:rPr>
        <w:t>ה</w:t>
      </w:r>
      <w:r w:rsidR="007854DB" w:rsidRPr="0078266B">
        <w:rPr>
          <w:rFonts w:hint="cs"/>
          <w:rtl/>
        </w:rPr>
        <w:t xml:space="preserve">. ע"פ אומדן משוער קיים כיסוי בטחונות לכ-50% </w:t>
      </w:r>
    </w:p>
    <w:p w:rsidR="0078266B" w:rsidRDefault="0078266B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kern w:val="28"/>
          <w:sz w:val="22"/>
          <w:rtl/>
        </w:rPr>
      </w:pPr>
      <w:r>
        <w:rPr>
          <w:rtl/>
        </w:rPr>
        <w:br w:type="page"/>
      </w:r>
    </w:p>
    <w:p w:rsidR="00040E89" w:rsidRPr="0078266B" w:rsidRDefault="00D02D89" w:rsidP="0078266B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  <w:rtl/>
        </w:rPr>
      </w:pPr>
      <w:r w:rsidRPr="0078266B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lastRenderedPageBreak/>
        <w:t>רקע כללי</w:t>
      </w:r>
      <w:r w:rsidR="00040E89" w:rsidRPr="0078266B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t xml:space="preserve"> </w:t>
      </w:r>
    </w:p>
    <w:p w:rsidR="001F23C8" w:rsidRDefault="004239CA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  <w:rPr>
          <w:rtl/>
        </w:rPr>
      </w:pPr>
      <w:r>
        <w:rPr>
          <w:rFonts w:hint="cs"/>
          <w:rtl/>
        </w:rPr>
        <w:t xml:space="preserve">ענף הבינוי והנדל"ן </w:t>
      </w:r>
      <w:r w:rsidR="00CB65F7">
        <w:rPr>
          <w:rFonts w:hint="cs"/>
          <w:rtl/>
        </w:rPr>
        <w:t xml:space="preserve">הוא הענף עם </w:t>
      </w:r>
      <w:r w:rsidR="00D22CB2">
        <w:rPr>
          <w:rFonts w:hint="cs"/>
          <w:rtl/>
        </w:rPr>
        <w:t>היקף</w:t>
      </w:r>
      <w:r w:rsidR="006C5662">
        <w:rPr>
          <w:rFonts w:hint="cs"/>
          <w:rtl/>
        </w:rPr>
        <w:t xml:space="preserve"> </w:t>
      </w:r>
      <w:r w:rsidR="00CB65F7">
        <w:rPr>
          <w:rFonts w:hint="cs"/>
          <w:rtl/>
        </w:rPr>
        <w:t>חשיפת האשראי הגבוה ביותר</w:t>
      </w:r>
      <w:r>
        <w:rPr>
          <w:rFonts w:hint="cs"/>
          <w:rtl/>
        </w:rPr>
        <w:t xml:space="preserve"> </w:t>
      </w:r>
      <w:r w:rsidR="00E91E3B">
        <w:rPr>
          <w:rFonts w:hint="cs"/>
          <w:rtl/>
        </w:rPr>
        <w:t>ב</w:t>
      </w:r>
      <w:r>
        <w:rPr>
          <w:rFonts w:hint="cs"/>
          <w:rtl/>
        </w:rPr>
        <w:t>מערכת הבנקא</w:t>
      </w:r>
      <w:r w:rsidR="005B7E3F">
        <w:rPr>
          <w:rFonts w:hint="cs"/>
          <w:rtl/>
        </w:rPr>
        <w:t>ו</w:t>
      </w:r>
      <w:r>
        <w:rPr>
          <w:rFonts w:hint="cs"/>
          <w:rtl/>
        </w:rPr>
        <w:t>ת בישראל. ל</w:t>
      </w:r>
      <w:r w:rsidRPr="00C56924">
        <w:rPr>
          <w:rFonts w:hint="cs"/>
          <w:rtl/>
        </w:rPr>
        <w:t xml:space="preserve">נוכח השפעות </w:t>
      </w:r>
      <w:r w:rsidR="006C5662">
        <w:rPr>
          <w:rFonts w:hint="cs"/>
          <w:rtl/>
        </w:rPr>
        <w:t>משבר</w:t>
      </w:r>
      <w:r w:rsidR="006C5662" w:rsidRPr="00C56924">
        <w:rPr>
          <w:rFonts w:hint="cs"/>
          <w:rtl/>
        </w:rPr>
        <w:t xml:space="preserve"> </w:t>
      </w:r>
      <w:r w:rsidRPr="00C56924">
        <w:rPr>
          <w:rFonts w:hint="cs"/>
          <w:rtl/>
        </w:rPr>
        <w:t>הקורונה</w:t>
      </w:r>
      <w:r>
        <w:rPr>
          <w:rFonts w:hint="cs"/>
          <w:rtl/>
        </w:rPr>
        <w:t xml:space="preserve"> על הפעילות הכלכלית במשק הישראלי</w:t>
      </w:r>
      <w:r w:rsidR="005B7E3F">
        <w:rPr>
          <w:rFonts w:hint="cs"/>
          <w:rtl/>
        </w:rPr>
        <w:t xml:space="preserve"> ו</w:t>
      </w:r>
      <w:r>
        <w:rPr>
          <w:rFonts w:hint="cs"/>
          <w:rtl/>
        </w:rPr>
        <w:t>בכלל זה</w:t>
      </w:r>
      <w:r w:rsidRPr="00C56924">
        <w:rPr>
          <w:rFonts w:hint="cs"/>
          <w:rtl/>
        </w:rPr>
        <w:t xml:space="preserve"> </w:t>
      </w:r>
      <w:r>
        <w:rPr>
          <w:rFonts w:hint="cs"/>
          <w:rtl/>
        </w:rPr>
        <w:t xml:space="preserve">גם על התגברות הסיכונים בענף הבינוי והנדל"ן, </w:t>
      </w:r>
      <w:bookmarkEnd w:id="2"/>
      <w:bookmarkEnd w:id="3"/>
      <w:bookmarkEnd w:id="4"/>
      <w:bookmarkEnd w:id="5"/>
      <w:bookmarkEnd w:id="6"/>
      <w:r w:rsidR="0046749F">
        <w:rPr>
          <w:rFonts w:hint="cs"/>
          <w:rtl/>
        </w:rPr>
        <w:t>ב</w:t>
      </w:r>
      <w:r w:rsidR="004A7E7D">
        <w:rPr>
          <w:rFonts w:hint="cs"/>
          <w:rtl/>
        </w:rPr>
        <w:t>וצע</w:t>
      </w:r>
      <w:r w:rsidR="0046749F">
        <w:rPr>
          <w:rFonts w:hint="cs"/>
          <w:rtl/>
        </w:rPr>
        <w:t xml:space="preserve"> ניתוח</w:t>
      </w:r>
      <w:r w:rsidR="004D51F9" w:rsidRPr="004239CA">
        <w:rPr>
          <w:rFonts w:hint="cs"/>
          <w:rtl/>
        </w:rPr>
        <w:t xml:space="preserve"> על </w:t>
      </w:r>
      <w:r w:rsidR="00D22CB2">
        <w:rPr>
          <w:rFonts w:hint="cs"/>
          <w:rtl/>
        </w:rPr>
        <w:t>היקף</w:t>
      </w:r>
      <w:r w:rsidR="006C5662">
        <w:rPr>
          <w:rFonts w:hint="cs"/>
          <w:rtl/>
        </w:rPr>
        <w:t xml:space="preserve"> </w:t>
      </w:r>
      <w:r w:rsidR="004D51F9" w:rsidRPr="004239CA">
        <w:rPr>
          <w:rFonts w:hint="cs"/>
          <w:rtl/>
        </w:rPr>
        <w:t xml:space="preserve">חשיפות האשראי </w:t>
      </w:r>
      <w:r w:rsidR="00D22CB2">
        <w:rPr>
          <w:rFonts w:hint="cs"/>
          <w:rtl/>
        </w:rPr>
        <w:t xml:space="preserve">ורמות הסיכונים </w:t>
      </w:r>
      <w:r w:rsidR="004D51F9" w:rsidRPr="004239CA">
        <w:rPr>
          <w:rFonts w:hint="cs"/>
          <w:rtl/>
        </w:rPr>
        <w:t xml:space="preserve">לענף </w:t>
      </w:r>
      <w:r w:rsidR="002118A7">
        <w:rPr>
          <w:rFonts w:hint="cs"/>
          <w:rtl/>
        </w:rPr>
        <w:t>זה</w:t>
      </w:r>
      <w:r w:rsidR="004D51F9" w:rsidRPr="004239CA">
        <w:rPr>
          <w:rFonts w:hint="cs"/>
          <w:rtl/>
        </w:rPr>
        <w:t xml:space="preserve"> בחמשת הבנקים הגדולים</w:t>
      </w:r>
      <w:bookmarkEnd w:id="7"/>
      <w:bookmarkEnd w:id="8"/>
      <w:r w:rsidR="00061A73" w:rsidRPr="004239CA">
        <w:rPr>
          <w:rFonts w:hint="cs"/>
          <w:rtl/>
        </w:rPr>
        <w:t>.</w:t>
      </w:r>
    </w:p>
    <w:p w:rsidR="00D80132" w:rsidRDefault="004A7E7D" w:rsidP="00AB7EC2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</w:pPr>
      <w:r>
        <w:rPr>
          <w:rFonts w:hint="cs"/>
          <w:rtl/>
        </w:rPr>
        <w:t xml:space="preserve">מטרת הניתוח היתה </w:t>
      </w:r>
      <w:r w:rsidR="00D80132" w:rsidRPr="004D51F9">
        <w:rPr>
          <w:rFonts w:hint="cs"/>
          <w:rtl/>
        </w:rPr>
        <w:t xml:space="preserve">למפות ולהעריך את הסיכונים העיקריים </w:t>
      </w:r>
      <w:r w:rsidR="003E0E4B" w:rsidRPr="004D51F9">
        <w:rPr>
          <w:rFonts w:hint="cs"/>
          <w:rtl/>
        </w:rPr>
        <w:t>ב</w:t>
      </w:r>
      <w:r w:rsidR="003E0E4B">
        <w:rPr>
          <w:rFonts w:hint="cs"/>
          <w:rtl/>
        </w:rPr>
        <w:t>פלחי הענף</w:t>
      </w:r>
      <w:r w:rsidR="003E0E4B" w:rsidRPr="004D51F9">
        <w:rPr>
          <w:rFonts w:hint="cs"/>
          <w:rtl/>
        </w:rPr>
        <w:t xml:space="preserve"> </w:t>
      </w:r>
      <w:r w:rsidR="00D80132" w:rsidRPr="004D51F9">
        <w:rPr>
          <w:rFonts w:hint="cs"/>
          <w:rtl/>
        </w:rPr>
        <w:t xml:space="preserve">השונים </w:t>
      </w:r>
      <w:r w:rsidR="003E0E4B">
        <w:rPr>
          <w:rFonts w:hint="cs"/>
          <w:rtl/>
        </w:rPr>
        <w:t>שכלולים</w:t>
      </w:r>
      <w:r w:rsidR="003E0E4B" w:rsidRPr="004D51F9">
        <w:rPr>
          <w:rFonts w:hint="cs"/>
          <w:rtl/>
        </w:rPr>
        <w:t xml:space="preserve"> </w:t>
      </w:r>
      <w:r w:rsidR="00D80132" w:rsidRPr="004D51F9">
        <w:rPr>
          <w:rFonts w:hint="cs"/>
          <w:rtl/>
        </w:rPr>
        <w:t>בחשיפת האשראי לענף הבינוי והנדל"ן במערכת הבנקא</w:t>
      </w:r>
      <w:r w:rsidR="005B7E3F">
        <w:rPr>
          <w:rFonts w:hint="cs"/>
          <w:rtl/>
        </w:rPr>
        <w:t>ו</w:t>
      </w:r>
      <w:r w:rsidR="00D80132" w:rsidRPr="004D51F9">
        <w:rPr>
          <w:rFonts w:hint="cs"/>
          <w:rtl/>
        </w:rPr>
        <w:t>ת</w:t>
      </w:r>
      <w:r w:rsidR="00F326C2">
        <w:rPr>
          <w:rFonts w:hint="cs"/>
          <w:rtl/>
        </w:rPr>
        <w:t xml:space="preserve"> ובפרט </w:t>
      </w:r>
      <w:r w:rsidR="003E0E4B" w:rsidRPr="004D51F9">
        <w:rPr>
          <w:rFonts w:hint="cs"/>
          <w:rtl/>
        </w:rPr>
        <w:t>ב</w:t>
      </w:r>
      <w:r w:rsidR="003E0E4B">
        <w:rPr>
          <w:rFonts w:hint="cs"/>
          <w:rtl/>
        </w:rPr>
        <w:t>פלחי הענף</w:t>
      </w:r>
      <w:r w:rsidR="003E0E4B" w:rsidRPr="004D51F9">
        <w:rPr>
          <w:rFonts w:hint="cs"/>
          <w:rtl/>
        </w:rPr>
        <w:t xml:space="preserve"> </w:t>
      </w:r>
      <w:r w:rsidR="00D80132" w:rsidRPr="004D51F9">
        <w:rPr>
          <w:rFonts w:hint="cs"/>
          <w:rtl/>
        </w:rPr>
        <w:t>הבאים: פרוייקטים סגורים</w:t>
      </w:r>
      <w:r w:rsidR="00D80132">
        <w:rPr>
          <w:rFonts w:hint="cs"/>
          <w:rtl/>
        </w:rPr>
        <w:t xml:space="preserve"> לבנייה</w:t>
      </w:r>
      <w:r w:rsidR="003E0E4B">
        <w:rPr>
          <w:rFonts w:hint="cs"/>
          <w:rtl/>
        </w:rPr>
        <w:t xml:space="preserve">; </w:t>
      </w:r>
      <w:r w:rsidR="00D80132">
        <w:rPr>
          <w:rFonts w:hint="cs"/>
          <w:rtl/>
        </w:rPr>
        <w:t xml:space="preserve">נדל"ן מניב </w:t>
      </w:r>
      <w:r w:rsidR="00AB7EC2">
        <w:rPr>
          <w:rFonts w:hint="cs"/>
          <w:rtl/>
        </w:rPr>
        <w:t xml:space="preserve">בשלב ההנבה </w:t>
      </w:r>
      <w:r w:rsidR="001F23C8">
        <w:rPr>
          <w:rFonts w:hint="cs"/>
          <w:rtl/>
        </w:rPr>
        <w:t>(לאחר השלמת הבנייה)</w:t>
      </w:r>
      <w:r w:rsidR="003E0E4B">
        <w:rPr>
          <w:rFonts w:hint="cs"/>
          <w:rtl/>
        </w:rPr>
        <w:t>;</w:t>
      </w:r>
      <w:r w:rsidR="003E0E4B" w:rsidRPr="004D51F9">
        <w:rPr>
          <w:rFonts w:hint="cs"/>
          <w:rtl/>
        </w:rPr>
        <w:t xml:space="preserve"> </w:t>
      </w:r>
      <w:r w:rsidR="00D80132" w:rsidRPr="004D51F9">
        <w:rPr>
          <w:rFonts w:hint="cs"/>
          <w:rtl/>
        </w:rPr>
        <w:t xml:space="preserve">מימון </w:t>
      </w:r>
      <w:r w:rsidR="00AB7EC2">
        <w:rPr>
          <w:rFonts w:hint="cs"/>
          <w:rtl/>
        </w:rPr>
        <w:t>קרקעות</w:t>
      </w:r>
      <w:r w:rsidR="005B7E3F">
        <w:rPr>
          <w:rFonts w:hint="cs"/>
          <w:rtl/>
        </w:rPr>
        <w:t xml:space="preserve"> ו</w:t>
      </w:r>
      <w:r w:rsidR="00D80132" w:rsidRPr="004D51F9">
        <w:rPr>
          <w:rFonts w:hint="cs"/>
          <w:rtl/>
        </w:rPr>
        <w:t xml:space="preserve">אשראי </w:t>
      </w:r>
      <w:r w:rsidR="00AB7EC2">
        <w:rPr>
          <w:rFonts w:hint="cs"/>
          <w:rtl/>
        </w:rPr>
        <w:t>שאינו</w:t>
      </w:r>
      <w:r w:rsidR="003E0E4B" w:rsidRPr="004D51F9">
        <w:rPr>
          <w:rFonts w:hint="cs"/>
          <w:rtl/>
        </w:rPr>
        <w:t xml:space="preserve"> </w:t>
      </w:r>
      <w:r w:rsidR="00D80132" w:rsidRPr="004D51F9">
        <w:rPr>
          <w:rFonts w:hint="cs"/>
          <w:rtl/>
        </w:rPr>
        <w:t xml:space="preserve">מיועד למימון נכס </w:t>
      </w:r>
      <w:r w:rsidR="003E0E4B">
        <w:rPr>
          <w:rFonts w:hint="cs"/>
          <w:rtl/>
        </w:rPr>
        <w:t>ייחודי</w:t>
      </w:r>
      <w:r w:rsidR="00D80132" w:rsidRPr="004D51F9">
        <w:rPr>
          <w:rFonts w:hint="cs"/>
          <w:rtl/>
        </w:rPr>
        <w:t>.</w:t>
      </w:r>
    </w:p>
    <w:p w:rsidR="00AE2724" w:rsidRDefault="002118A7" w:rsidP="00AB7EC2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</w:pPr>
      <w:r>
        <w:rPr>
          <w:rFonts w:hint="cs"/>
          <w:rtl/>
        </w:rPr>
        <w:t xml:space="preserve">חשוב לציין </w:t>
      </w:r>
      <w:r w:rsidR="003E0E4B">
        <w:rPr>
          <w:rFonts w:hint="cs"/>
          <w:rtl/>
        </w:rPr>
        <w:t>ש</w:t>
      </w:r>
      <w:r>
        <w:rPr>
          <w:rFonts w:hint="cs"/>
          <w:rtl/>
        </w:rPr>
        <w:t xml:space="preserve">הסיכון בענף הבינוי והנדל"ן </w:t>
      </w:r>
      <w:r w:rsidR="003E0E4B">
        <w:rPr>
          <w:rFonts w:hint="cs"/>
          <w:rtl/>
        </w:rPr>
        <w:t xml:space="preserve">לא עשוי </w:t>
      </w:r>
      <w:r w:rsidR="00AE2724">
        <w:rPr>
          <w:rFonts w:hint="cs"/>
          <w:rtl/>
        </w:rPr>
        <w:t>מקשה אחת</w:t>
      </w:r>
      <w:r w:rsidR="005B7E3F">
        <w:rPr>
          <w:rFonts w:hint="cs"/>
          <w:rtl/>
        </w:rPr>
        <w:t xml:space="preserve"> ו</w:t>
      </w:r>
      <w:r>
        <w:rPr>
          <w:rFonts w:hint="cs"/>
          <w:rtl/>
        </w:rPr>
        <w:t xml:space="preserve">תלוי במידה רבה </w:t>
      </w:r>
      <w:r w:rsidR="003E0E4B">
        <w:rPr>
          <w:rFonts w:hint="cs"/>
          <w:rtl/>
        </w:rPr>
        <w:t xml:space="preserve">במשתנים </w:t>
      </w:r>
      <w:r w:rsidR="00AE2724">
        <w:rPr>
          <w:rFonts w:hint="cs"/>
          <w:rtl/>
        </w:rPr>
        <w:t>שונים ובכללם:</w:t>
      </w:r>
    </w:p>
    <w:p w:rsidR="00AE2724" w:rsidRDefault="00AE2724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>
        <w:rPr>
          <w:rFonts w:hint="cs"/>
          <w:rtl/>
        </w:rPr>
        <w:t>מטרת המימון ו</w:t>
      </w:r>
      <w:r w:rsidR="002118A7">
        <w:rPr>
          <w:rFonts w:hint="cs"/>
          <w:rtl/>
        </w:rPr>
        <w:t xml:space="preserve">שלב המימון </w:t>
      </w:r>
      <w:r>
        <w:rPr>
          <w:rtl/>
        </w:rPr>
        <w:t>–</w:t>
      </w:r>
      <w:r w:rsidR="00B43C5B">
        <w:rPr>
          <w:rFonts w:hint="cs"/>
          <w:rtl/>
        </w:rPr>
        <w:t xml:space="preserve"> </w:t>
      </w:r>
      <w:r w:rsidR="002118A7">
        <w:rPr>
          <w:rFonts w:hint="cs"/>
          <w:rtl/>
        </w:rPr>
        <w:t>מימון הקרקע</w:t>
      </w:r>
      <w:r w:rsidR="003E0E4B">
        <w:rPr>
          <w:rFonts w:hint="cs"/>
          <w:rtl/>
        </w:rPr>
        <w:t>;</w:t>
      </w:r>
      <w:r w:rsidR="002118A7">
        <w:rPr>
          <w:rFonts w:hint="cs"/>
          <w:rtl/>
        </w:rPr>
        <w:t xml:space="preserve"> מימון שלב </w:t>
      </w:r>
      <w:r>
        <w:rPr>
          <w:rFonts w:hint="cs"/>
          <w:rtl/>
        </w:rPr>
        <w:t>ה</w:t>
      </w:r>
      <w:r w:rsidR="002118A7">
        <w:rPr>
          <w:rFonts w:hint="cs"/>
          <w:rtl/>
        </w:rPr>
        <w:t>בנ</w:t>
      </w:r>
      <w:r w:rsidR="00510AA6">
        <w:rPr>
          <w:rFonts w:hint="cs"/>
          <w:rtl/>
        </w:rPr>
        <w:t>י</w:t>
      </w:r>
      <w:r w:rsidR="002118A7">
        <w:rPr>
          <w:rFonts w:hint="cs"/>
          <w:rtl/>
        </w:rPr>
        <w:t>יה</w:t>
      </w:r>
      <w:r w:rsidR="003E0E4B">
        <w:rPr>
          <w:rFonts w:hint="cs"/>
          <w:rtl/>
        </w:rPr>
        <w:t>;</w:t>
      </w:r>
      <w:r>
        <w:rPr>
          <w:rFonts w:hint="cs"/>
          <w:rtl/>
        </w:rPr>
        <w:t xml:space="preserve"> </w:t>
      </w:r>
      <w:r w:rsidR="002118A7">
        <w:rPr>
          <w:rFonts w:hint="cs"/>
          <w:rtl/>
        </w:rPr>
        <w:t>מימון הנכס בשלב ההנבה</w:t>
      </w:r>
      <w:r w:rsidR="003E0E4B">
        <w:rPr>
          <w:rFonts w:hint="cs"/>
          <w:rtl/>
        </w:rPr>
        <w:t>;</w:t>
      </w:r>
      <w:r w:rsidR="00EE6048">
        <w:rPr>
          <w:rFonts w:hint="cs"/>
          <w:rtl/>
        </w:rPr>
        <w:t xml:space="preserve"> </w:t>
      </w:r>
      <w:r>
        <w:rPr>
          <w:rFonts w:hint="cs"/>
          <w:rtl/>
        </w:rPr>
        <w:t>מימון הפעילות השוטפת של החברה</w:t>
      </w:r>
      <w:r w:rsidR="003E0E4B">
        <w:rPr>
          <w:rFonts w:hint="cs"/>
          <w:rtl/>
        </w:rPr>
        <w:t>;</w:t>
      </w:r>
      <w:r w:rsidR="00EE6048">
        <w:rPr>
          <w:rFonts w:hint="cs"/>
          <w:rtl/>
        </w:rPr>
        <w:t xml:space="preserve"> מימון הון עצמי</w:t>
      </w:r>
      <w:r w:rsidR="003E0E4B">
        <w:rPr>
          <w:rFonts w:hint="cs"/>
          <w:rtl/>
        </w:rPr>
        <w:t>;</w:t>
      </w:r>
      <w:r w:rsidR="00EE6048">
        <w:rPr>
          <w:rFonts w:hint="cs"/>
          <w:rtl/>
        </w:rPr>
        <w:t xml:space="preserve"> וכד'.</w:t>
      </w:r>
    </w:p>
    <w:p w:rsidR="00AE2724" w:rsidRDefault="002118A7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>
        <w:rPr>
          <w:rFonts w:hint="cs"/>
          <w:rtl/>
        </w:rPr>
        <w:t xml:space="preserve">ייעוד הנכס </w:t>
      </w:r>
      <w:r w:rsidR="00AE2724">
        <w:rPr>
          <w:rtl/>
        </w:rPr>
        <w:t>–</w:t>
      </w:r>
      <w:r w:rsidR="00AE2724">
        <w:rPr>
          <w:rFonts w:hint="cs"/>
          <w:rtl/>
        </w:rPr>
        <w:t xml:space="preserve"> למטרת </w:t>
      </w:r>
      <w:r>
        <w:rPr>
          <w:rFonts w:hint="cs"/>
          <w:rtl/>
        </w:rPr>
        <w:t>מגורים</w:t>
      </w:r>
      <w:r w:rsidR="003E0E4B">
        <w:rPr>
          <w:rFonts w:hint="cs"/>
          <w:rtl/>
        </w:rPr>
        <w:t>;</w:t>
      </w:r>
      <w:r>
        <w:rPr>
          <w:rFonts w:hint="cs"/>
          <w:rtl/>
        </w:rPr>
        <w:t xml:space="preserve"> מסחר</w:t>
      </w:r>
      <w:r w:rsidR="003E0E4B">
        <w:rPr>
          <w:rFonts w:hint="cs"/>
          <w:rtl/>
        </w:rPr>
        <w:t>;</w:t>
      </w:r>
      <w:r>
        <w:rPr>
          <w:rFonts w:hint="cs"/>
          <w:rtl/>
        </w:rPr>
        <w:t xml:space="preserve"> משרדים</w:t>
      </w:r>
      <w:r w:rsidR="003E0E4B">
        <w:rPr>
          <w:rFonts w:hint="cs"/>
          <w:rtl/>
        </w:rPr>
        <w:t>;</w:t>
      </w:r>
      <w:r>
        <w:rPr>
          <w:rFonts w:hint="cs"/>
          <w:rtl/>
        </w:rPr>
        <w:t xml:space="preserve"> תעש</w:t>
      </w:r>
      <w:r w:rsidR="003E0E4B">
        <w:rPr>
          <w:rFonts w:hint="cs"/>
          <w:rtl/>
        </w:rPr>
        <w:t>י</w:t>
      </w:r>
      <w:r>
        <w:rPr>
          <w:rFonts w:hint="cs"/>
          <w:rtl/>
        </w:rPr>
        <w:t>יה</w:t>
      </w:r>
      <w:r w:rsidR="003E0E4B">
        <w:rPr>
          <w:rFonts w:hint="cs"/>
          <w:rtl/>
        </w:rPr>
        <w:t>;</w:t>
      </w:r>
      <w:r w:rsidR="005F492C">
        <w:rPr>
          <w:rFonts w:hint="cs"/>
          <w:rtl/>
        </w:rPr>
        <w:t xml:space="preserve"> </w:t>
      </w:r>
      <w:r>
        <w:rPr>
          <w:rFonts w:hint="cs"/>
          <w:rtl/>
        </w:rPr>
        <w:t>לוגיסטיקה</w:t>
      </w:r>
      <w:r w:rsidR="003E0E4B">
        <w:rPr>
          <w:rFonts w:hint="cs"/>
          <w:rtl/>
        </w:rPr>
        <w:t>;</w:t>
      </w:r>
      <w:r>
        <w:rPr>
          <w:rFonts w:hint="cs"/>
          <w:rtl/>
        </w:rPr>
        <w:t xml:space="preserve"> </w:t>
      </w:r>
      <w:r w:rsidR="003E0E4B">
        <w:rPr>
          <w:rFonts w:hint="cs"/>
          <w:rtl/>
        </w:rPr>
        <w:t>מלונאות;</w:t>
      </w:r>
      <w:r w:rsidR="004C6B75">
        <w:rPr>
          <w:rFonts w:hint="cs"/>
          <w:rtl/>
        </w:rPr>
        <w:t xml:space="preserve"> תשתיות</w:t>
      </w:r>
      <w:r w:rsidR="003E0E4B">
        <w:rPr>
          <w:rFonts w:hint="cs"/>
          <w:rtl/>
        </w:rPr>
        <w:t>;</w:t>
      </w:r>
      <w:r>
        <w:rPr>
          <w:rFonts w:hint="cs"/>
          <w:rtl/>
        </w:rPr>
        <w:t xml:space="preserve"> וכד'</w:t>
      </w:r>
      <w:r w:rsidR="00AE2724">
        <w:rPr>
          <w:rFonts w:hint="cs"/>
          <w:rtl/>
        </w:rPr>
        <w:t>.</w:t>
      </w:r>
    </w:p>
    <w:p w:rsidR="00AE2724" w:rsidRDefault="002118A7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>
        <w:rPr>
          <w:rFonts w:hint="cs"/>
          <w:rtl/>
        </w:rPr>
        <w:t xml:space="preserve">מבנה האשראי </w:t>
      </w:r>
      <w:r w:rsidR="00AE2724">
        <w:rPr>
          <w:rtl/>
        </w:rPr>
        <w:t>–</w:t>
      </w:r>
      <w:r w:rsidR="00EE6048">
        <w:rPr>
          <w:rFonts w:hint="cs"/>
          <w:rtl/>
        </w:rPr>
        <w:t xml:space="preserve"> </w:t>
      </w:r>
      <w:r w:rsidR="00AB7EC2">
        <w:rPr>
          <w:rFonts w:hint="cs"/>
          <w:rtl/>
        </w:rPr>
        <w:t xml:space="preserve">מימון </w:t>
      </w:r>
      <w:r>
        <w:rPr>
          <w:rFonts w:hint="cs"/>
          <w:rtl/>
        </w:rPr>
        <w:t>פרוי</w:t>
      </w:r>
      <w:r w:rsidR="003E0E4B">
        <w:rPr>
          <w:rFonts w:hint="cs"/>
          <w:rtl/>
        </w:rPr>
        <w:t>י</w:t>
      </w:r>
      <w:r>
        <w:rPr>
          <w:rFonts w:hint="cs"/>
          <w:rtl/>
        </w:rPr>
        <w:t xml:space="preserve">קט </w:t>
      </w:r>
      <w:r w:rsidR="004C6B75">
        <w:rPr>
          <w:rFonts w:hint="cs"/>
          <w:rtl/>
        </w:rPr>
        <w:t>בליווי</w:t>
      </w:r>
      <w:r w:rsidR="00AB7EC2">
        <w:rPr>
          <w:rFonts w:hint="cs"/>
          <w:rtl/>
        </w:rPr>
        <w:t xml:space="preserve"> פיננסי</w:t>
      </w:r>
      <w:r w:rsidR="004C6B75">
        <w:rPr>
          <w:rFonts w:hint="cs"/>
          <w:rtl/>
        </w:rPr>
        <w:t xml:space="preserve"> </w:t>
      </w:r>
      <w:r>
        <w:rPr>
          <w:rFonts w:hint="cs"/>
          <w:rtl/>
        </w:rPr>
        <w:t>סגור</w:t>
      </w:r>
      <w:r w:rsidR="003E0E4B">
        <w:rPr>
          <w:rFonts w:hint="cs"/>
          <w:rtl/>
        </w:rPr>
        <w:t>;</w:t>
      </w:r>
      <w:r>
        <w:rPr>
          <w:rFonts w:hint="cs"/>
          <w:rtl/>
        </w:rPr>
        <w:t xml:space="preserve"> </w:t>
      </w:r>
      <w:r w:rsidR="005F492C">
        <w:rPr>
          <w:rFonts w:hint="cs"/>
          <w:rtl/>
        </w:rPr>
        <w:t>מימון שוטף ב</w:t>
      </w:r>
      <w:r>
        <w:rPr>
          <w:rFonts w:hint="cs"/>
          <w:rtl/>
        </w:rPr>
        <w:t>אמצעות מסגרות</w:t>
      </w:r>
      <w:r w:rsidR="003E0E4B">
        <w:rPr>
          <w:rFonts w:hint="cs"/>
          <w:rtl/>
        </w:rPr>
        <w:t>;</w:t>
      </w:r>
      <w:r w:rsidR="00AE2724">
        <w:rPr>
          <w:rFonts w:hint="cs"/>
          <w:rtl/>
        </w:rPr>
        <w:t xml:space="preserve"> </w:t>
      </w:r>
      <w:r>
        <w:rPr>
          <w:rFonts w:hint="cs"/>
          <w:rtl/>
        </w:rPr>
        <w:t>מימון ארוך טווח</w:t>
      </w:r>
      <w:r w:rsidR="003E0E4B">
        <w:rPr>
          <w:rFonts w:hint="cs"/>
          <w:rtl/>
        </w:rPr>
        <w:t>;</w:t>
      </w:r>
      <w:r w:rsidR="00EE6048">
        <w:rPr>
          <w:rFonts w:hint="cs"/>
          <w:rtl/>
        </w:rPr>
        <w:t xml:space="preserve"> מימון באמצעות ערבויות</w:t>
      </w:r>
      <w:r w:rsidR="003E0E4B">
        <w:rPr>
          <w:rFonts w:hint="cs"/>
          <w:rtl/>
        </w:rPr>
        <w:t>;</w:t>
      </w:r>
      <w:r w:rsidR="00EE6048">
        <w:rPr>
          <w:rFonts w:hint="cs"/>
          <w:rtl/>
        </w:rPr>
        <w:t xml:space="preserve"> </w:t>
      </w:r>
      <w:r w:rsidR="00AE2724">
        <w:rPr>
          <w:rFonts w:hint="cs"/>
          <w:rtl/>
        </w:rPr>
        <w:t>וכד'.</w:t>
      </w:r>
    </w:p>
    <w:p w:rsidR="00EE6048" w:rsidRDefault="00AE2724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>
        <w:rPr>
          <w:rFonts w:hint="cs"/>
          <w:rtl/>
        </w:rPr>
        <w:t>קיומ</w:t>
      </w:r>
      <w:r w:rsidR="00EE6048">
        <w:rPr>
          <w:rFonts w:hint="cs"/>
          <w:rtl/>
        </w:rPr>
        <w:t>ן</w:t>
      </w:r>
      <w:r>
        <w:rPr>
          <w:rFonts w:hint="cs"/>
          <w:rtl/>
        </w:rPr>
        <w:t xml:space="preserve"> של בטוחות וטיב הבטוחות</w:t>
      </w:r>
      <w:r w:rsidR="009012DD">
        <w:rPr>
          <w:rFonts w:hint="cs"/>
          <w:rtl/>
        </w:rPr>
        <w:t xml:space="preserve"> </w:t>
      </w:r>
      <w:r w:rsidR="009012DD">
        <w:rPr>
          <w:rtl/>
        </w:rPr>
        <w:t>–</w:t>
      </w:r>
      <w:r w:rsidR="009012DD">
        <w:rPr>
          <w:rFonts w:hint="cs"/>
          <w:rtl/>
        </w:rPr>
        <w:t xml:space="preserve"> </w:t>
      </w:r>
      <w:r w:rsidR="00EE6048">
        <w:rPr>
          <w:rFonts w:hint="cs"/>
          <w:rtl/>
        </w:rPr>
        <w:t>בטוחה שהיא נכס נדל"ן</w:t>
      </w:r>
      <w:r w:rsidR="003E0E4B">
        <w:rPr>
          <w:rFonts w:hint="cs"/>
          <w:rtl/>
        </w:rPr>
        <w:t>;</w:t>
      </w:r>
      <w:r w:rsidR="00EE6048">
        <w:rPr>
          <w:rFonts w:hint="cs"/>
          <w:rtl/>
        </w:rPr>
        <w:t xml:space="preserve"> בטוחות </w:t>
      </w:r>
      <w:r w:rsidR="00B43C5B">
        <w:rPr>
          <w:rFonts w:hint="cs"/>
          <w:rtl/>
        </w:rPr>
        <w:t>שאינן נכסי נדל"ן</w:t>
      </w:r>
      <w:r w:rsidR="00EE6048">
        <w:rPr>
          <w:rFonts w:hint="cs"/>
          <w:rtl/>
        </w:rPr>
        <w:t xml:space="preserve"> (כגון מניות או ני"ע)</w:t>
      </w:r>
      <w:r w:rsidR="003E0E4B" w:rsidRPr="003E0E4B">
        <w:rPr>
          <w:rFonts w:hint="cs"/>
          <w:rtl/>
        </w:rPr>
        <w:t xml:space="preserve"> </w:t>
      </w:r>
      <w:r w:rsidR="003E0E4B">
        <w:rPr>
          <w:rFonts w:hint="cs"/>
          <w:rtl/>
        </w:rPr>
        <w:t>;</w:t>
      </w:r>
      <w:r w:rsidR="00EE6048">
        <w:rPr>
          <w:rFonts w:hint="cs"/>
          <w:rtl/>
        </w:rPr>
        <w:t xml:space="preserve"> אשראי ללא בטו</w:t>
      </w:r>
      <w:r w:rsidR="003E0E4B">
        <w:rPr>
          <w:rFonts w:hint="cs"/>
          <w:rtl/>
        </w:rPr>
        <w:t>ח</w:t>
      </w:r>
      <w:r w:rsidR="00EE6048">
        <w:rPr>
          <w:rFonts w:hint="cs"/>
          <w:rtl/>
        </w:rPr>
        <w:t>ות</w:t>
      </w:r>
      <w:r w:rsidR="003E0E4B">
        <w:rPr>
          <w:rFonts w:hint="cs"/>
          <w:rtl/>
        </w:rPr>
        <w:t>;</w:t>
      </w:r>
      <w:r w:rsidR="00EE6048">
        <w:rPr>
          <w:rFonts w:hint="cs"/>
          <w:rtl/>
        </w:rPr>
        <w:t xml:space="preserve"> וכד'</w:t>
      </w:r>
    </w:p>
    <w:p w:rsidR="002118A7" w:rsidRDefault="005F492C" w:rsidP="00AB7EC2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>
        <w:rPr>
          <w:rFonts w:hint="cs"/>
          <w:rtl/>
        </w:rPr>
        <w:t xml:space="preserve">מדדי סיכון בנוגע לנכסים הממומנים </w:t>
      </w:r>
      <w:r w:rsidR="00EE6048">
        <w:rPr>
          <w:rtl/>
        </w:rPr>
        <w:t>–</w:t>
      </w:r>
      <w:r w:rsidR="00EE6048">
        <w:rPr>
          <w:rFonts w:hint="cs"/>
          <w:rtl/>
        </w:rPr>
        <w:t xml:space="preserve"> לכל </w:t>
      </w:r>
      <w:r w:rsidR="003E0E4B">
        <w:rPr>
          <w:rFonts w:hint="cs"/>
          <w:rtl/>
        </w:rPr>
        <w:t xml:space="preserve">פלח ענפי יש </w:t>
      </w:r>
      <w:r w:rsidR="00EE6048">
        <w:rPr>
          <w:rFonts w:hint="cs"/>
          <w:rtl/>
        </w:rPr>
        <w:t>מדדי סיכון אחרים כגון: כושר ספיגה</w:t>
      </w:r>
      <w:r w:rsidR="005B7E3F">
        <w:rPr>
          <w:rFonts w:hint="cs"/>
          <w:rtl/>
        </w:rPr>
        <w:t xml:space="preserve"> </w:t>
      </w:r>
      <w:r w:rsidR="00EE6048">
        <w:rPr>
          <w:rFonts w:hint="cs"/>
          <w:rtl/>
        </w:rPr>
        <w:t xml:space="preserve"> במימון פרוייקטים</w:t>
      </w:r>
      <w:r w:rsidR="003E0E4B">
        <w:rPr>
          <w:rFonts w:hint="cs"/>
          <w:rtl/>
        </w:rPr>
        <w:t>;</w:t>
      </w:r>
      <w:r w:rsidR="00EE6048">
        <w:rPr>
          <w:rFonts w:hint="cs"/>
          <w:rtl/>
        </w:rPr>
        <w:t xml:space="preserve"> פער בין </w:t>
      </w:r>
      <w:r w:rsidR="004C6B75">
        <w:rPr>
          <w:rFonts w:hint="cs"/>
          <w:rtl/>
        </w:rPr>
        <w:t>קצב ה</w:t>
      </w:r>
      <w:r w:rsidR="00EE6048">
        <w:rPr>
          <w:rFonts w:hint="cs"/>
          <w:rtl/>
        </w:rPr>
        <w:t>מכירות להתקדמות הבנ</w:t>
      </w:r>
      <w:r w:rsidR="00510AA6">
        <w:rPr>
          <w:rFonts w:hint="cs"/>
          <w:rtl/>
        </w:rPr>
        <w:t>י</w:t>
      </w:r>
      <w:r w:rsidR="00EE6048">
        <w:rPr>
          <w:rFonts w:hint="cs"/>
          <w:rtl/>
        </w:rPr>
        <w:t>יה</w:t>
      </w:r>
      <w:r w:rsidR="00B43C5B">
        <w:rPr>
          <w:rFonts w:hint="cs"/>
          <w:rtl/>
        </w:rPr>
        <w:t xml:space="preserve"> בפרוי</w:t>
      </w:r>
      <w:r w:rsidR="00A434E6">
        <w:rPr>
          <w:rFonts w:hint="cs"/>
          <w:rtl/>
        </w:rPr>
        <w:t>י</w:t>
      </w:r>
      <w:r w:rsidR="00B43C5B">
        <w:rPr>
          <w:rFonts w:hint="cs"/>
          <w:rtl/>
        </w:rPr>
        <w:t>קט</w:t>
      </w:r>
      <w:r w:rsidR="003E0E4B">
        <w:rPr>
          <w:rFonts w:hint="cs"/>
          <w:rtl/>
        </w:rPr>
        <w:t>; יחס חוב לבטוחה</w:t>
      </w:r>
      <w:r w:rsidR="00EE6048">
        <w:rPr>
          <w:rFonts w:hint="cs"/>
          <w:rtl/>
        </w:rPr>
        <w:t xml:space="preserve"> </w:t>
      </w:r>
      <w:r w:rsidR="003E0E4B">
        <w:rPr>
          <w:rFonts w:hint="cs"/>
          <w:rtl/>
        </w:rPr>
        <w:t>(</w:t>
      </w:r>
      <w:r w:rsidR="00EE6048">
        <w:rPr>
          <w:rFonts w:hint="cs"/>
        </w:rPr>
        <w:t>LTV</w:t>
      </w:r>
      <w:r w:rsidR="00BA6036">
        <w:rPr>
          <w:rFonts w:hint="cs"/>
          <w:rtl/>
        </w:rPr>
        <w:t>)</w:t>
      </w:r>
      <w:r w:rsidR="00EE6048">
        <w:rPr>
          <w:rFonts w:hint="cs"/>
          <w:rtl/>
        </w:rPr>
        <w:t xml:space="preserve"> במימון נכסים מניבים ו</w:t>
      </w:r>
      <w:r w:rsidR="00AB7EC2">
        <w:rPr>
          <w:rFonts w:hint="cs"/>
          <w:rtl/>
        </w:rPr>
        <w:t>קרקעות</w:t>
      </w:r>
      <w:r w:rsidR="00BA6036">
        <w:rPr>
          <w:rFonts w:hint="cs"/>
          <w:rtl/>
        </w:rPr>
        <w:t>;</w:t>
      </w:r>
      <w:r w:rsidR="00EE6048">
        <w:rPr>
          <w:rFonts w:hint="cs"/>
          <w:rtl/>
        </w:rPr>
        <w:t xml:space="preserve"> שיעורי תפוסה של נכסים מניבים</w:t>
      </w:r>
      <w:r w:rsidR="00BA6036">
        <w:rPr>
          <w:rFonts w:hint="cs"/>
          <w:rtl/>
        </w:rPr>
        <w:t>;</w:t>
      </w:r>
      <w:r w:rsidR="00EE6048">
        <w:rPr>
          <w:rFonts w:hint="cs"/>
          <w:rtl/>
        </w:rPr>
        <w:t xml:space="preserve"> גיל הקרקע</w:t>
      </w:r>
      <w:r w:rsidR="00BA6036">
        <w:rPr>
          <w:rFonts w:hint="cs"/>
          <w:rtl/>
        </w:rPr>
        <w:t>;</w:t>
      </w:r>
      <w:r w:rsidR="00EE6048">
        <w:rPr>
          <w:rFonts w:hint="cs"/>
          <w:rtl/>
        </w:rPr>
        <w:t xml:space="preserve"> פיזור גאוגרפי</w:t>
      </w:r>
      <w:r w:rsidR="00BA6036">
        <w:rPr>
          <w:rFonts w:hint="cs"/>
          <w:rtl/>
        </w:rPr>
        <w:t>;</w:t>
      </w:r>
      <w:r w:rsidR="00EE6048">
        <w:rPr>
          <w:rFonts w:hint="cs"/>
          <w:rtl/>
        </w:rPr>
        <w:t xml:space="preserve"> ועוד.</w:t>
      </w:r>
    </w:p>
    <w:p w:rsidR="00F42C60" w:rsidRDefault="0046749F" w:rsidP="00302FAF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before="240"/>
        <w:ind w:left="26"/>
        <w:rPr>
          <w:rtl/>
        </w:rPr>
      </w:pPr>
      <w:r>
        <w:rPr>
          <w:rFonts w:hint="cs"/>
          <w:rtl/>
        </w:rPr>
        <w:t xml:space="preserve">הניתוח </w:t>
      </w:r>
      <w:r w:rsidR="001F23C8">
        <w:rPr>
          <w:rFonts w:hint="cs"/>
          <w:rtl/>
        </w:rPr>
        <w:t>התבסס</w:t>
      </w:r>
      <w:r w:rsidR="00BA6036">
        <w:rPr>
          <w:rFonts w:hint="cs"/>
          <w:rtl/>
        </w:rPr>
        <w:t xml:space="preserve">  </w:t>
      </w:r>
      <w:r w:rsidR="002118A7">
        <w:rPr>
          <w:rFonts w:hint="cs"/>
          <w:rtl/>
        </w:rPr>
        <w:t xml:space="preserve">על נתונים פרטניים ייעודיים שהתקבלו מהבנקים בנוגע לאשראי </w:t>
      </w:r>
      <w:r w:rsidR="00BA6036">
        <w:rPr>
          <w:rFonts w:hint="cs"/>
          <w:rtl/>
        </w:rPr>
        <w:t xml:space="preserve">שמיועד </w:t>
      </w:r>
      <w:r w:rsidR="002118A7">
        <w:rPr>
          <w:rFonts w:hint="cs"/>
          <w:rtl/>
        </w:rPr>
        <w:t xml:space="preserve">למימון נכסים </w:t>
      </w:r>
      <w:r w:rsidR="00BA6036">
        <w:rPr>
          <w:rFonts w:hint="cs"/>
          <w:rtl/>
        </w:rPr>
        <w:t xml:space="preserve">ייחודיים </w:t>
      </w:r>
      <w:r w:rsidR="00F42C60">
        <w:rPr>
          <w:rFonts w:hint="cs"/>
          <w:rtl/>
        </w:rPr>
        <w:t>בענף הבינוי והנדל"ן</w:t>
      </w:r>
      <w:r w:rsidR="005B7E3F">
        <w:rPr>
          <w:rFonts w:hint="cs"/>
          <w:rtl/>
        </w:rPr>
        <w:t xml:space="preserve"> </w:t>
      </w:r>
      <w:r w:rsidR="00BA6036">
        <w:rPr>
          <w:rFonts w:hint="cs"/>
          <w:rtl/>
        </w:rPr>
        <w:t xml:space="preserve">ובחיתוך </w:t>
      </w:r>
      <w:r w:rsidR="002118A7">
        <w:rPr>
          <w:rFonts w:hint="cs"/>
          <w:rtl/>
        </w:rPr>
        <w:t>לפי ייעוד הנכס</w:t>
      </w:r>
      <w:r w:rsidR="00EE6048">
        <w:rPr>
          <w:rFonts w:hint="cs"/>
          <w:rtl/>
        </w:rPr>
        <w:t xml:space="preserve"> </w:t>
      </w:r>
      <w:r w:rsidR="00BA6036">
        <w:rPr>
          <w:rFonts w:hint="cs"/>
          <w:rtl/>
        </w:rPr>
        <w:t xml:space="preserve">הייחודי </w:t>
      </w:r>
      <w:r w:rsidR="002118A7">
        <w:rPr>
          <w:rFonts w:hint="cs"/>
          <w:rtl/>
        </w:rPr>
        <w:t xml:space="preserve">ולפי מדדי סיכון </w:t>
      </w:r>
      <w:r w:rsidR="00BA6036">
        <w:rPr>
          <w:rFonts w:hint="cs"/>
          <w:rtl/>
        </w:rPr>
        <w:t xml:space="preserve">שמתאימים </w:t>
      </w:r>
      <w:r w:rsidR="002118A7">
        <w:rPr>
          <w:rFonts w:hint="cs"/>
          <w:rtl/>
        </w:rPr>
        <w:t xml:space="preserve">למימון כל </w:t>
      </w:r>
      <w:r w:rsidR="00BA6036">
        <w:rPr>
          <w:rFonts w:hint="cs"/>
          <w:rtl/>
        </w:rPr>
        <w:t xml:space="preserve">פלח </w:t>
      </w:r>
      <w:r w:rsidR="002118A7">
        <w:rPr>
          <w:rFonts w:hint="cs"/>
          <w:rtl/>
        </w:rPr>
        <w:t>אשראי</w:t>
      </w:r>
      <w:r w:rsidR="002118A7" w:rsidRPr="00162857">
        <w:rPr>
          <w:vertAlign w:val="superscript"/>
          <w:rtl/>
        </w:rPr>
        <w:footnoteReference w:id="4"/>
      </w:r>
      <w:r w:rsidR="002118A7">
        <w:rPr>
          <w:rFonts w:hint="cs"/>
          <w:rtl/>
        </w:rPr>
        <w:t>.</w:t>
      </w:r>
      <w:r w:rsidR="00F42C60">
        <w:rPr>
          <w:rFonts w:hint="cs"/>
          <w:rtl/>
        </w:rPr>
        <w:t xml:space="preserve"> </w:t>
      </w:r>
      <w:r w:rsidR="00D80132" w:rsidRPr="00F42C60">
        <w:rPr>
          <w:rFonts w:hint="cs"/>
          <w:rtl/>
        </w:rPr>
        <w:t xml:space="preserve">מדדי הסיכון הנבחרים </w:t>
      </w:r>
      <w:r w:rsidR="00BA6036">
        <w:rPr>
          <w:rFonts w:hint="cs"/>
          <w:rtl/>
        </w:rPr>
        <w:t xml:space="preserve">מספקים סמן </w:t>
      </w:r>
      <w:r w:rsidR="00F42C60">
        <w:rPr>
          <w:rFonts w:hint="cs"/>
          <w:rtl/>
        </w:rPr>
        <w:t xml:space="preserve">ראשוני לכל </w:t>
      </w:r>
      <w:r w:rsidR="00BA6036">
        <w:rPr>
          <w:rFonts w:hint="cs"/>
          <w:rtl/>
        </w:rPr>
        <w:t xml:space="preserve">פלח </w:t>
      </w:r>
      <w:r w:rsidR="009012DD">
        <w:rPr>
          <w:rFonts w:hint="cs"/>
          <w:rtl/>
        </w:rPr>
        <w:t>- הן</w:t>
      </w:r>
      <w:r w:rsidR="00D80132" w:rsidRPr="00F42C60">
        <w:rPr>
          <w:rFonts w:hint="cs"/>
          <w:rtl/>
        </w:rPr>
        <w:t xml:space="preserve"> ל</w:t>
      </w:r>
      <w:r w:rsidR="004459F3">
        <w:rPr>
          <w:rFonts w:hint="cs"/>
          <w:rtl/>
        </w:rPr>
        <w:t xml:space="preserve">גבי </w:t>
      </w:r>
      <w:r w:rsidR="00BA6036">
        <w:rPr>
          <w:rFonts w:hint="cs"/>
          <w:rtl/>
        </w:rPr>
        <w:t xml:space="preserve">רמת </w:t>
      </w:r>
      <w:r w:rsidR="00F42C60">
        <w:rPr>
          <w:rFonts w:hint="cs"/>
          <w:rtl/>
        </w:rPr>
        <w:t>סיכון האשראי ה</w:t>
      </w:r>
      <w:r w:rsidR="00D80132" w:rsidRPr="00F42C60">
        <w:rPr>
          <w:rFonts w:hint="cs"/>
          <w:rtl/>
        </w:rPr>
        <w:t>ממוצע</w:t>
      </w:r>
      <w:r w:rsidR="00BA6036">
        <w:rPr>
          <w:rFonts w:hint="cs"/>
          <w:rtl/>
        </w:rPr>
        <w:t>ת</w:t>
      </w:r>
      <w:r w:rsidR="00D80132" w:rsidRPr="00F42C60">
        <w:rPr>
          <w:rFonts w:hint="cs"/>
          <w:rtl/>
        </w:rPr>
        <w:t xml:space="preserve"> </w:t>
      </w:r>
      <w:r w:rsidR="00BA6036">
        <w:rPr>
          <w:rFonts w:hint="cs"/>
          <w:rtl/>
        </w:rPr>
        <w:t xml:space="preserve">בפלח </w:t>
      </w:r>
      <w:r w:rsidR="00F42C60">
        <w:rPr>
          <w:rFonts w:hint="cs"/>
          <w:rtl/>
        </w:rPr>
        <w:t>ו</w:t>
      </w:r>
      <w:r w:rsidR="009012DD">
        <w:rPr>
          <w:rFonts w:hint="cs"/>
          <w:rtl/>
        </w:rPr>
        <w:t xml:space="preserve">הן </w:t>
      </w:r>
      <w:r w:rsidR="006B5E8B">
        <w:rPr>
          <w:rFonts w:hint="cs"/>
          <w:rtl/>
        </w:rPr>
        <w:t xml:space="preserve">לגבי </w:t>
      </w:r>
      <w:r w:rsidR="00BA6036">
        <w:rPr>
          <w:rFonts w:hint="cs"/>
          <w:rtl/>
        </w:rPr>
        <w:t xml:space="preserve">רמת </w:t>
      </w:r>
      <w:r w:rsidR="006B5E8B">
        <w:rPr>
          <w:rFonts w:hint="cs"/>
          <w:rtl/>
        </w:rPr>
        <w:t>ה</w:t>
      </w:r>
      <w:r w:rsidR="00F42C60">
        <w:rPr>
          <w:rFonts w:hint="cs"/>
          <w:rtl/>
        </w:rPr>
        <w:t>סיכון המוגבר</w:t>
      </w:r>
      <w:r w:rsidR="00302FAF">
        <w:rPr>
          <w:rFonts w:hint="cs"/>
          <w:rtl/>
        </w:rPr>
        <w:t>ת</w:t>
      </w:r>
      <w:r w:rsidR="00302FAF" w:rsidRPr="00302FAF">
        <w:rPr>
          <w:vertAlign w:val="superscript"/>
          <w:rtl/>
        </w:rPr>
        <w:fldChar w:fldCharType="begin"/>
      </w:r>
      <w:r w:rsidR="00302FAF" w:rsidRPr="00302FAF">
        <w:rPr>
          <w:vertAlign w:val="superscript"/>
          <w:rtl/>
        </w:rPr>
        <w:instrText xml:space="preserve"> </w:instrText>
      </w:r>
      <w:r w:rsidR="00302FAF" w:rsidRPr="00302FAF">
        <w:rPr>
          <w:vertAlign w:val="superscript"/>
        </w:rPr>
        <w:instrText>NOTEREF</w:instrText>
      </w:r>
      <w:r w:rsidR="00302FAF" w:rsidRPr="00302FAF">
        <w:rPr>
          <w:vertAlign w:val="superscript"/>
          <w:rtl/>
        </w:rPr>
        <w:instrText xml:space="preserve"> _</w:instrText>
      </w:r>
      <w:r w:rsidR="00302FAF" w:rsidRPr="00302FAF">
        <w:rPr>
          <w:vertAlign w:val="superscript"/>
        </w:rPr>
        <w:instrText>Ref71539717 \h</w:instrText>
      </w:r>
      <w:r w:rsidR="00302FAF" w:rsidRPr="00302FAF">
        <w:rPr>
          <w:vertAlign w:val="superscript"/>
          <w:rtl/>
        </w:rPr>
        <w:instrText xml:space="preserve"> </w:instrText>
      </w:r>
      <w:r w:rsidR="00302FAF">
        <w:rPr>
          <w:vertAlign w:val="superscript"/>
          <w:rtl/>
        </w:rPr>
        <w:instrText xml:space="preserve"> \* </w:instrText>
      </w:r>
      <w:r w:rsidR="00302FAF">
        <w:rPr>
          <w:vertAlign w:val="superscript"/>
        </w:rPr>
        <w:instrText>MERGEFORMAT</w:instrText>
      </w:r>
      <w:r w:rsidR="00302FAF">
        <w:rPr>
          <w:vertAlign w:val="superscript"/>
          <w:rtl/>
        </w:rPr>
        <w:instrText xml:space="preserve"> </w:instrText>
      </w:r>
      <w:r w:rsidR="00302FAF" w:rsidRPr="00302FAF">
        <w:rPr>
          <w:vertAlign w:val="superscript"/>
          <w:rtl/>
        </w:rPr>
      </w:r>
      <w:r w:rsidR="00302FAF" w:rsidRPr="00302FAF">
        <w:rPr>
          <w:vertAlign w:val="superscript"/>
          <w:rtl/>
        </w:rPr>
        <w:fldChar w:fldCharType="separate"/>
      </w:r>
      <w:r w:rsidR="006A1899">
        <w:rPr>
          <w:vertAlign w:val="superscript"/>
          <w:rtl/>
        </w:rPr>
        <w:t>1</w:t>
      </w:r>
      <w:r w:rsidR="00302FAF" w:rsidRPr="00302FAF">
        <w:rPr>
          <w:vertAlign w:val="superscript"/>
          <w:rtl/>
        </w:rPr>
        <w:fldChar w:fldCharType="end"/>
      </w:r>
      <w:r w:rsidR="00F42C60">
        <w:rPr>
          <w:rFonts w:hint="cs"/>
          <w:rtl/>
        </w:rPr>
        <w:t>.</w:t>
      </w:r>
    </w:p>
    <w:p w:rsidR="00B9409A" w:rsidRPr="00B9409A" w:rsidRDefault="00B9409A" w:rsidP="00357BAA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0"/>
          <w:szCs w:val="20"/>
          <w:u w:val="single"/>
          <w:rtl/>
        </w:rPr>
      </w:pPr>
    </w:p>
    <w:p w:rsidR="00357BAA" w:rsidRDefault="00357BAA" w:rsidP="00357BAA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  <w:rtl/>
        </w:rPr>
      </w:pPr>
      <w:r w:rsidRPr="00357BAA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t>היקף החשיפה</w:t>
      </w:r>
    </w:p>
    <w:p w:rsidR="004D51F9" w:rsidRPr="0058348E" w:rsidRDefault="00AB1A78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</w:pPr>
      <w:bookmarkStart w:id="12" w:name="_Toc33371549"/>
      <w:bookmarkStart w:id="13" w:name="_Toc28798788"/>
      <w:bookmarkStart w:id="14" w:name="_Toc17812803"/>
      <w:bookmarkEnd w:id="9"/>
      <w:bookmarkEnd w:id="10"/>
      <w:r w:rsidRPr="0058348E">
        <w:rPr>
          <w:rFonts w:hint="cs"/>
          <w:rtl/>
        </w:rPr>
        <w:t>האשראי שנבחן</w:t>
      </w:r>
      <w:r w:rsidR="004D51F9" w:rsidRPr="0058348E">
        <w:rPr>
          <w:rFonts w:hint="cs"/>
          <w:rtl/>
        </w:rPr>
        <w:t xml:space="preserve"> בסקירה זו </w:t>
      </w:r>
      <w:r w:rsidRPr="0058348E">
        <w:rPr>
          <w:rFonts w:hint="cs"/>
          <w:rtl/>
        </w:rPr>
        <w:t>נותח על בסיס</w:t>
      </w:r>
      <w:r w:rsidR="004D51F9" w:rsidRPr="0058348E">
        <w:rPr>
          <w:rFonts w:hint="cs"/>
          <w:rtl/>
        </w:rPr>
        <w:t xml:space="preserve"> מידע ייעודי</w:t>
      </w:r>
      <w:r w:rsidR="006B77D9" w:rsidRPr="0058348E">
        <w:rPr>
          <w:rFonts w:hint="cs"/>
          <w:rtl/>
        </w:rPr>
        <w:t xml:space="preserve"> </w:t>
      </w:r>
      <w:r w:rsidR="00BA6036">
        <w:rPr>
          <w:rFonts w:hint="cs"/>
          <w:rtl/>
        </w:rPr>
        <w:t>ש</w:t>
      </w:r>
      <w:r w:rsidR="004D51F9" w:rsidRPr="0058348E">
        <w:rPr>
          <w:rFonts w:hint="cs"/>
          <w:rtl/>
        </w:rPr>
        <w:t xml:space="preserve">מתייחס לכ-300 מיליארד </w:t>
      </w:r>
      <w:r w:rsidR="00977CC5">
        <w:rPr>
          <w:rFonts w:hint="cs"/>
          <w:rtl/>
        </w:rPr>
        <w:t>ש</w:t>
      </w:r>
      <w:r w:rsidR="00BA6036">
        <w:rPr>
          <w:rFonts w:hint="cs"/>
          <w:rtl/>
        </w:rPr>
        <w:t>"</w:t>
      </w:r>
      <w:r w:rsidR="00977CC5">
        <w:rPr>
          <w:rFonts w:hint="cs"/>
          <w:rtl/>
        </w:rPr>
        <w:t>ח</w:t>
      </w:r>
      <w:r w:rsidR="006B77D9" w:rsidRPr="0058348E">
        <w:rPr>
          <w:rFonts w:hint="cs"/>
          <w:rtl/>
        </w:rPr>
        <w:t xml:space="preserve"> (לפני שקלול נכסי סיכון</w:t>
      </w:r>
      <w:r w:rsidR="006B77D9" w:rsidRPr="00162857">
        <w:rPr>
          <w:vertAlign w:val="superscript"/>
          <w:rtl/>
        </w:rPr>
        <w:footnoteReference w:id="5"/>
      </w:r>
      <w:r w:rsidR="006B77D9" w:rsidRPr="0058348E">
        <w:rPr>
          <w:rFonts w:hint="cs"/>
          <w:rtl/>
        </w:rPr>
        <w:t>)</w:t>
      </w:r>
      <w:r w:rsidR="00BA6036">
        <w:rPr>
          <w:rFonts w:hint="cs"/>
          <w:rtl/>
        </w:rPr>
        <w:t>,</w:t>
      </w:r>
      <w:r w:rsidR="004D51F9" w:rsidRPr="0058348E">
        <w:rPr>
          <w:rFonts w:hint="cs"/>
          <w:rtl/>
        </w:rPr>
        <w:t xml:space="preserve"> ש</w:t>
      </w:r>
      <w:r w:rsidR="00BA6036">
        <w:rPr>
          <w:rFonts w:hint="cs"/>
          <w:rtl/>
        </w:rPr>
        <w:t>ל</w:t>
      </w:r>
      <w:r w:rsidR="004D51F9" w:rsidRPr="0058348E">
        <w:rPr>
          <w:rFonts w:hint="cs"/>
          <w:rtl/>
        </w:rPr>
        <w:t xml:space="preserve">פי אומדן משוער </w:t>
      </w:r>
      <w:r w:rsidR="00BA6036" w:rsidRPr="004D51F9">
        <w:rPr>
          <w:rFonts w:hint="cs"/>
          <w:rtl/>
        </w:rPr>
        <w:t>מהווה</w:t>
      </w:r>
      <w:r w:rsidR="00BA6036" w:rsidRPr="00510AA6">
        <w:rPr>
          <w:rFonts w:hint="cs"/>
          <w:rtl/>
        </w:rPr>
        <w:t xml:space="preserve"> </w:t>
      </w:r>
      <w:r w:rsidR="00BA6036">
        <w:rPr>
          <w:rFonts w:hint="cs"/>
          <w:rtl/>
        </w:rPr>
        <w:t>בחמשת הבנקים הגדולים, נכון ליום 30 ביוני 2020,</w:t>
      </w:r>
      <w:r w:rsidR="004D51F9" w:rsidRPr="0058348E">
        <w:rPr>
          <w:rFonts w:hint="cs"/>
          <w:rtl/>
        </w:rPr>
        <w:t xml:space="preserve"> כ</w:t>
      </w:r>
      <w:r w:rsidR="00BA6036">
        <w:rPr>
          <w:rFonts w:hint="cs"/>
          <w:rtl/>
        </w:rPr>
        <w:t>-</w:t>
      </w:r>
      <w:r w:rsidR="004D51F9" w:rsidRPr="0058348E">
        <w:rPr>
          <w:rFonts w:hint="cs"/>
          <w:rtl/>
        </w:rPr>
        <w:t>85%-90%</w:t>
      </w:r>
      <w:r w:rsidRPr="0058348E">
        <w:rPr>
          <w:rFonts w:hint="cs"/>
          <w:rtl/>
        </w:rPr>
        <w:t xml:space="preserve"> מהאשראי לענף</w:t>
      </w:r>
      <w:r w:rsidR="006B77D9" w:rsidRPr="0058348E">
        <w:rPr>
          <w:rFonts w:hint="cs"/>
          <w:rtl/>
        </w:rPr>
        <w:t xml:space="preserve">. </w:t>
      </w:r>
      <w:r w:rsidR="00BA6036">
        <w:rPr>
          <w:rFonts w:hint="cs"/>
          <w:rtl/>
        </w:rPr>
        <w:t xml:space="preserve">האשראי נבחן לפי החתכים שלו בפלחי הענף השונים ולפי מדדי סיכון מתאימים לכל פלח, </w:t>
      </w:r>
      <w:r w:rsidR="006B77D9" w:rsidRPr="0058348E">
        <w:rPr>
          <w:rFonts w:hint="cs"/>
          <w:rtl/>
        </w:rPr>
        <w:t>כמפורט בהמשך.</w:t>
      </w:r>
    </w:p>
    <w:p w:rsidR="00B9409A" w:rsidRDefault="00220F3F" w:rsidP="00426C4F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rPr>
          <w:rtl/>
        </w:rPr>
      </w:pPr>
      <w:r w:rsidRPr="0058348E">
        <w:rPr>
          <w:rFonts w:hint="cs"/>
          <w:rtl/>
        </w:rPr>
        <w:t xml:space="preserve">הטבלה </w:t>
      </w:r>
      <w:r w:rsidR="00BF3009">
        <w:rPr>
          <w:rFonts w:hint="cs"/>
          <w:rtl/>
        </w:rPr>
        <w:t>ש</w:t>
      </w:r>
      <w:r w:rsidRPr="0058348E">
        <w:rPr>
          <w:rFonts w:hint="cs"/>
          <w:rtl/>
        </w:rPr>
        <w:t xml:space="preserve">להלן מסכמת את היקף החשיפה של האשראי שנבחן בכל </w:t>
      </w:r>
      <w:r w:rsidR="00AB4C23">
        <w:rPr>
          <w:rFonts w:hint="cs"/>
          <w:rtl/>
        </w:rPr>
        <w:t>פלח ענפי</w:t>
      </w:r>
      <w:r w:rsidRPr="0058348E">
        <w:rPr>
          <w:rFonts w:hint="cs"/>
          <w:rtl/>
        </w:rPr>
        <w:t>, לצד אומדן איכותי ל</w:t>
      </w:r>
      <w:r w:rsidR="00AB4C23">
        <w:rPr>
          <w:rFonts w:hint="cs"/>
          <w:rtl/>
        </w:rPr>
        <w:t xml:space="preserve">רמת </w:t>
      </w:r>
      <w:r w:rsidR="00866172">
        <w:rPr>
          <w:rFonts w:hint="cs"/>
          <w:rtl/>
        </w:rPr>
        <w:t>ה</w:t>
      </w:r>
      <w:r w:rsidRPr="0058348E">
        <w:rPr>
          <w:rFonts w:hint="cs"/>
          <w:rtl/>
        </w:rPr>
        <w:t xml:space="preserve">סיכון </w:t>
      </w:r>
      <w:r w:rsidR="00866172">
        <w:rPr>
          <w:rFonts w:hint="cs"/>
          <w:rtl/>
        </w:rPr>
        <w:t>ש</w:t>
      </w:r>
      <w:r w:rsidR="00AB4C23" w:rsidRPr="0058348E">
        <w:rPr>
          <w:rFonts w:hint="cs"/>
          <w:rtl/>
        </w:rPr>
        <w:t>מוער</w:t>
      </w:r>
      <w:r w:rsidR="00AB4C23">
        <w:rPr>
          <w:rFonts w:hint="cs"/>
          <w:rtl/>
        </w:rPr>
        <w:t>כת</w:t>
      </w:r>
      <w:r w:rsidR="00AB4C23" w:rsidRPr="0058348E">
        <w:rPr>
          <w:rFonts w:hint="cs"/>
          <w:rtl/>
        </w:rPr>
        <w:t xml:space="preserve"> </w:t>
      </w:r>
      <w:r w:rsidRPr="0058348E">
        <w:rPr>
          <w:rFonts w:hint="cs"/>
          <w:rtl/>
        </w:rPr>
        <w:t xml:space="preserve">על ידי הפיקוח על הבנקים. </w:t>
      </w:r>
      <w:r w:rsidR="00B9409A">
        <w:rPr>
          <w:rFonts w:hint="cs"/>
          <w:rtl/>
        </w:rPr>
        <w:t>לפי</w:t>
      </w:r>
      <w:r w:rsidR="00B9409A" w:rsidRPr="0058348E">
        <w:rPr>
          <w:rFonts w:hint="cs"/>
          <w:rtl/>
        </w:rPr>
        <w:t xml:space="preserve"> הערכה זו, </w:t>
      </w:r>
      <w:r w:rsidR="009132B6">
        <w:rPr>
          <w:rFonts w:hint="cs"/>
          <w:rtl/>
        </w:rPr>
        <w:t xml:space="preserve">רמת </w:t>
      </w:r>
      <w:r w:rsidR="009132B6" w:rsidRPr="0058348E">
        <w:rPr>
          <w:rFonts w:hint="cs"/>
          <w:rtl/>
        </w:rPr>
        <w:t xml:space="preserve">הסיכון הממוצעת של האשראי </w:t>
      </w:r>
      <w:r w:rsidR="009132B6">
        <w:rPr>
          <w:rFonts w:hint="cs"/>
          <w:rtl/>
        </w:rPr>
        <w:t>שנבחן</w:t>
      </w:r>
      <w:r w:rsidR="009132B6" w:rsidRPr="0058348E">
        <w:rPr>
          <w:rFonts w:hint="cs"/>
          <w:rtl/>
        </w:rPr>
        <w:t xml:space="preserve"> אינה גבוהה ומוערכת ב</w:t>
      </w:r>
      <w:r w:rsidR="009132B6">
        <w:rPr>
          <w:rFonts w:hint="cs"/>
          <w:rtl/>
        </w:rPr>
        <w:t xml:space="preserve">רמת </w:t>
      </w:r>
      <w:r w:rsidR="009132B6" w:rsidRPr="0058348E">
        <w:rPr>
          <w:rFonts w:hint="cs"/>
          <w:rtl/>
        </w:rPr>
        <w:t>סיכון נמו</w:t>
      </w:r>
      <w:r w:rsidR="009132B6">
        <w:rPr>
          <w:rFonts w:hint="cs"/>
          <w:rtl/>
        </w:rPr>
        <w:t>כה־</w:t>
      </w:r>
      <w:r w:rsidR="009132B6" w:rsidRPr="0058348E">
        <w:rPr>
          <w:rFonts w:hint="cs"/>
          <w:rtl/>
        </w:rPr>
        <w:t>בינוני</w:t>
      </w:r>
      <w:r w:rsidR="009132B6">
        <w:rPr>
          <w:rFonts w:hint="cs"/>
          <w:rtl/>
        </w:rPr>
        <w:t>ת.</w:t>
      </w:r>
      <w:r w:rsidR="00B9409A">
        <w:rPr>
          <w:rFonts w:hint="cs"/>
          <w:rtl/>
        </w:rPr>
        <w:t xml:space="preserve"> </w:t>
      </w:r>
      <w:r w:rsidR="00B9409A" w:rsidRPr="0058348E">
        <w:rPr>
          <w:rFonts w:hint="cs"/>
          <w:rtl/>
        </w:rPr>
        <w:t xml:space="preserve">רכיבי האשראי </w:t>
      </w:r>
      <w:r w:rsidR="00B9409A">
        <w:rPr>
          <w:rFonts w:hint="cs"/>
          <w:rtl/>
        </w:rPr>
        <w:t>עם רמות</w:t>
      </w:r>
      <w:r w:rsidR="00B9409A" w:rsidRPr="0058348E">
        <w:rPr>
          <w:rFonts w:hint="cs"/>
          <w:rtl/>
        </w:rPr>
        <w:t xml:space="preserve"> סיכון מוגבר</w:t>
      </w:r>
      <w:r w:rsidR="00B9409A">
        <w:rPr>
          <w:rFonts w:hint="cs"/>
          <w:rtl/>
        </w:rPr>
        <w:t>ות</w:t>
      </w:r>
      <w:r w:rsidR="00B9409A" w:rsidRPr="00B9409A">
        <w:rPr>
          <w:vertAlign w:val="superscript"/>
          <w:rtl/>
        </w:rPr>
        <w:fldChar w:fldCharType="begin"/>
      </w:r>
      <w:r w:rsidR="00B9409A" w:rsidRPr="00B9409A">
        <w:rPr>
          <w:vertAlign w:val="superscript"/>
          <w:rtl/>
        </w:rPr>
        <w:instrText xml:space="preserve"> </w:instrText>
      </w:r>
      <w:r w:rsidR="00B9409A" w:rsidRPr="00B9409A">
        <w:rPr>
          <w:rFonts w:hint="cs"/>
          <w:vertAlign w:val="superscript"/>
        </w:rPr>
        <w:instrText>NOTEREF</w:instrText>
      </w:r>
      <w:r w:rsidR="00B9409A" w:rsidRPr="00B9409A">
        <w:rPr>
          <w:rFonts w:hint="cs"/>
          <w:vertAlign w:val="superscript"/>
          <w:rtl/>
        </w:rPr>
        <w:instrText xml:space="preserve"> _</w:instrText>
      </w:r>
      <w:r w:rsidR="00B9409A" w:rsidRPr="00B9409A">
        <w:rPr>
          <w:rFonts w:hint="cs"/>
          <w:vertAlign w:val="superscript"/>
        </w:rPr>
        <w:instrText>Ref71539717 \h</w:instrText>
      </w:r>
      <w:r w:rsidR="00B9409A" w:rsidRPr="00B9409A">
        <w:rPr>
          <w:vertAlign w:val="superscript"/>
          <w:rtl/>
        </w:rPr>
        <w:instrText xml:space="preserve"> </w:instrText>
      </w:r>
      <w:r w:rsidR="00B9409A">
        <w:rPr>
          <w:vertAlign w:val="superscript"/>
          <w:rtl/>
        </w:rPr>
        <w:instrText xml:space="preserve"> \* </w:instrText>
      </w:r>
      <w:r w:rsidR="00B9409A">
        <w:rPr>
          <w:vertAlign w:val="superscript"/>
        </w:rPr>
        <w:instrText>MERGEFORMAT</w:instrText>
      </w:r>
      <w:r w:rsidR="00B9409A">
        <w:rPr>
          <w:vertAlign w:val="superscript"/>
          <w:rtl/>
        </w:rPr>
        <w:instrText xml:space="preserve"> </w:instrText>
      </w:r>
      <w:r w:rsidR="00B9409A" w:rsidRPr="00B9409A">
        <w:rPr>
          <w:vertAlign w:val="superscript"/>
          <w:rtl/>
        </w:rPr>
      </w:r>
      <w:r w:rsidR="00B9409A" w:rsidRPr="00B9409A">
        <w:rPr>
          <w:vertAlign w:val="superscript"/>
          <w:rtl/>
        </w:rPr>
        <w:fldChar w:fldCharType="separate"/>
      </w:r>
      <w:r w:rsidR="006A1899">
        <w:rPr>
          <w:vertAlign w:val="superscript"/>
          <w:rtl/>
        </w:rPr>
        <w:t>1</w:t>
      </w:r>
      <w:r w:rsidR="00B9409A" w:rsidRPr="00B9409A">
        <w:rPr>
          <w:vertAlign w:val="superscript"/>
          <w:rtl/>
        </w:rPr>
        <w:fldChar w:fldCharType="end"/>
      </w:r>
      <w:r w:rsidR="00B9409A" w:rsidRPr="0058348E">
        <w:rPr>
          <w:rFonts w:hint="cs"/>
          <w:rtl/>
        </w:rPr>
        <w:t xml:space="preserve"> נאמדים בכ-</w:t>
      </w:r>
      <w:r w:rsidR="00426C4F">
        <w:rPr>
          <w:rFonts w:hint="cs"/>
          <w:rtl/>
        </w:rPr>
        <w:t>32</w:t>
      </w:r>
      <w:r w:rsidR="00B9409A" w:rsidRPr="0058348E">
        <w:rPr>
          <w:rFonts w:hint="cs"/>
          <w:rtl/>
        </w:rPr>
        <w:t xml:space="preserve"> מיליארד </w:t>
      </w:r>
      <w:r w:rsidR="00B9409A">
        <w:rPr>
          <w:rFonts w:hint="cs"/>
          <w:rtl/>
        </w:rPr>
        <w:t>ש"ח</w:t>
      </w:r>
      <w:r w:rsidR="00B9409A" w:rsidRPr="0058348E">
        <w:rPr>
          <w:rFonts w:hint="cs"/>
          <w:rtl/>
        </w:rPr>
        <w:t xml:space="preserve"> (אומדן משוער) </w:t>
      </w:r>
      <w:r w:rsidR="00B9409A">
        <w:rPr>
          <w:rFonts w:hint="cs"/>
          <w:rtl/>
        </w:rPr>
        <w:t>שהם</w:t>
      </w:r>
      <w:r w:rsidR="00B9409A" w:rsidRPr="0058348E">
        <w:rPr>
          <w:rFonts w:hint="cs"/>
          <w:rtl/>
        </w:rPr>
        <w:t xml:space="preserve"> כ</w:t>
      </w:r>
      <w:r w:rsidR="00B9409A">
        <w:rPr>
          <w:rFonts w:hint="cs"/>
          <w:rtl/>
        </w:rPr>
        <w:t>-</w:t>
      </w:r>
      <w:r w:rsidR="00426C4F">
        <w:rPr>
          <w:rFonts w:hint="cs"/>
          <w:rtl/>
        </w:rPr>
        <w:t>11</w:t>
      </w:r>
      <w:r w:rsidR="00B9409A" w:rsidRPr="0058348E">
        <w:rPr>
          <w:rFonts w:hint="cs"/>
          <w:rtl/>
        </w:rPr>
        <w:t>% מהאשראי שנבחן (</w:t>
      </w:r>
      <w:r w:rsidR="00B9409A">
        <w:rPr>
          <w:rFonts w:hint="cs"/>
          <w:rtl/>
        </w:rPr>
        <w:t>רוב</w:t>
      </w:r>
      <w:r w:rsidR="00B9409A" w:rsidRPr="0058348E">
        <w:rPr>
          <w:rFonts w:hint="cs"/>
          <w:rtl/>
        </w:rPr>
        <w:t>ו בגין אשראי ש</w:t>
      </w:r>
      <w:r w:rsidR="00B9409A">
        <w:rPr>
          <w:rFonts w:hint="cs"/>
          <w:rtl/>
        </w:rPr>
        <w:t>לא</w:t>
      </w:r>
      <w:r w:rsidR="00B9409A" w:rsidRPr="0058348E">
        <w:rPr>
          <w:rFonts w:hint="cs"/>
          <w:rtl/>
        </w:rPr>
        <w:t xml:space="preserve"> מועמד למימון נכסים </w:t>
      </w:r>
      <w:r w:rsidR="00B9409A">
        <w:rPr>
          <w:rFonts w:hint="cs"/>
          <w:rtl/>
        </w:rPr>
        <w:t>ייחודיים</w:t>
      </w:r>
      <w:r w:rsidR="00B9409A" w:rsidRPr="0058348E">
        <w:rPr>
          <w:rFonts w:hint="cs"/>
          <w:rtl/>
        </w:rPr>
        <w:t>)</w:t>
      </w:r>
      <w:r w:rsidR="00B9409A">
        <w:rPr>
          <w:rFonts w:hint="cs"/>
          <w:rtl/>
        </w:rPr>
        <w:t>.</w:t>
      </w:r>
    </w:p>
    <w:p w:rsidR="0078266B" w:rsidRDefault="0078266B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kern w:val="28"/>
          <w:sz w:val="22"/>
          <w:rtl/>
        </w:rPr>
      </w:pPr>
      <w:r>
        <w:rPr>
          <w:rtl/>
        </w:rPr>
        <w:br w:type="page"/>
      </w:r>
    </w:p>
    <w:p w:rsidR="00302FAF" w:rsidRDefault="00133B30" w:rsidP="00302FAF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562"/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85AD2A" wp14:editId="6750D7A8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6400800" cy="238125"/>
                <wp:effectExtent l="0" t="0" r="19050" b="28575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381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7B" w:rsidRPr="00133B30" w:rsidRDefault="00FF6E24" w:rsidP="00FF6E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33B3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ה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</w:t>
                            </w:r>
                            <w:r w:rsidRPr="00133B3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קף האשראי שנבחן בסך 300 מ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</w:t>
                            </w:r>
                            <w:r w:rsidRPr="00133B3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ליארד ₪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מוערך </w:t>
                            </w:r>
                            <w:r w:rsidRPr="00133B3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ברמת סיכון נמוכה-בינונית. ממנו כ </w:t>
                            </w:r>
                            <w:r w:rsidRPr="00133B30">
                              <w:rPr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133B3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11</w:t>
                            </w:r>
                            <w:r w:rsidRPr="00133B3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% ברמת סיכון מוגברת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485AD2A" id="מלבן 5" o:spid="_x0000_s1026" style="position:absolute;left:0;text-align:left;margin-left:0;margin-top:13.95pt;width:7in;height:18.75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" fillcolor="white [3201]" strokecolor="black [3213]" strokeweight=".25pt">
                <v:textbox>
                  <w:txbxContent>
                    <w:p w:rsidR="0032327B" w:rsidRPr="00133B30" w:rsidRDefault="00FF6E24" w:rsidP="00FF6E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33B30">
                        <w:rPr>
                          <w:rFonts w:hint="cs"/>
                          <w:sz w:val="22"/>
                          <w:szCs w:val="22"/>
                          <w:rtl/>
                        </w:rPr>
                        <w:t>ה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</w:t>
                      </w:r>
                      <w:r w:rsidRPr="00133B30">
                        <w:rPr>
                          <w:rFonts w:hint="cs"/>
                          <w:sz w:val="22"/>
                          <w:szCs w:val="22"/>
                          <w:rtl/>
                        </w:rPr>
                        <w:t>קף האשראי שנבחן בסך 300 מ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</w:t>
                      </w:r>
                      <w:r w:rsidRPr="00133B30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ליארד ₪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מוערך </w:t>
                      </w:r>
                      <w:r w:rsidRPr="00133B30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ברמת סיכון נמוכה-בינונית. ממנו כ </w:t>
                      </w:r>
                      <w:r w:rsidRPr="00133B30">
                        <w:rPr>
                          <w:sz w:val="22"/>
                          <w:szCs w:val="22"/>
                          <w:rtl/>
                        </w:rPr>
                        <w:t>–</w:t>
                      </w:r>
                      <w:r w:rsidRPr="00133B30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11</w:t>
                      </w:r>
                      <w:r w:rsidRPr="00133B30">
                        <w:rPr>
                          <w:rFonts w:hint="cs"/>
                          <w:sz w:val="22"/>
                          <w:szCs w:val="22"/>
                          <w:rtl/>
                        </w:rPr>
                        <w:t>% ברמת סיכון מוגברת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FAF">
        <w:rPr>
          <w:rFonts w:hint="cs"/>
          <w:b/>
          <w:bCs/>
          <w:rtl/>
        </w:rPr>
        <w:t xml:space="preserve">לוח 1 - </w:t>
      </w:r>
      <w:r w:rsidR="00302FAF" w:rsidRPr="00357BAA">
        <w:rPr>
          <w:rFonts w:hint="cs"/>
          <w:b/>
          <w:bCs/>
          <w:rtl/>
        </w:rPr>
        <w:t xml:space="preserve">היקף החשיפה והערכת רמות הסיכון </w:t>
      </w:r>
      <w:r w:rsidR="00302FAF" w:rsidRPr="00357BAA">
        <w:rPr>
          <w:b/>
          <w:bCs/>
          <w:rtl/>
        </w:rPr>
        <w:t>–</w:t>
      </w:r>
      <w:r w:rsidR="00302FAF" w:rsidRPr="00357BAA">
        <w:rPr>
          <w:rFonts w:hint="cs"/>
          <w:b/>
          <w:bCs/>
          <w:rtl/>
        </w:rPr>
        <w:t xml:space="preserve"> לוח </w:t>
      </w:r>
      <w:r w:rsidR="00302FAF">
        <w:rPr>
          <w:rFonts w:hint="cs"/>
          <w:b/>
          <w:bCs/>
          <w:rtl/>
        </w:rPr>
        <w:t>מרכז</w:t>
      </w:r>
    </w:p>
    <w:p w:rsidR="00133B30" w:rsidRPr="00357BAA" w:rsidRDefault="00133B30" w:rsidP="00302FAF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562"/>
        <w:jc w:val="center"/>
        <w:rPr>
          <w:b/>
          <w:bCs/>
        </w:rPr>
      </w:pPr>
    </w:p>
    <w:tbl>
      <w:tblPr>
        <w:tblStyle w:val="4-1"/>
        <w:tblpPr w:leftFromText="181" w:rightFromText="181" w:vertAnchor="text" w:horzAnchor="margin" w:tblpXSpec="center" w:tblpY="-44"/>
        <w:bidiVisual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254"/>
        <w:gridCol w:w="1093"/>
        <w:gridCol w:w="904"/>
        <w:gridCol w:w="1093"/>
        <w:gridCol w:w="1097"/>
        <w:gridCol w:w="2781"/>
      </w:tblGrid>
      <w:tr w:rsidR="00302FAF" w:rsidRPr="00357BAA" w:rsidTr="00BF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FFFFFF" w:themeColor="background1"/>
              <w:right w:val="single" w:sz="18" w:space="0" w:color="000000"/>
            </w:tcBorders>
            <w:vAlign w:val="center"/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rPr>
                <w:sz w:val="22"/>
                <w:szCs w:val="22"/>
                <w:rtl/>
              </w:rPr>
            </w:pPr>
            <w:r w:rsidRPr="00357BAA">
              <w:rPr>
                <w:rFonts w:hint="cs"/>
                <w:sz w:val="22"/>
                <w:szCs w:val="22"/>
                <w:rtl/>
              </w:rPr>
              <w:t>הרכיב</w:t>
            </w:r>
          </w:p>
        </w:tc>
        <w:tc>
          <w:tcPr>
            <w:tcW w:w="12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357BAA">
              <w:rPr>
                <w:rFonts w:hint="cs"/>
                <w:sz w:val="22"/>
                <w:szCs w:val="22"/>
                <w:rtl/>
              </w:rPr>
              <w:t>הערכת רמת סיכון</w:t>
            </w:r>
            <w:r w:rsidR="005B16B5">
              <w:rPr>
                <w:rStyle w:val="a9"/>
                <w:sz w:val="22"/>
                <w:szCs w:val="22"/>
                <w:rtl/>
              </w:rPr>
              <w:footnoteReference w:id="6"/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/>
            </w:tcBorders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357BAA">
              <w:rPr>
                <w:rFonts w:hint="cs"/>
                <w:sz w:val="22"/>
                <w:szCs w:val="22"/>
                <w:rtl/>
              </w:rPr>
              <w:t>היקף המימון</w:t>
            </w:r>
          </w:p>
        </w:tc>
        <w:tc>
          <w:tcPr>
            <w:tcW w:w="49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FFFFFF" w:themeColor="background1"/>
              <w:right w:val="single" w:sz="18" w:space="0" w:color="000000"/>
            </w:tcBorders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357BAA">
              <w:rPr>
                <w:rFonts w:hint="cs"/>
                <w:sz w:val="22"/>
                <w:szCs w:val="22"/>
                <w:rtl/>
              </w:rPr>
              <w:t>מזה: אומדן לרמות סיכון מוגברות</w:t>
            </w:r>
          </w:p>
        </w:tc>
      </w:tr>
      <w:tr w:rsidR="00302FAF" w:rsidRPr="00357BAA" w:rsidTr="00BF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4F81BD" w:themeFill="accent1"/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rPr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25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FFFFFF" w:themeColor="background1"/>
            </w:tcBorders>
            <w:shd w:val="clear" w:color="auto" w:fill="4F81BD" w:themeFill="accent1"/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4F81BD" w:themeFill="accent1"/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357BAA">
              <w:rPr>
                <w:rFonts w:hint="cs"/>
                <w:b/>
                <w:bCs/>
                <w:color w:val="FFFFFF" w:themeColor="background1"/>
                <w:sz w:val="22"/>
                <w:szCs w:val="22"/>
                <w:rtl/>
              </w:rPr>
              <w:t>במיליארדי ₪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18" w:space="0" w:color="000000"/>
            </w:tcBorders>
            <w:shd w:val="clear" w:color="auto" w:fill="4F81BD" w:themeFill="accent1"/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357BAA">
              <w:rPr>
                <w:rFonts w:hint="cs"/>
                <w:b/>
                <w:bCs/>
                <w:color w:val="FFFFFF" w:themeColor="background1"/>
                <w:sz w:val="22"/>
                <w:szCs w:val="22"/>
                <w:rtl/>
              </w:rPr>
              <w:t>באחוזים</w:t>
            </w:r>
          </w:p>
        </w:tc>
        <w:tc>
          <w:tcPr>
            <w:tcW w:w="1093" w:type="dxa"/>
            <w:tcBorders>
              <w:top w:val="single" w:sz="4" w:space="0" w:color="FFFFFF" w:themeColor="background1"/>
              <w:left w:val="single" w:sz="18" w:space="0" w:color="000000"/>
              <w:bottom w:val="single" w:sz="18" w:space="0" w:color="000000"/>
              <w:right w:val="single" w:sz="4" w:space="0" w:color="FFFFFF" w:themeColor="background1"/>
            </w:tcBorders>
            <w:shd w:val="clear" w:color="auto" w:fill="4F81BD" w:themeFill="accent1"/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357BAA">
              <w:rPr>
                <w:rFonts w:hint="cs"/>
                <w:b/>
                <w:bCs/>
                <w:color w:val="FFFFFF" w:themeColor="background1"/>
                <w:sz w:val="22"/>
                <w:szCs w:val="22"/>
                <w:rtl/>
              </w:rPr>
              <w:t>במיליארדי ₪</w:t>
            </w:r>
          </w:p>
        </w:tc>
        <w:tc>
          <w:tcPr>
            <w:tcW w:w="1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  <w:shd w:val="clear" w:color="auto" w:fill="4F81BD" w:themeFill="accent1"/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357BAA">
              <w:rPr>
                <w:rFonts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באחוזים </w:t>
            </w:r>
            <w:r w:rsidRPr="00357BAA">
              <w:rPr>
                <w:rFonts w:hint="cs"/>
                <w:b/>
                <w:bCs/>
                <w:color w:val="FFFFFF" w:themeColor="background1"/>
                <w:sz w:val="16"/>
                <w:szCs w:val="16"/>
                <w:rtl/>
              </w:rPr>
              <w:t>(מסך המימון)</w:t>
            </w:r>
          </w:p>
        </w:tc>
        <w:tc>
          <w:tcPr>
            <w:tcW w:w="2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18" w:space="0" w:color="000000"/>
            </w:tcBorders>
            <w:shd w:val="clear" w:color="auto" w:fill="4F81BD" w:themeFill="accent1"/>
            <w:vAlign w:val="center"/>
          </w:tcPr>
          <w:p w:rsidR="00302FAF" w:rsidRPr="00357BA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357BAA">
              <w:rPr>
                <w:rFonts w:hint="cs"/>
                <w:b/>
                <w:bCs/>
                <w:color w:val="FFFFFF" w:themeColor="background1"/>
                <w:sz w:val="22"/>
                <w:szCs w:val="22"/>
                <w:rtl/>
              </w:rPr>
              <w:t>תבחינים לרמת סיכון מוגברת</w:t>
            </w:r>
          </w:p>
        </w:tc>
      </w:tr>
      <w:tr w:rsidR="00302FAF" w:rsidRPr="00357BAA" w:rsidTr="00BF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rPr>
                <w:sz w:val="26"/>
                <w:szCs w:val="26"/>
                <w:rtl/>
              </w:rPr>
            </w:pPr>
            <w:r w:rsidRPr="00B9409A">
              <w:rPr>
                <w:rFonts w:hint="cs"/>
                <w:sz w:val="26"/>
                <w:szCs w:val="26"/>
                <w:rtl/>
              </w:rPr>
              <w:t>סה"כ</w:t>
            </w:r>
          </w:p>
        </w:tc>
        <w:tc>
          <w:tcPr>
            <w:tcW w:w="12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B9409A">
              <w:rPr>
                <w:rFonts w:hint="cs"/>
                <w:b/>
                <w:bCs/>
                <w:sz w:val="26"/>
                <w:szCs w:val="26"/>
                <w:rtl/>
              </w:rPr>
              <w:t>נמוכה־בינונית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B9409A">
              <w:rPr>
                <w:rFonts w:hint="cs"/>
                <w:b/>
                <w:bCs/>
                <w:sz w:val="26"/>
                <w:szCs w:val="26"/>
                <w:rtl/>
              </w:rPr>
              <w:t>300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B9409A">
              <w:rPr>
                <w:rFonts w:hint="cs"/>
                <w:b/>
                <w:bCs/>
                <w:sz w:val="26"/>
                <w:szCs w:val="26"/>
                <w:rtl/>
              </w:rPr>
              <w:t>100%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02FAF" w:rsidRPr="00B9409A" w:rsidRDefault="00426C4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109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02FAF" w:rsidRPr="00B9409A" w:rsidRDefault="00426C4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  <w:r w:rsidR="00302FAF" w:rsidRPr="00B9409A">
              <w:rPr>
                <w:rFonts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27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02FAF" w:rsidRPr="00357BAA" w:rsidTr="00BF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FAF" w:rsidRPr="009132B6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rPr>
                <w:b w:val="0"/>
                <w:bCs w:val="0"/>
                <w:sz w:val="22"/>
                <w:szCs w:val="22"/>
                <w:rtl/>
              </w:rPr>
            </w:pPr>
            <w:r w:rsidRPr="009132B6">
              <w:rPr>
                <w:rFonts w:hint="cs"/>
                <w:b w:val="0"/>
                <w:bCs w:val="0"/>
                <w:sz w:val="22"/>
                <w:szCs w:val="22"/>
                <w:rtl/>
              </w:rPr>
              <w:t>מזה:</w:t>
            </w:r>
          </w:p>
        </w:tc>
      </w:tr>
      <w:tr w:rsidR="00302FAF" w:rsidRPr="00357BAA" w:rsidTr="00BF5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rPr>
                <w:b w:val="0"/>
                <w:bCs w:val="0"/>
                <w:sz w:val="22"/>
                <w:szCs w:val="22"/>
                <w:rtl/>
              </w:rPr>
            </w:pPr>
            <w:r w:rsidRPr="00B9409A">
              <w:rPr>
                <w:rFonts w:hint="cs"/>
                <w:b w:val="0"/>
                <w:bCs w:val="0"/>
                <w:sz w:val="22"/>
                <w:szCs w:val="22"/>
                <w:rtl/>
              </w:rPr>
              <w:t>פרוייקטים סגורים לבנייה</w:t>
            </w:r>
          </w:p>
        </w:tc>
        <w:tc>
          <w:tcPr>
            <w:tcW w:w="12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נמוכה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167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56%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FAF" w:rsidRPr="00B9409A" w:rsidRDefault="0072005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2%</w:t>
            </w:r>
          </w:p>
        </w:tc>
        <w:tc>
          <w:tcPr>
            <w:tcW w:w="27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פרוייקטים עם כושר ספיגה</w:t>
            </w:r>
            <w:r w:rsidRPr="00B9409A">
              <w:rPr>
                <w:sz w:val="22"/>
                <w:szCs w:val="22"/>
                <w:rtl/>
              </w:rPr>
              <w:br w:type="textWrapping" w:clear="all"/>
            </w:r>
            <w:r w:rsidRPr="00B9409A">
              <w:rPr>
                <w:rFonts w:hint="cs"/>
                <w:sz w:val="22"/>
                <w:szCs w:val="22"/>
                <w:rtl/>
              </w:rPr>
              <w:t xml:space="preserve"> &lt;מ-30%</w:t>
            </w:r>
          </w:p>
        </w:tc>
      </w:tr>
      <w:tr w:rsidR="00302FAF" w:rsidRPr="00357BAA" w:rsidTr="00BF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rPr>
                <w:b w:val="0"/>
                <w:bCs w:val="0"/>
                <w:sz w:val="22"/>
                <w:szCs w:val="22"/>
                <w:rtl/>
              </w:rPr>
            </w:pPr>
            <w:r w:rsidRPr="00B9409A">
              <w:rPr>
                <w:rFonts w:hint="cs"/>
                <w:b w:val="0"/>
                <w:bCs w:val="0"/>
                <w:sz w:val="22"/>
                <w:szCs w:val="22"/>
                <w:rtl/>
              </w:rPr>
              <w:t>נכסים מניבים בשלב ההנבה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בינונית־גבוהה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C0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17%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FAF" w:rsidRPr="00B9409A" w:rsidRDefault="00426C4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FAF" w:rsidRPr="00B9409A" w:rsidRDefault="00393C13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11</w:t>
            </w:r>
            <w:r w:rsidR="00302FAF" w:rsidRPr="00B9409A">
              <w:rPr>
                <w:rFonts w:hint="cs"/>
                <w:sz w:val="22"/>
                <w:szCs w:val="22"/>
                <w:rtl/>
              </w:rPr>
              <w:t>%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נכסים מניבים למסחר ומשרדים בשיעור מימון &gt;70%</w:t>
            </w:r>
          </w:p>
        </w:tc>
      </w:tr>
      <w:tr w:rsidR="00302FAF" w:rsidRPr="00357BAA" w:rsidTr="00BF5C6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rPr>
                <w:b w:val="0"/>
                <w:bCs w:val="0"/>
                <w:sz w:val="22"/>
                <w:szCs w:val="22"/>
                <w:rtl/>
              </w:rPr>
            </w:pPr>
            <w:r w:rsidRPr="00B9409A">
              <w:rPr>
                <w:rFonts w:hint="cs"/>
                <w:b w:val="0"/>
                <w:bCs w:val="0"/>
                <w:sz w:val="22"/>
                <w:szCs w:val="22"/>
                <w:rtl/>
              </w:rPr>
              <w:t>קרקעות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נמוכה־בינונית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14%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5%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יחידות קרקע שלא־זמינות לבנייה</w:t>
            </w:r>
          </w:p>
        </w:tc>
      </w:tr>
      <w:tr w:rsidR="00302FAF" w:rsidRPr="00357BAA" w:rsidTr="00BF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rPr>
                <w:b w:val="0"/>
                <w:bCs w:val="0"/>
                <w:sz w:val="22"/>
                <w:szCs w:val="22"/>
                <w:rtl/>
              </w:rPr>
            </w:pPr>
            <w:r w:rsidRPr="00B9409A">
              <w:rPr>
                <w:rFonts w:hint="cs"/>
                <w:b w:val="0"/>
                <w:bCs w:val="0"/>
                <w:sz w:val="22"/>
                <w:szCs w:val="22"/>
                <w:rtl/>
              </w:rPr>
              <w:t>אשראי שלא מיועד למימון נכס ייחודי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גבוהה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13%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50%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FAF" w:rsidRPr="00B9409A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B9409A">
              <w:rPr>
                <w:rFonts w:hint="cs"/>
                <w:sz w:val="22"/>
                <w:szCs w:val="22"/>
                <w:rtl/>
              </w:rPr>
              <w:t>אומדן משוער להיקף האשראי שאינו מכוסה בביטחונות</w:t>
            </w:r>
          </w:p>
        </w:tc>
      </w:tr>
      <w:tr w:rsidR="00302FAF" w:rsidRPr="00357BAA" w:rsidTr="00BF5C66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2FAF" w:rsidRPr="00BF5C66" w:rsidRDefault="00302FAF" w:rsidP="00BF5C66">
            <w:pPr>
              <w:tabs>
                <w:tab w:val="clear" w:pos="567"/>
                <w:tab w:val="clear" w:pos="1134"/>
              </w:tabs>
              <w:spacing w:line="240" w:lineRule="auto"/>
              <w:jc w:val="left"/>
              <w:outlineLvl w:val="0"/>
              <w:rPr>
                <w:b w:val="0"/>
                <w:bCs w:val="0"/>
                <w:sz w:val="18"/>
                <w:szCs w:val="18"/>
                <w:rtl/>
              </w:rPr>
            </w:pPr>
            <w:r w:rsidRPr="00BF5C66">
              <w:rPr>
                <w:rFonts w:hint="cs"/>
                <w:b w:val="0"/>
                <w:bCs w:val="0"/>
                <w:sz w:val="18"/>
                <w:szCs w:val="18"/>
                <w:rtl/>
              </w:rPr>
              <w:t>מקור: דיווחי הבנקים ועיבודי הפיקוח על הבנקים</w:t>
            </w:r>
          </w:p>
        </w:tc>
      </w:tr>
    </w:tbl>
    <w:p w:rsidR="00BF5C66" w:rsidRDefault="00BF5C66" w:rsidP="00BF5C66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945941" wp14:editId="2E30DFDE">
                <wp:simplePos x="0" y="0"/>
                <wp:positionH relativeFrom="margin">
                  <wp:align>center</wp:align>
                </wp:positionH>
                <wp:positionV relativeFrom="paragraph">
                  <wp:posOffset>2547193</wp:posOffset>
                </wp:positionV>
                <wp:extent cx="5294299" cy="438150"/>
                <wp:effectExtent l="0" t="0" r="20955" b="1905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299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7B" w:rsidRDefault="0032327B" w:rsidP="00A51B1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עיקר החשיפה היא במימון פרוייקטים סגורים המוערכים ברמת סיכון נמוכה. </w:t>
                            </w:r>
                          </w:p>
                          <w:p w:rsidR="0032327B" w:rsidRPr="00133B30" w:rsidRDefault="0032327B" w:rsidP="00A51B1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מרבית המימון בסיכון מוגבר נובע מאשראי שאינו מיועד למימון נכס ייחודי ואינו מגובה בביטחונות.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945941" id="מלבן 8" o:spid="_x0000_s1027" style="position:absolute;left:0;text-align:left;margin-left:0;margin-top:200.55pt;width:416.85pt;height:34.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" fillcolor="white [3201]" strokecolor="black [3213]" strokeweight=".25pt">
                <v:textbox>
                  <w:txbxContent>
                    <w:p w:rsidR="0032327B" w:rsidRDefault="0032327B" w:rsidP="00A51B1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עיקר החשיפה היא במימון פרוייקטים סגורים המוערכים ברמת סיכון נמוכה. </w:t>
                      </w:r>
                    </w:p>
                    <w:p w:rsidR="0032327B" w:rsidRPr="00133B30" w:rsidRDefault="0032327B" w:rsidP="00A51B1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מרבית המימון בסיכון מוגבר נובע מאשראי שאינו מיועד למימון נכס ייחודי ואינו מגובה בביטחונות.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1B14" w:rsidRDefault="00A51B14" w:rsidP="00BF5C66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  <w:jc w:val="center"/>
        <w:rPr>
          <w:b/>
          <w:bCs/>
          <w:rtl/>
        </w:rPr>
      </w:pPr>
    </w:p>
    <w:p w:rsidR="00302FAF" w:rsidRPr="00357BAA" w:rsidRDefault="00230F1D" w:rsidP="00302FAF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  <w:jc w:val="center"/>
        <w:rPr>
          <w:b/>
          <w:bCs/>
          <w:rtl/>
        </w:rPr>
      </w:pPr>
      <w:r>
        <w:rPr>
          <w:b/>
          <w:bCs/>
          <w:noProof/>
        </w:rPr>
        <w:drawing>
          <wp:inline distT="0" distB="0" distL="0" distR="0" wp14:anchorId="2B906EC8" wp14:editId="74102427">
            <wp:extent cx="5423775" cy="3476625"/>
            <wp:effectExtent l="0" t="0" r="571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98" cy="3482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0F1D" w:rsidRDefault="00230F1D" w:rsidP="00162857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  <w:rtl/>
        </w:rPr>
      </w:pPr>
    </w:p>
    <w:p w:rsidR="00230F1D" w:rsidRDefault="00230F1D" w:rsidP="00162857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  <w:rtl/>
        </w:rPr>
      </w:pPr>
    </w:p>
    <w:p w:rsidR="00230F1D" w:rsidRDefault="00230F1D" w:rsidP="00162857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  <w:rtl/>
        </w:rPr>
      </w:pPr>
    </w:p>
    <w:p w:rsidR="00230F1D" w:rsidRDefault="00230F1D" w:rsidP="00162857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  <w:rtl/>
        </w:rPr>
      </w:pPr>
    </w:p>
    <w:p w:rsidR="0078266B" w:rsidRPr="0078266B" w:rsidRDefault="0078266B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color w:val="4F81BD" w:themeColor="accent1"/>
          <w:kern w:val="28"/>
          <w:sz w:val="26"/>
          <w:szCs w:val="26"/>
          <w:rtl/>
        </w:rPr>
      </w:pPr>
      <w:r w:rsidRPr="0078266B">
        <w:rPr>
          <w:color w:val="4F81BD" w:themeColor="accent1"/>
          <w:sz w:val="26"/>
          <w:szCs w:val="26"/>
          <w:rtl/>
        </w:rPr>
        <w:br w:type="page"/>
      </w:r>
    </w:p>
    <w:p w:rsidR="006C04EF" w:rsidRPr="00162857" w:rsidRDefault="006C04EF" w:rsidP="00162857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  <w:rtl/>
        </w:rPr>
      </w:pPr>
      <w:r w:rsidRPr="00162857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lastRenderedPageBreak/>
        <w:t>מימון פרוייקטים סגורים לבנייה</w:t>
      </w:r>
    </w:p>
    <w:p w:rsidR="00836AF9" w:rsidRPr="00162857" w:rsidRDefault="00836AF9" w:rsidP="00836AF9">
      <w:pPr>
        <w:tabs>
          <w:tab w:val="clear" w:pos="567"/>
          <w:tab w:val="clear" w:pos="1134"/>
        </w:tabs>
        <w:outlineLvl w:val="0"/>
        <w:rPr>
          <w:b/>
          <w:bCs/>
          <w:i/>
          <w:iCs/>
          <w:color w:val="4F81BD" w:themeColor="accent1"/>
          <w:kern w:val="28"/>
          <w:sz w:val="22"/>
        </w:rPr>
      </w:pPr>
      <w:r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>נתונים על החשיפה</w:t>
      </w:r>
    </w:p>
    <w:p w:rsidR="00BF5B72" w:rsidRDefault="00977CC5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</w:pPr>
      <w:r>
        <w:rPr>
          <w:rFonts w:hint="cs"/>
          <w:rtl/>
        </w:rPr>
        <w:t>רוב</w:t>
      </w:r>
      <w:r w:rsidR="006C04EF" w:rsidRPr="0058348E">
        <w:rPr>
          <w:rFonts w:hint="cs"/>
          <w:rtl/>
        </w:rPr>
        <w:t xml:space="preserve"> האשראי (</w:t>
      </w:r>
      <w:r w:rsidR="009012DD" w:rsidRPr="0058348E">
        <w:rPr>
          <w:rFonts w:hint="cs"/>
          <w:rtl/>
        </w:rPr>
        <w:t>כ</w:t>
      </w:r>
      <w:r>
        <w:rPr>
          <w:rFonts w:hint="cs"/>
          <w:rtl/>
        </w:rPr>
        <w:t>-</w:t>
      </w:r>
      <w:r w:rsidR="006C04EF" w:rsidRPr="0058348E">
        <w:rPr>
          <w:rFonts w:hint="cs"/>
          <w:rtl/>
        </w:rPr>
        <w:t xml:space="preserve">167 מיליארד </w:t>
      </w:r>
      <w:r>
        <w:rPr>
          <w:rFonts w:hint="cs"/>
          <w:rtl/>
        </w:rPr>
        <w:t>ש"ח</w:t>
      </w:r>
      <w:r w:rsidR="006C04EF" w:rsidRPr="0058348E">
        <w:rPr>
          <w:rFonts w:hint="cs"/>
          <w:rtl/>
        </w:rPr>
        <w:t xml:space="preserve"> </w:t>
      </w:r>
      <w:r>
        <w:rPr>
          <w:rFonts w:hint="cs"/>
          <w:rtl/>
        </w:rPr>
        <w:t>שהם</w:t>
      </w:r>
      <w:r w:rsidR="006C04EF" w:rsidRPr="0058348E">
        <w:rPr>
          <w:rFonts w:hint="cs"/>
          <w:rtl/>
        </w:rPr>
        <w:t xml:space="preserve"> </w:t>
      </w:r>
      <w:r>
        <w:rPr>
          <w:rFonts w:hint="cs"/>
          <w:rtl/>
        </w:rPr>
        <w:t>כ-</w:t>
      </w:r>
      <w:r w:rsidR="006C04EF" w:rsidRPr="0058348E">
        <w:rPr>
          <w:rFonts w:hint="cs"/>
          <w:rtl/>
        </w:rPr>
        <w:t>56% מהאשראי</w:t>
      </w:r>
      <w:r w:rsidR="006C04EF" w:rsidRPr="00473FD3">
        <w:rPr>
          <w:rFonts w:hint="cs"/>
          <w:rtl/>
        </w:rPr>
        <w:t xml:space="preserve"> שנבחן) מנוהל במערכת הבנקא</w:t>
      </w:r>
      <w:r w:rsidR="005B7E3F">
        <w:rPr>
          <w:rFonts w:hint="cs"/>
          <w:rtl/>
        </w:rPr>
        <w:t>ו</w:t>
      </w:r>
      <w:r w:rsidR="006C04EF" w:rsidRPr="00473FD3">
        <w:rPr>
          <w:rFonts w:hint="cs"/>
          <w:rtl/>
        </w:rPr>
        <w:t xml:space="preserve">ת באמצעות פרוייקטים </w:t>
      </w:r>
      <w:r w:rsidR="003F6147">
        <w:rPr>
          <w:rFonts w:hint="cs"/>
          <w:rtl/>
        </w:rPr>
        <w:t xml:space="preserve">בליווי </w:t>
      </w:r>
      <w:r w:rsidR="006C04EF" w:rsidRPr="00473FD3">
        <w:rPr>
          <w:rFonts w:hint="cs"/>
          <w:rtl/>
        </w:rPr>
        <w:t xml:space="preserve">סגור. </w:t>
      </w:r>
      <w:r>
        <w:rPr>
          <w:rFonts w:hint="cs"/>
          <w:rtl/>
        </w:rPr>
        <w:t>רוב</w:t>
      </w:r>
      <w:r w:rsidR="009012DD">
        <w:rPr>
          <w:rFonts w:hint="cs"/>
          <w:rtl/>
        </w:rPr>
        <w:t>ו (כ</w:t>
      </w:r>
      <w:r w:rsidR="00A434E6">
        <w:rPr>
          <w:rFonts w:hint="cs"/>
          <w:rtl/>
        </w:rPr>
        <w:t>-</w:t>
      </w:r>
      <w:r w:rsidR="006252A3">
        <w:rPr>
          <w:rFonts w:hint="cs"/>
          <w:rtl/>
        </w:rPr>
        <w:t>130</w:t>
      </w:r>
      <w:r w:rsidR="00BF5B72">
        <w:rPr>
          <w:rFonts w:hint="cs"/>
          <w:rtl/>
        </w:rPr>
        <w:t xml:space="preserve"> מיליארד </w:t>
      </w:r>
      <w:r>
        <w:rPr>
          <w:rFonts w:hint="cs"/>
          <w:rtl/>
        </w:rPr>
        <w:t>ש</w:t>
      </w:r>
      <w:r w:rsidR="00A434E6">
        <w:rPr>
          <w:rFonts w:hint="cs"/>
          <w:rtl/>
        </w:rPr>
        <w:t>"</w:t>
      </w:r>
      <w:r>
        <w:rPr>
          <w:rFonts w:hint="cs"/>
          <w:rtl/>
        </w:rPr>
        <w:t>ח</w:t>
      </w:r>
      <w:r w:rsidR="00BF5B72">
        <w:rPr>
          <w:rFonts w:hint="cs"/>
          <w:rtl/>
        </w:rPr>
        <w:t>) מועמד באמצעות מסגרות אשראי לערבויות חוק מכר ורק חלק קטן מהאשראי (</w:t>
      </w:r>
      <w:r>
        <w:rPr>
          <w:rFonts w:hint="cs"/>
          <w:rtl/>
        </w:rPr>
        <w:t>כ-</w:t>
      </w:r>
      <w:r w:rsidR="006252A3">
        <w:rPr>
          <w:rFonts w:hint="cs"/>
          <w:rtl/>
        </w:rPr>
        <w:t>37</w:t>
      </w:r>
      <w:r w:rsidR="00BF5B72">
        <w:rPr>
          <w:rFonts w:hint="cs"/>
          <w:rtl/>
        </w:rPr>
        <w:t xml:space="preserve"> מיליארד </w:t>
      </w:r>
      <w:r>
        <w:rPr>
          <w:rFonts w:hint="cs"/>
          <w:rtl/>
        </w:rPr>
        <w:t>ש"ח</w:t>
      </w:r>
      <w:r w:rsidR="00BF5B72">
        <w:rPr>
          <w:rFonts w:hint="cs"/>
          <w:rtl/>
        </w:rPr>
        <w:t>)</w:t>
      </w:r>
      <w:r w:rsidR="00A434E6">
        <w:rPr>
          <w:rFonts w:hint="cs"/>
          <w:rtl/>
        </w:rPr>
        <w:t>,</w:t>
      </w:r>
      <w:r w:rsidR="00BF5B72">
        <w:rPr>
          <w:rFonts w:hint="cs"/>
          <w:rtl/>
        </w:rPr>
        <w:t xml:space="preserve"> מועמד באמצעות ניצול כספי.</w:t>
      </w:r>
    </w:p>
    <w:p w:rsidR="004572C4" w:rsidRDefault="001D04DF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rPr>
          <w:rtl/>
        </w:rPr>
      </w:pPr>
      <w:r w:rsidRPr="001D04DF">
        <w:rPr>
          <w:rFonts w:hint="cs"/>
          <w:rtl/>
        </w:rPr>
        <w:t xml:space="preserve">חמשת הבנקים הגדולים </w:t>
      </w:r>
      <w:r w:rsidR="009012DD">
        <w:rPr>
          <w:rFonts w:hint="cs"/>
          <w:rtl/>
        </w:rPr>
        <w:t>מממנים</w:t>
      </w:r>
      <w:r w:rsidR="00A434E6">
        <w:rPr>
          <w:rFonts w:hint="cs"/>
          <w:rtl/>
        </w:rPr>
        <w:t xml:space="preserve"> </w:t>
      </w:r>
      <w:r w:rsidR="00A434E6" w:rsidRPr="001D04DF">
        <w:rPr>
          <w:rFonts w:hint="cs"/>
          <w:rtl/>
        </w:rPr>
        <w:t>בסך הכל</w:t>
      </w:r>
      <w:r w:rsidR="009012DD">
        <w:rPr>
          <w:rFonts w:hint="cs"/>
          <w:rtl/>
        </w:rPr>
        <w:t xml:space="preserve"> כ</w:t>
      </w:r>
      <w:r w:rsidR="00977CC5">
        <w:rPr>
          <w:rFonts w:hint="cs"/>
          <w:rtl/>
        </w:rPr>
        <w:t>-</w:t>
      </w:r>
      <w:r w:rsidR="00F94372">
        <w:rPr>
          <w:rFonts w:hint="cs"/>
          <w:rtl/>
        </w:rPr>
        <w:t>1,284</w:t>
      </w:r>
      <w:r w:rsidRPr="001D04DF">
        <w:rPr>
          <w:rFonts w:hint="cs"/>
          <w:rtl/>
        </w:rPr>
        <w:t xml:space="preserve"> פרוייקטים סגורים</w:t>
      </w:r>
      <w:r w:rsidR="00A434E6">
        <w:rPr>
          <w:rFonts w:hint="cs"/>
          <w:rtl/>
        </w:rPr>
        <w:t xml:space="preserve">, </w:t>
      </w:r>
      <w:r w:rsidRPr="001D04DF">
        <w:rPr>
          <w:rFonts w:hint="cs"/>
          <w:rtl/>
        </w:rPr>
        <w:t xml:space="preserve">שרובם </w:t>
      </w:r>
      <w:r w:rsidR="006C04EF" w:rsidRPr="001D04DF">
        <w:rPr>
          <w:rFonts w:hint="cs"/>
          <w:rtl/>
        </w:rPr>
        <w:t>המכרי</w:t>
      </w:r>
      <w:r>
        <w:rPr>
          <w:rFonts w:hint="cs"/>
          <w:rtl/>
        </w:rPr>
        <w:t>ע</w:t>
      </w:r>
      <w:r w:rsidR="00BF5B72" w:rsidRPr="001D04DF">
        <w:rPr>
          <w:rFonts w:hint="cs"/>
          <w:rtl/>
        </w:rPr>
        <w:t xml:space="preserve"> </w:t>
      </w:r>
      <w:r w:rsidR="001961BA" w:rsidRPr="001D04DF">
        <w:rPr>
          <w:rFonts w:hint="cs"/>
          <w:rtl/>
        </w:rPr>
        <w:t>ה</w:t>
      </w:r>
      <w:r w:rsidR="001961BA">
        <w:rPr>
          <w:rFonts w:hint="cs"/>
          <w:rtl/>
        </w:rPr>
        <w:t>ם</w:t>
      </w:r>
      <w:r w:rsidR="001961BA" w:rsidRPr="001D04DF">
        <w:rPr>
          <w:rFonts w:hint="cs"/>
          <w:rtl/>
        </w:rPr>
        <w:t xml:space="preserve"> </w:t>
      </w:r>
      <w:r w:rsidR="006C04EF" w:rsidRPr="001D04DF">
        <w:rPr>
          <w:rFonts w:hint="cs"/>
          <w:rtl/>
        </w:rPr>
        <w:t>למטר</w:t>
      </w:r>
      <w:r w:rsidR="001961BA">
        <w:rPr>
          <w:rFonts w:hint="cs"/>
          <w:rtl/>
        </w:rPr>
        <w:t>ו</w:t>
      </w:r>
      <w:r w:rsidR="006C04EF" w:rsidRPr="001D04DF">
        <w:rPr>
          <w:rFonts w:hint="cs"/>
          <w:rtl/>
        </w:rPr>
        <w:t>ת בנייה למגורים (</w:t>
      </w:r>
      <w:r w:rsidR="00977CC5">
        <w:rPr>
          <w:rFonts w:hint="cs"/>
          <w:rtl/>
        </w:rPr>
        <w:t>שהם</w:t>
      </w:r>
      <w:r w:rsidR="006C04EF" w:rsidRPr="001D04DF">
        <w:rPr>
          <w:rFonts w:hint="cs"/>
          <w:rtl/>
        </w:rPr>
        <w:t xml:space="preserve"> כ-88% מסך החשיפה</w:t>
      </w:r>
      <w:r>
        <w:rPr>
          <w:rFonts w:hint="cs"/>
          <w:rtl/>
        </w:rPr>
        <w:t xml:space="preserve"> ו</w:t>
      </w:r>
      <w:r w:rsidR="00977CC5">
        <w:rPr>
          <w:rFonts w:hint="cs"/>
          <w:rtl/>
        </w:rPr>
        <w:t>-</w:t>
      </w:r>
      <w:r w:rsidR="00F94372">
        <w:rPr>
          <w:rFonts w:hint="cs"/>
          <w:rtl/>
        </w:rPr>
        <w:t>92</w:t>
      </w:r>
      <w:r>
        <w:rPr>
          <w:rFonts w:hint="cs"/>
          <w:rtl/>
        </w:rPr>
        <w:t>% ממספר הפרוי</w:t>
      </w:r>
      <w:r w:rsidR="00A434E6">
        <w:rPr>
          <w:rFonts w:hint="cs"/>
          <w:rtl/>
        </w:rPr>
        <w:t>י</w:t>
      </w:r>
      <w:r w:rsidR="006C04EF" w:rsidRPr="001D04DF">
        <w:rPr>
          <w:rFonts w:hint="cs"/>
          <w:rtl/>
        </w:rPr>
        <w:t xml:space="preserve">קטים </w:t>
      </w:r>
      <w:r>
        <w:rPr>
          <w:rFonts w:hint="cs"/>
          <w:rtl/>
        </w:rPr>
        <w:t>ה</w:t>
      </w:r>
      <w:r w:rsidR="006C04EF" w:rsidRPr="001D04DF">
        <w:rPr>
          <w:rFonts w:hint="cs"/>
          <w:rtl/>
        </w:rPr>
        <w:t>סגורים)</w:t>
      </w:r>
      <w:r>
        <w:rPr>
          <w:rFonts w:hint="cs"/>
          <w:rtl/>
        </w:rPr>
        <w:t xml:space="preserve">. </w:t>
      </w:r>
      <w:r w:rsidR="00A434E6">
        <w:rPr>
          <w:rFonts w:hint="cs"/>
          <w:rtl/>
        </w:rPr>
        <w:t xml:space="preserve">שאר </w:t>
      </w:r>
      <w:r>
        <w:rPr>
          <w:rFonts w:hint="cs"/>
          <w:rtl/>
        </w:rPr>
        <w:t>האשראי מועמד ברובו ל</w:t>
      </w:r>
      <w:r w:rsidR="006C04EF" w:rsidRPr="001D04DF">
        <w:rPr>
          <w:rFonts w:hint="cs"/>
          <w:rtl/>
        </w:rPr>
        <w:t>מימון הקמת נכסים מניבים</w:t>
      </w:r>
      <w:r w:rsidR="004572C4" w:rsidRPr="001D04DF">
        <w:rPr>
          <w:rFonts w:hint="cs"/>
          <w:rtl/>
        </w:rPr>
        <w:t xml:space="preserve"> למשרדים ולמסחר.</w:t>
      </w:r>
    </w:p>
    <w:p w:rsidR="00E026A8" w:rsidRPr="001D04DF" w:rsidRDefault="00E026A8" w:rsidP="00E026A8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F58C2B" wp14:editId="7D0F03F1">
                <wp:simplePos x="0" y="0"/>
                <wp:positionH relativeFrom="margin">
                  <wp:posOffset>465103</wp:posOffset>
                </wp:positionH>
                <wp:positionV relativeFrom="paragraph">
                  <wp:posOffset>5790</wp:posOffset>
                </wp:positionV>
                <wp:extent cx="4394958" cy="215153"/>
                <wp:effectExtent l="0" t="0" r="24765" b="1397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958" cy="21515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7B" w:rsidRPr="00133B30" w:rsidRDefault="0032327B" w:rsidP="00E026A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רובו המכריע של המימון לפרוייקטים סגורים מיועד לבניה למגורים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F58C2B" id="מלבן 17" o:spid="_x0000_s1028" style="position:absolute;left:0;text-align:left;margin-left:36.6pt;margin-top:.45pt;width:346.05pt;height:16.9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" fillcolor="white [3201]" strokecolor="black [3213]" strokeweight=".25pt">
                <v:textbox>
                  <w:txbxContent>
                    <w:p w:rsidR="0032327B" w:rsidRPr="00133B30" w:rsidRDefault="0032327B" w:rsidP="00E026A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רובו המכריע של המימון לפרוייקטים סגורים מיועד לבניה למגורים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34F3" w:rsidRPr="001D04DF" w:rsidRDefault="00334DFD" w:rsidP="003734F3">
      <w:pPr>
        <w:tabs>
          <w:tab w:val="clear" w:pos="567"/>
          <w:tab w:val="clear" w:pos="1134"/>
        </w:tabs>
        <w:ind w:left="562"/>
        <w:jc w:val="center"/>
        <w:outlineLvl w:val="0"/>
        <w:rPr>
          <w:kern w:val="28"/>
          <w:sz w:val="22"/>
        </w:rPr>
      </w:pPr>
      <w:r>
        <w:rPr>
          <w:noProof/>
          <w:kern w:val="28"/>
          <w:sz w:val="22"/>
        </w:rPr>
        <w:drawing>
          <wp:inline distT="0" distB="0" distL="0" distR="0" wp14:anchorId="2661594B" wp14:editId="7475B3C9">
            <wp:extent cx="4425950" cy="2847340"/>
            <wp:effectExtent l="0" t="0" r="0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C9B" w:rsidRDefault="008A1C9B" w:rsidP="00E361CE">
      <w:pPr>
        <w:tabs>
          <w:tab w:val="clear" w:pos="567"/>
          <w:tab w:val="clear" w:pos="1134"/>
        </w:tabs>
        <w:outlineLvl w:val="0"/>
        <w:rPr>
          <w:b/>
          <w:bCs/>
          <w:i/>
          <w:iCs/>
          <w:color w:val="4F81BD" w:themeColor="accent1"/>
          <w:kern w:val="28"/>
          <w:sz w:val="22"/>
          <w:rtl/>
        </w:rPr>
      </w:pPr>
    </w:p>
    <w:p w:rsidR="004572C4" w:rsidRPr="00162857" w:rsidRDefault="00836AF9" w:rsidP="00E361CE">
      <w:pPr>
        <w:tabs>
          <w:tab w:val="clear" w:pos="567"/>
          <w:tab w:val="clear" w:pos="1134"/>
        </w:tabs>
        <w:outlineLvl w:val="0"/>
        <w:rPr>
          <w:b/>
          <w:bCs/>
          <w:i/>
          <w:iCs/>
          <w:color w:val="4F81BD" w:themeColor="accent1"/>
          <w:kern w:val="28"/>
          <w:sz w:val="22"/>
          <w:rtl/>
        </w:rPr>
      </w:pPr>
      <w:r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 xml:space="preserve">הערכת </w:t>
      </w:r>
      <w:r w:rsidR="00866172"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>ר</w:t>
      </w:r>
      <w:r w:rsidR="00381B61"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>מ</w:t>
      </w:r>
      <w:r w:rsidR="00866172"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 xml:space="preserve">ת </w:t>
      </w:r>
      <w:r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>סיכון כוללת</w:t>
      </w:r>
    </w:p>
    <w:p w:rsidR="004572C4" w:rsidRDefault="004572C4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</w:pPr>
      <w:r>
        <w:rPr>
          <w:rFonts w:hint="cs"/>
          <w:rtl/>
        </w:rPr>
        <w:t>ה</w:t>
      </w:r>
      <w:r w:rsidR="006C04EF">
        <w:rPr>
          <w:rFonts w:hint="cs"/>
          <w:rtl/>
        </w:rPr>
        <w:t xml:space="preserve">אשראי </w:t>
      </w:r>
      <w:r>
        <w:rPr>
          <w:rFonts w:hint="cs"/>
          <w:rtl/>
        </w:rPr>
        <w:t xml:space="preserve">לבנייה, </w:t>
      </w:r>
      <w:r w:rsidR="006C04EF" w:rsidRPr="003011E4">
        <w:rPr>
          <w:rFonts w:hint="cs"/>
          <w:rtl/>
        </w:rPr>
        <w:t xml:space="preserve">מוערך </w:t>
      </w:r>
      <w:r w:rsidR="006C04EF" w:rsidRPr="0058348E">
        <w:rPr>
          <w:rFonts w:hint="cs"/>
          <w:rtl/>
        </w:rPr>
        <w:t>ב</w:t>
      </w:r>
      <w:r w:rsidR="00A434E6">
        <w:rPr>
          <w:rFonts w:hint="cs"/>
          <w:rtl/>
        </w:rPr>
        <w:t xml:space="preserve">רמת </w:t>
      </w:r>
      <w:r w:rsidR="006C04EF" w:rsidRPr="0058348E">
        <w:rPr>
          <w:rFonts w:hint="cs"/>
          <w:rtl/>
        </w:rPr>
        <w:t xml:space="preserve">סיכון </w:t>
      </w:r>
      <w:r w:rsidR="00A434E6" w:rsidRPr="0058348E">
        <w:rPr>
          <w:rFonts w:hint="cs"/>
          <w:rtl/>
        </w:rPr>
        <w:t>נמו</w:t>
      </w:r>
      <w:r w:rsidR="00A434E6">
        <w:rPr>
          <w:rFonts w:hint="cs"/>
          <w:rtl/>
        </w:rPr>
        <w:t>כה</w:t>
      </w:r>
      <w:r w:rsidR="00A434E6" w:rsidRPr="003011E4">
        <w:rPr>
          <w:rFonts w:hint="cs"/>
          <w:rtl/>
        </w:rPr>
        <w:t xml:space="preserve"> </w:t>
      </w:r>
      <w:r>
        <w:rPr>
          <w:rFonts w:hint="cs"/>
          <w:rtl/>
        </w:rPr>
        <w:t>ממספר טעמים מרכזיים:</w:t>
      </w:r>
    </w:p>
    <w:p w:rsidR="005F71FE" w:rsidRPr="003C7CF0" w:rsidRDefault="004572C4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  <w:rPr>
          <w:rtl/>
        </w:rPr>
      </w:pPr>
      <w:r w:rsidRPr="00846C2A">
        <w:rPr>
          <w:rFonts w:hint="cs"/>
          <w:rtl/>
        </w:rPr>
        <w:t xml:space="preserve">מבנה </w:t>
      </w:r>
      <w:r w:rsidR="003F6147" w:rsidRPr="00846C2A">
        <w:rPr>
          <w:rFonts w:hint="cs"/>
          <w:rtl/>
        </w:rPr>
        <w:t>מימון</w:t>
      </w:r>
      <w:r w:rsidRPr="003C7CF0">
        <w:rPr>
          <w:rtl/>
        </w:rPr>
        <w:t xml:space="preserve"> בליווי סגור מפחית את </w:t>
      </w:r>
      <w:r w:rsidR="00866172" w:rsidRPr="003C7CF0">
        <w:rPr>
          <w:rFonts w:hint="eastAsia"/>
          <w:rtl/>
        </w:rPr>
        <w:t>רמת</w:t>
      </w:r>
      <w:r w:rsidR="00866172" w:rsidRPr="003C7CF0">
        <w:rPr>
          <w:rtl/>
        </w:rPr>
        <w:t xml:space="preserve"> </w:t>
      </w:r>
      <w:r w:rsidRPr="003C7CF0">
        <w:rPr>
          <w:rFonts w:hint="eastAsia"/>
          <w:rtl/>
        </w:rPr>
        <w:t>הסיכון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לבנק</w:t>
      </w:r>
      <w:r w:rsidR="00A434E6" w:rsidRPr="003C7CF0">
        <w:rPr>
          <w:rtl/>
        </w:rPr>
        <w:t>,</w:t>
      </w:r>
      <w:r w:rsidRPr="003C7CF0">
        <w:rPr>
          <w:rtl/>
        </w:rPr>
        <w:t xml:space="preserve"> </w:t>
      </w:r>
      <w:r w:rsidR="005E2D68" w:rsidRPr="003C7CF0">
        <w:rPr>
          <w:rFonts w:hint="eastAsia"/>
          <w:rtl/>
        </w:rPr>
        <w:t>מ</w:t>
      </w:r>
      <w:r w:rsidRPr="003C7CF0">
        <w:rPr>
          <w:rFonts w:hint="eastAsia"/>
          <w:rtl/>
        </w:rPr>
        <w:t>כיוון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שהאשראי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מנוהל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בחשבון</w:t>
      </w:r>
      <w:r w:rsidR="00A434E6" w:rsidRPr="003C7CF0">
        <w:rPr>
          <w:rtl/>
        </w:rPr>
        <w:t xml:space="preserve"> </w:t>
      </w:r>
      <w:r w:rsidRPr="003C7CF0">
        <w:rPr>
          <w:rFonts w:hint="eastAsia"/>
          <w:rtl/>
        </w:rPr>
        <w:t>נפרד</w:t>
      </w:r>
      <w:r w:rsidRPr="003C7CF0">
        <w:rPr>
          <w:rtl/>
        </w:rPr>
        <w:t xml:space="preserve"> </w:t>
      </w:r>
      <w:r w:rsidR="001961BA" w:rsidRPr="003C7CF0">
        <w:rPr>
          <w:rFonts w:hint="eastAsia"/>
          <w:rtl/>
        </w:rPr>
        <w:t>ייעודי</w:t>
      </w:r>
      <w:r w:rsidR="001961BA" w:rsidRPr="003C7CF0">
        <w:rPr>
          <w:rtl/>
        </w:rPr>
        <w:t xml:space="preserve"> </w:t>
      </w:r>
      <w:r w:rsidRPr="003C7CF0">
        <w:rPr>
          <w:rFonts w:hint="eastAsia"/>
          <w:rtl/>
        </w:rPr>
        <w:t>לפרוי</w:t>
      </w:r>
      <w:r w:rsidR="00A434E6" w:rsidRPr="003C7CF0">
        <w:rPr>
          <w:rFonts w:hint="eastAsia"/>
          <w:rtl/>
        </w:rPr>
        <w:t>י</w:t>
      </w:r>
      <w:r w:rsidRPr="003C7CF0">
        <w:rPr>
          <w:rFonts w:hint="eastAsia"/>
          <w:rtl/>
        </w:rPr>
        <w:t>קט</w:t>
      </w:r>
      <w:r w:rsidR="005B7E3F" w:rsidRPr="003C7CF0">
        <w:rPr>
          <w:rtl/>
        </w:rPr>
        <w:t xml:space="preserve"> ו</w:t>
      </w:r>
      <w:r w:rsidRPr="003C7CF0">
        <w:rPr>
          <w:rFonts w:hint="eastAsia"/>
          <w:rtl/>
        </w:rPr>
        <w:t>היזם</w:t>
      </w:r>
      <w:r w:rsidRPr="003C7CF0">
        <w:rPr>
          <w:rtl/>
        </w:rPr>
        <w:t xml:space="preserve"> לא יכול למשוך כספים </w:t>
      </w:r>
      <w:r w:rsidR="003F6147" w:rsidRPr="003C7CF0">
        <w:rPr>
          <w:rFonts w:hint="eastAsia"/>
          <w:rtl/>
        </w:rPr>
        <w:t>מהחשבון</w:t>
      </w:r>
      <w:r w:rsidR="003F6147" w:rsidRPr="003C7CF0">
        <w:rPr>
          <w:rtl/>
        </w:rPr>
        <w:t xml:space="preserve"> </w:t>
      </w:r>
      <w:r w:rsidRPr="003C7CF0">
        <w:rPr>
          <w:rFonts w:hint="eastAsia"/>
          <w:rtl/>
        </w:rPr>
        <w:t>ללא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הסכמת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הבנק</w:t>
      </w:r>
      <w:r w:rsidR="005B7E3F" w:rsidRPr="003C7CF0">
        <w:rPr>
          <w:rtl/>
        </w:rPr>
        <w:t xml:space="preserve"> ו</w:t>
      </w:r>
      <w:r w:rsidR="003F6147" w:rsidRPr="003C7CF0">
        <w:rPr>
          <w:rFonts w:hint="eastAsia"/>
          <w:rtl/>
        </w:rPr>
        <w:t>בפרט</w:t>
      </w:r>
      <w:r w:rsidR="003F6147" w:rsidRPr="003C7CF0">
        <w:rPr>
          <w:rtl/>
        </w:rPr>
        <w:t xml:space="preserve"> </w:t>
      </w:r>
      <w:r w:rsidR="003F6147" w:rsidRPr="003C7CF0">
        <w:rPr>
          <w:rFonts w:hint="eastAsia"/>
          <w:rtl/>
        </w:rPr>
        <w:t>כספים</w:t>
      </w:r>
      <w:r w:rsidRPr="003C7CF0">
        <w:rPr>
          <w:rtl/>
        </w:rPr>
        <w:t xml:space="preserve"> </w:t>
      </w:r>
      <w:r w:rsidR="00A434E6" w:rsidRPr="003C7CF0">
        <w:rPr>
          <w:rFonts w:hint="eastAsia"/>
          <w:rtl/>
        </w:rPr>
        <w:t>שלא</w:t>
      </w:r>
      <w:r w:rsidR="00A434E6" w:rsidRPr="003C7CF0">
        <w:rPr>
          <w:rtl/>
        </w:rPr>
        <w:t xml:space="preserve"> </w:t>
      </w:r>
      <w:r w:rsidR="003F6147" w:rsidRPr="003C7CF0">
        <w:rPr>
          <w:rFonts w:hint="eastAsia"/>
          <w:rtl/>
        </w:rPr>
        <w:t>מיועדים</w:t>
      </w:r>
      <w:r w:rsidR="003F6147" w:rsidRPr="003C7CF0">
        <w:rPr>
          <w:rtl/>
        </w:rPr>
        <w:t xml:space="preserve"> </w:t>
      </w:r>
      <w:r w:rsidR="003F6147" w:rsidRPr="003C7CF0">
        <w:rPr>
          <w:rFonts w:hint="eastAsia"/>
          <w:rtl/>
        </w:rPr>
        <w:t>למימון</w:t>
      </w:r>
      <w:r w:rsidRPr="003C7CF0">
        <w:rPr>
          <w:rtl/>
        </w:rPr>
        <w:t xml:space="preserve"> הבנייה בפרוי</w:t>
      </w:r>
      <w:r w:rsidR="00A434E6" w:rsidRPr="003C7CF0">
        <w:rPr>
          <w:rFonts w:hint="eastAsia"/>
          <w:rtl/>
        </w:rPr>
        <w:t>י</w:t>
      </w:r>
      <w:r w:rsidRPr="003C7CF0">
        <w:rPr>
          <w:rFonts w:hint="eastAsia"/>
          <w:rtl/>
        </w:rPr>
        <w:t>קט</w:t>
      </w:r>
      <w:r w:rsidRPr="003C7CF0">
        <w:rPr>
          <w:rtl/>
        </w:rPr>
        <w:t xml:space="preserve">. </w:t>
      </w:r>
      <w:r w:rsidRPr="003C7CF0">
        <w:rPr>
          <w:rFonts w:hint="eastAsia"/>
          <w:rtl/>
        </w:rPr>
        <w:t>הליווי</w:t>
      </w:r>
      <w:r w:rsidRPr="003C7CF0">
        <w:rPr>
          <w:rtl/>
        </w:rPr>
        <w:t xml:space="preserve"> הסגור מבטיח </w:t>
      </w:r>
      <w:r w:rsidR="005E2D68" w:rsidRPr="003C7CF0">
        <w:rPr>
          <w:rFonts w:hint="eastAsia"/>
          <w:rtl/>
        </w:rPr>
        <w:t>גם</w:t>
      </w:r>
      <w:r w:rsidR="005E2D68" w:rsidRPr="003C7CF0">
        <w:rPr>
          <w:rtl/>
        </w:rPr>
        <w:t xml:space="preserve"> </w:t>
      </w:r>
      <w:r w:rsidRPr="003C7CF0">
        <w:rPr>
          <w:rFonts w:hint="eastAsia"/>
          <w:rtl/>
        </w:rPr>
        <w:t>התנהלות</w:t>
      </w:r>
      <w:r w:rsidRPr="003C7CF0">
        <w:rPr>
          <w:rtl/>
        </w:rPr>
        <w:t xml:space="preserve"> </w:t>
      </w:r>
      <w:r w:rsidR="001961BA" w:rsidRPr="003C7CF0">
        <w:rPr>
          <w:rFonts w:hint="eastAsia"/>
          <w:rtl/>
        </w:rPr>
        <w:t>בהתאם</w:t>
      </w:r>
      <w:r w:rsidRPr="003C7CF0">
        <w:rPr>
          <w:rtl/>
        </w:rPr>
        <w:t xml:space="preserve"> </w:t>
      </w:r>
      <w:r w:rsidR="001961BA" w:rsidRPr="003C7CF0">
        <w:rPr>
          <w:rFonts w:hint="eastAsia"/>
          <w:rtl/>
        </w:rPr>
        <w:t>ל</w:t>
      </w:r>
      <w:r w:rsidRPr="003C7CF0">
        <w:rPr>
          <w:rFonts w:hint="eastAsia"/>
          <w:rtl/>
        </w:rPr>
        <w:t>תקציב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מוגדר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מראש</w:t>
      </w:r>
      <w:r w:rsidRPr="003C7CF0">
        <w:rPr>
          <w:rtl/>
        </w:rPr>
        <w:t xml:space="preserve"> (</w:t>
      </w:r>
      <w:r w:rsidR="001961BA" w:rsidRPr="003C7CF0">
        <w:rPr>
          <w:rFonts w:hint="eastAsia"/>
          <w:rtl/>
        </w:rPr>
        <w:t>דוח־</w:t>
      </w:r>
      <w:r w:rsidR="00D22CB2" w:rsidRPr="003C7CF0">
        <w:rPr>
          <w:rtl/>
        </w:rPr>
        <w:t xml:space="preserve"> </w:t>
      </w:r>
      <w:r w:rsidRPr="003C7CF0">
        <w:rPr>
          <w:rFonts w:hint="eastAsia"/>
          <w:rtl/>
        </w:rPr>
        <w:t>אפס</w:t>
      </w:r>
      <w:r w:rsidRPr="003C7CF0">
        <w:rPr>
          <w:rtl/>
        </w:rPr>
        <w:t>)</w:t>
      </w:r>
      <w:r w:rsidR="005B7E3F" w:rsidRPr="003C7CF0">
        <w:rPr>
          <w:rtl/>
        </w:rPr>
        <w:t xml:space="preserve"> ו</w:t>
      </w:r>
      <w:r w:rsidRPr="003C7CF0">
        <w:rPr>
          <w:rFonts w:hint="eastAsia"/>
          <w:rtl/>
        </w:rPr>
        <w:t>הבנייה</w:t>
      </w:r>
      <w:r w:rsidRPr="003C7CF0">
        <w:rPr>
          <w:rtl/>
        </w:rPr>
        <w:t xml:space="preserve"> מלווה ע"י מפקחים </w:t>
      </w:r>
      <w:r w:rsidR="00FC4CF9" w:rsidRPr="003C7CF0">
        <w:rPr>
          <w:rFonts w:hint="eastAsia"/>
          <w:rtl/>
        </w:rPr>
        <w:t>חיצוניים</w:t>
      </w:r>
      <w:r w:rsidR="00FC4CF9" w:rsidRPr="003C7CF0">
        <w:rPr>
          <w:rtl/>
        </w:rPr>
        <w:t xml:space="preserve"> </w:t>
      </w:r>
      <w:r w:rsidRPr="003C7CF0">
        <w:rPr>
          <w:rFonts w:hint="eastAsia"/>
          <w:rtl/>
        </w:rPr>
        <w:t>מטעם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הבנק</w:t>
      </w:r>
      <w:r w:rsidR="001961BA" w:rsidRPr="003C7CF0">
        <w:rPr>
          <w:rtl/>
        </w:rPr>
        <w:t>,</w:t>
      </w:r>
      <w:r w:rsidRPr="003C7CF0">
        <w:rPr>
          <w:rtl/>
        </w:rPr>
        <w:t xml:space="preserve"> שמבצעים בקרה על קצב התקדמות העבודות בשטח ועל ההוצאות </w:t>
      </w:r>
      <w:r w:rsidR="002709CC" w:rsidRPr="003C7CF0">
        <w:rPr>
          <w:rFonts w:hint="eastAsia"/>
          <w:rtl/>
        </w:rPr>
        <w:t>והכנסות</w:t>
      </w:r>
      <w:r w:rsidR="001961BA" w:rsidRPr="003C7CF0">
        <w:rPr>
          <w:rtl/>
        </w:rPr>
        <w:t>,</w:t>
      </w:r>
      <w:r w:rsidRPr="003C7CF0">
        <w:rPr>
          <w:rtl/>
        </w:rPr>
        <w:t xml:space="preserve"> בהתאם לתקציב שתוכנן.</w:t>
      </w:r>
      <w:r w:rsidR="003F6147" w:rsidRPr="003C7CF0">
        <w:rPr>
          <w:rtl/>
        </w:rPr>
        <w:t xml:space="preserve"> </w:t>
      </w:r>
    </w:p>
    <w:p w:rsidR="005F71FE" w:rsidRPr="003C7CF0" w:rsidRDefault="004572C4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  <w:rPr>
          <w:rtl/>
        </w:rPr>
      </w:pPr>
      <w:r w:rsidRPr="003C7CF0">
        <w:rPr>
          <w:rFonts w:hint="eastAsia"/>
          <w:rtl/>
        </w:rPr>
        <w:t>חלק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משמעותי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מ</w:t>
      </w:r>
      <w:r w:rsidR="00D60403" w:rsidRPr="003C7CF0">
        <w:rPr>
          <w:rFonts w:hint="eastAsia"/>
          <w:rtl/>
        </w:rPr>
        <w:t>החשיפה</w:t>
      </w:r>
      <w:r w:rsidR="00D60403" w:rsidRPr="003C7CF0">
        <w:rPr>
          <w:rtl/>
        </w:rPr>
        <w:t xml:space="preserve"> </w:t>
      </w:r>
      <w:r w:rsidR="00D60403" w:rsidRPr="003C7CF0">
        <w:rPr>
          <w:rFonts w:hint="eastAsia"/>
          <w:rtl/>
        </w:rPr>
        <w:t>להקמת</w:t>
      </w:r>
      <w:r w:rsidR="00D60403" w:rsidRPr="003C7CF0">
        <w:rPr>
          <w:rtl/>
        </w:rPr>
        <w:t xml:space="preserve"> </w:t>
      </w:r>
      <w:r w:rsidR="00D60403" w:rsidRPr="003C7CF0">
        <w:rPr>
          <w:rFonts w:hint="eastAsia"/>
          <w:rtl/>
        </w:rPr>
        <w:t>פרוייקטים</w:t>
      </w:r>
      <w:r w:rsidR="00D60403" w:rsidRPr="003C7CF0">
        <w:rPr>
          <w:rtl/>
        </w:rPr>
        <w:t xml:space="preserve"> </w:t>
      </w:r>
      <w:r w:rsidR="00D60403" w:rsidRPr="003C7CF0">
        <w:rPr>
          <w:rFonts w:hint="eastAsia"/>
          <w:rtl/>
        </w:rPr>
        <w:t>סגורים</w:t>
      </w:r>
      <w:r w:rsidRPr="003C7CF0">
        <w:rPr>
          <w:rtl/>
        </w:rPr>
        <w:t xml:space="preserve"> מועמד</w:t>
      </w:r>
      <w:r w:rsidR="005F71FE" w:rsidRPr="003C7CF0">
        <w:rPr>
          <w:rtl/>
        </w:rPr>
        <w:t xml:space="preserve"> כאמור </w:t>
      </w:r>
      <w:r w:rsidRPr="003C7CF0">
        <w:rPr>
          <w:rFonts w:hint="eastAsia"/>
          <w:rtl/>
        </w:rPr>
        <w:t>באמצעות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ערבויות</w:t>
      </w:r>
      <w:r w:rsidR="00BF5B72" w:rsidRPr="003C7CF0">
        <w:rPr>
          <w:rtl/>
        </w:rPr>
        <w:t xml:space="preserve"> חוק מכר ולא באמצעות ניצול כספי ובכך</w:t>
      </w:r>
      <w:r w:rsidR="001961BA" w:rsidRPr="003C7CF0">
        <w:rPr>
          <w:rtl/>
        </w:rPr>
        <w:t xml:space="preserve"> פוחתת רמת</w:t>
      </w:r>
      <w:r w:rsidR="00BF5B72" w:rsidRPr="003C7CF0">
        <w:rPr>
          <w:rtl/>
        </w:rPr>
        <w:t xml:space="preserve"> הסיכון </w:t>
      </w:r>
      <w:r w:rsidR="001275DC" w:rsidRPr="003C7CF0">
        <w:rPr>
          <w:rFonts w:hint="eastAsia"/>
          <w:rtl/>
        </w:rPr>
        <w:t>לבנק</w:t>
      </w:r>
      <w:r w:rsidR="001275DC" w:rsidRPr="003C7CF0">
        <w:rPr>
          <w:rtl/>
        </w:rPr>
        <w:t>,</w:t>
      </w:r>
      <w:r w:rsidR="00BF5B72" w:rsidRPr="003C7CF0">
        <w:rPr>
          <w:rtl/>
        </w:rPr>
        <w:t xml:space="preserve"> </w:t>
      </w:r>
      <w:r w:rsidR="001275DC" w:rsidRPr="003C7CF0">
        <w:rPr>
          <w:rFonts w:hint="eastAsia"/>
          <w:rtl/>
        </w:rPr>
        <w:t>שכן</w:t>
      </w:r>
      <w:r w:rsidR="001275DC" w:rsidRPr="003C7CF0">
        <w:rPr>
          <w:rtl/>
        </w:rPr>
        <w:t xml:space="preserve"> קיימת </w:t>
      </w:r>
      <w:r w:rsidR="001275DC" w:rsidRPr="003C7CF0">
        <w:rPr>
          <w:rFonts w:hint="eastAsia"/>
          <w:rtl/>
        </w:rPr>
        <w:t>ודאות</w:t>
      </w:r>
      <w:r w:rsidR="001275DC" w:rsidRPr="003C7CF0">
        <w:rPr>
          <w:rtl/>
        </w:rPr>
        <w:t xml:space="preserve"> לגבי התקבולים </w:t>
      </w:r>
      <w:r w:rsidR="006252A3" w:rsidRPr="003C7CF0">
        <w:rPr>
          <w:rFonts w:hint="eastAsia"/>
          <w:rtl/>
        </w:rPr>
        <w:t>מהמכירות</w:t>
      </w:r>
      <w:r w:rsidR="006252A3" w:rsidRPr="003C7CF0">
        <w:rPr>
          <w:rtl/>
        </w:rPr>
        <w:t xml:space="preserve"> </w:t>
      </w:r>
      <w:r w:rsidR="005F71FE" w:rsidRPr="003C7CF0">
        <w:rPr>
          <w:rFonts w:hint="eastAsia"/>
          <w:rtl/>
        </w:rPr>
        <w:t>של</w:t>
      </w:r>
      <w:r w:rsidR="005F71FE" w:rsidRPr="003C7CF0">
        <w:rPr>
          <w:rtl/>
        </w:rPr>
        <w:t xml:space="preserve"> </w:t>
      </w:r>
      <w:r w:rsidR="005F71FE" w:rsidRPr="003C7CF0">
        <w:rPr>
          <w:rFonts w:hint="eastAsia"/>
          <w:rtl/>
        </w:rPr>
        <w:t>הפרוייקט</w:t>
      </w:r>
      <w:r w:rsidR="001275DC" w:rsidRPr="003C7CF0">
        <w:rPr>
          <w:rtl/>
        </w:rPr>
        <w:t>.</w:t>
      </w:r>
    </w:p>
    <w:p w:rsidR="008A1C9B" w:rsidRDefault="00BF5B72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  <w:rPr>
          <w:b/>
          <w:bCs/>
          <w:color w:val="4F81BD" w:themeColor="accent1"/>
        </w:rPr>
      </w:pPr>
      <w:r w:rsidRPr="003C7CF0">
        <w:rPr>
          <w:rFonts w:hint="eastAsia"/>
          <w:rtl/>
        </w:rPr>
        <w:t>ת</w:t>
      </w:r>
      <w:r w:rsidR="005F71FE" w:rsidRPr="003C7CF0">
        <w:rPr>
          <w:rFonts w:hint="eastAsia"/>
          <w:rtl/>
        </w:rPr>
        <w:t>י</w:t>
      </w:r>
      <w:r w:rsidRPr="003C7CF0">
        <w:rPr>
          <w:rFonts w:hint="eastAsia"/>
          <w:rtl/>
        </w:rPr>
        <w:t>אבון</w:t>
      </w:r>
      <w:r w:rsidRPr="003C7CF0">
        <w:rPr>
          <w:rtl/>
        </w:rPr>
        <w:t xml:space="preserve"> הסיכון של הבנקים למימון פרוייקטים סגורים הוא </w:t>
      </w:r>
      <w:r w:rsidR="005F71FE" w:rsidRPr="003C7CF0">
        <w:rPr>
          <w:rFonts w:hint="eastAsia"/>
          <w:rtl/>
        </w:rPr>
        <w:t>שמרני</w:t>
      </w:r>
      <w:r w:rsidR="005F71FE" w:rsidRPr="003C7CF0">
        <w:rPr>
          <w:rtl/>
        </w:rPr>
        <w:t xml:space="preserve"> </w:t>
      </w:r>
      <w:r w:rsidRPr="003C7CF0">
        <w:rPr>
          <w:rFonts w:hint="eastAsia"/>
          <w:rtl/>
        </w:rPr>
        <w:t>יחסית</w:t>
      </w:r>
      <w:r w:rsidRPr="003C7CF0">
        <w:rPr>
          <w:rtl/>
        </w:rPr>
        <w:t xml:space="preserve">. שמרנות </w:t>
      </w:r>
      <w:r w:rsidR="003F6147" w:rsidRPr="003C7CF0">
        <w:rPr>
          <w:rFonts w:hint="eastAsia"/>
          <w:rtl/>
        </w:rPr>
        <w:t>זו</w:t>
      </w:r>
      <w:r w:rsidR="003F6147" w:rsidRPr="003C7CF0">
        <w:rPr>
          <w:rtl/>
        </w:rPr>
        <w:t xml:space="preserve"> באה לידי ביטוי, בין היתר, </w:t>
      </w:r>
      <w:r w:rsidRPr="003C7CF0">
        <w:rPr>
          <w:rFonts w:hint="eastAsia"/>
          <w:rtl/>
        </w:rPr>
        <w:t>בדרישה</w:t>
      </w:r>
      <w:r w:rsidRPr="003C7CF0">
        <w:rPr>
          <w:rtl/>
        </w:rPr>
        <w:t xml:space="preserve"> </w:t>
      </w:r>
      <w:r w:rsidRPr="003C7CF0">
        <w:rPr>
          <w:rFonts w:hint="eastAsia"/>
          <w:rtl/>
        </w:rPr>
        <w:t>לשיעורי</w:t>
      </w:r>
      <w:r w:rsidR="003F6147" w:rsidRPr="003C7CF0">
        <w:rPr>
          <w:rFonts w:hint="eastAsia"/>
          <w:rtl/>
        </w:rPr>
        <w:t>ם</w:t>
      </w:r>
      <w:r w:rsidR="003F6147" w:rsidRPr="003C7CF0">
        <w:rPr>
          <w:rtl/>
        </w:rPr>
        <w:t xml:space="preserve"> </w:t>
      </w:r>
      <w:r w:rsidR="005F71FE" w:rsidRPr="003C7CF0">
        <w:rPr>
          <w:rFonts w:hint="eastAsia"/>
          <w:rtl/>
        </w:rPr>
        <w:t>מזעריים</w:t>
      </w:r>
      <w:r w:rsidR="005F71FE" w:rsidRPr="003C7CF0">
        <w:rPr>
          <w:rtl/>
        </w:rPr>
        <w:t xml:space="preserve"> </w:t>
      </w:r>
      <w:r w:rsidR="005F71FE" w:rsidRPr="003C7CF0">
        <w:rPr>
          <w:rFonts w:hint="eastAsia"/>
          <w:rtl/>
        </w:rPr>
        <w:t>במשתנים</w:t>
      </w:r>
      <w:r w:rsidR="005F71FE" w:rsidRPr="003C7CF0">
        <w:rPr>
          <w:rtl/>
        </w:rPr>
        <w:t xml:space="preserve"> </w:t>
      </w:r>
      <w:r w:rsidR="003F6147" w:rsidRPr="003C7CF0">
        <w:rPr>
          <w:rFonts w:hint="eastAsia"/>
          <w:rtl/>
        </w:rPr>
        <w:t>כגון</w:t>
      </w:r>
      <w:r w:rsidR="003F6147" w:rsidRPr="003C7CF0">
        <w:rPr>
          <w:rtl/>
        </w:rPr>
        <w:t xml:space="preserve">: שיעור </w:t>
      </w:r>
      <w:r w:rsidR="00B43C5B" w:rsidRPr="003C7CF0">
        <w:rPr>
          <w:rFonts w:hint="eastAsia"/>
          <w:rtl/>
        </w:rPr>
        <w:t>ההון</w:t>
      </w:r>
      <w:r w:rsidR="00B43C5B" w:rsidRPr="003C7CF0">
        <w:rPr>
          <w:rtl/>
        </w:rPr>
        <w:t xml:space="preserve"> </w:t>
      </w:r>
      <w:r w:rsidR="00B43C5B" w:rsidRPr="003C7CF0">
        <w:rPr>
          <w:rFonts w:hint="eastAsia"/>
          <w:rtl/>
        </w:rPr>
        <w:t>העצמי</w:t>
      </w:r>
      <w:r w:rsidR="00B43C5B" w:rsidRPr="003C7CF0">
        <w:rPr>
          <w:rtl/>
        </w:rPr>
        <w:t xml:space="preserve"> </w:t>
      </w:r>
      <w:r w:rsidR="00B43C5B" w:rsidRPr="003C7CF0">
        <w:rPr>
          <w:rFonts w:hint="eastAsia"/>
          <w:rtl/>
        </w:rPr>
        <w:t>שהיזם</w:t>
      </w:r>
      <w:r w:rsidR="00B43C5B" w:rsidRPr="003C7CF0">
        <w:rPr>
          <w:rtl/>
        </w:rPr>
        <w:t xml:space="preserve"> </w:t>
      </w:r>
      <w:r w:rsidR="00B43C5B" w:rsidRPr="003C7CF0">
        <w:rPr>
          <w:rFonts w:hint="eastAsia"/>
          <w:rtl/>
        </w:rPr>
        <w:t>משקיע</w:t>
      </w:r>
      <w:r w:rsidR="00B43C5B" w:rsidRPr="003C7CF0">
        <w:rPr>
          <w:rtl/>
        </w:rPr>
        <w:t xml:space="preserve"> </w:t>
      </w:r>
      <w:r w:rsidR="00B43C5B" w:rsidRPr="003C7CF0">
        <w:rPr>
          <w:rFonts w:hint="eastAsia"/>
          <w:rtl/>
        </w:rPr>
        <w:t>בפרו</w:t>
      </w:r>
      <w:r w:rsidR="00A434E6" w:rsidRPr="003C7CF0">
        <w:rPr>
          <w:rFonts w:hint="eastAsia"/>
          <w:rtl/>
        </w:rPr>
        <w:t>י</w:t>
      </w:r>
      <w:r w:rsidR="00B43C5B" w:rsidRPr="003C7CF0">
        <w:rPr>
          <w:rFonts w:hint="eastAsia"/>
          <w:rtl/>
        </w:rPr>
        <w:t>יקט</w:t>
      </w:r>
      <w:r w:rsidR="005F71FE" w:rsidRPr="003C7CF0">
        <w:rPr>
          <w:rtl/>
        </w:rPr>
        <w:t xml:space="preserve">; </w:t>
      </w:r>
      <w:r w:rsidR="003F6147" w:rsidRPr="003C7CF0">
        <w:rPr>
          <w:rFonts w:hint="eastAsia"/>
          <w:rtl/>
        </w:rPr>
        <w:t>שיעור</w:t>
      </w:r>
      <w:r w:rsidR="003F6147" w:rsidRPr="003C7CF0">
        <w:rPr>
          <w:rtl/>
        </w:rPr>
        <w:t xml:space="preserve"> מכירות </w:t>
      </w:r>
      <w:r w:rsidR="00D60403" w:rsidRPr="003C7CF0">
        <w:rPr>
          <w:rFonts w:hint="eastAsia"/>
          <w:rtl/>
        </w:rPr>
        <w:t>או</w:t>
      </w:r>
      <w:r w:rsidR="00D60403" w:rsidRPr="003C7CF0">
        <w:rPr>
          <w:rtl/>
        </w:rPr>
        <w:t xml:space="preserve"> </w:t>
      </w:r>
      <w:r w:rsidR="00D60403" w:rsidRPr="003C7CF0">
        <w:rPr>
          <w:rFonts w:hint="eastAsia"/>
          <w:rtl/>
        </w:rPr>
        <w:t>השכרות</w:t>
      </w:r>
      <w:r w:rsidR="003F6147" w:rsidRPr="003C7CF0">
        <w:rPr>
          <w:rtl/>
        </w:rPr>
        <w:t xml:space="preserve"> מוקדמות</w:t>
      </w:r>
      <w:r w:rsidR="005F71FE" w:rsidRPr="003C7CF0">
        <w:rPr>
          <w:rtl/>
        </w:rPr>
        <w:t>;</w:t>
      </w:r>
      <w:r w:rsidR="003F6147" w:rsidRPr="003C7CF0">
        <w:rPr>
          <w:rtl/>
        </w:rPr>
        <w:t xml:space="preserve"> רווח יזמי</w:t>
      </w:r>
      <w:r w:rsidR="00FC4CF9" w:rsidRPr="003C7CF0">
        <w:rPr>
          <w:rtl/>
        </w:rPr>
        <w:t xml:space="preserve"> נדרש </w:t>
      </w:r>
      <w:r w:rsidR="005F71FE" w:rsidRPr="003C7CF0">
        <w:rPr>
          <w:rFonts w:hint="eastAsia"/>
          <w:rtl/>
        </w:rPr>
        <w:t>לפי</w:t>
      </w:r>
      <w:r w:rsidR="00FC4CF9" w:rsidRPr="003C7CF0">
        <w:rPr>
          <w:rtl/>
        </w:rPr>
        <w:t xml:space="preserve"> התכנון</w:t>
      </w:r>
      <w:r w:rsidR="005F71FE" w:rsidRPr="003C7CF0">
        <w:rPr>
          <w:rtl/>
        </w:rPr>
        <w:t>;</w:t>
      </w:r>
      <w:r w:rsidR="005B7E3F" w:rsidRPr="003C7CF0">
        <w:rPr>
          <w:rtl/>
        </w:rPr>
        <w:t xml:space="preserve"> ו</w:t>
      </w:r>
      <w:r w:rsidR="003F6147" w:rsidRPr="003C7CF0">
        <w:rPr>
          <w:rFonts w:hint="eastAsia"/>
          <w:rtl/>
        </w:rPr>
        <w:t>כושר</w:t>
      </w:r>
      <w:r w:rsidR="003F6147" w:rsidRPr="003C7CF0">
        <w:rPr>
          <w:rtl/>
        </w:rPr>
        <w:t xml:space="preserve"> </w:t>
      </w:r>
      <w:r w:rsidR="003F6147" w:rsidRPr="003C7CF0">
        <w:rPr>
          <w:rFonts w:hint="eastAsia"/>
          <w:rtl/>
        </w:rPr>
        <w:t>ספיגה</w:t>
      </w:r>
      <w:r w:rsidR="00B43C5B" w:rsidRPr="003C7CF0">
        <w:rPr>
          <w:rtl/>
        </w:rPr>
        <w:t xml:space="preserve"> </w:t>
      </w:r>
      <w:r w:rsidR="00D60403" w:rsidRPr="003C7CF0">
        <w:rPr>
          <w:rFonts w:hint="eastAsia"/>
          <w:rtl/>
        </w:rPr>
        <w:t>בפרוי</w:t>
      </w:r>
      <w:r w:rsidR="00A434E6" w:rsidRPr="003C7CF0">
        <w:rPr>
          <w:rFonts w:hint="eastAsia"/>
          <w:rtl/>
        </w:rPr>
        <w:t>י</w:t>
      </w:r>
      <w:r w:rsidR="00D60403" w:rsidRPr="003C7CF0">
        <w:rPr>
          <w:rFonts w:hint="eastAsia"/>
          <w:rtl/>
        </w:rPr>
        <w:t>קטים</w:t>
      </w:r>
      <w:r w:rsidR="00D60403" w:rsidRPr="003C7CF0">
        <w:rPr>
          <w:rtl/>
        </w:rPr>
        <w:t xml:space="preserve"> </w:t>
      </w:r>
      <w:r w:rsidR="00D60403" w:rsidRPr="003C7CF0">
        <w:rPr>
          <w:rFonts w:hint="eastAsia"/>
          <w:rtl/>
        </w:rPr>
        <w:t>למגורים</w:t>
      </w:r>
      <w:r w:rsidR="005E2D68" w:rsidRPr="003C7CF0">
        <w:rPr>
          <w:rtl/>
        </w:rPr>
        <w:t>,</w:t>
      </w:r>
      <w:r w:rsidR="00D60403" w:rsidRPr="003C7CF0">
        <w:rPr>
          <w:rtl/>
        </w:rPr>
        <w:t xml:space="preserve"> </w:t>
      </w:r>
      <w:r w:rsidR="005F71FE" w:rsidRPr="003C7CF0">
        <w:rPr>
          <w:rFonts w:hint="eastAsia"/>
          <w:rtl/>
        </w:rPr>
        <w:t>ש</w:t>
      </w:r>
      <w:r w:rsidR="00B43C5B" w:rsidRPr="003C7CF0">
        <w:rPr>
          <w:rFonts w:hint="eastAsia"/>
          <w:rtl/>
        </w:rPr>
        <w:t>מבטא</w:t>
      </w:r>
      <w:r w:rsidR="00B43C5B" w:rsidRPr="003C7CF0">
        <w:rPr>
          <w:rtl/>
        </w:rPr>
        <w:t xml:space="preserve"> את היכולת לספוג </w:t>
      </w:r>
      <w:r w:rsidR="00116D08" w:rsidRPr="003C7CF0">
        <w:rPr>
          <w:rFonts w:hint="eastAsia"/>
          <w:rtl/>
        </w:rPr>
        <w:t>שינוים</w:t>
      </w:r>
      <w:r w:rsidR="00116D08" w:rsidRPr="003C7CF0">
        <w:rPr>
          <w:rtl/>
        </w:rPr>
        <w:t xml:space="preserve"> </w:t>
      </w:r>
      <w:r w:rsidR="00116D08" w:rsidRPr="003C7CF0">
        <w:rPr>
          <w:rFonts w:hint="eastAsia"/>
          <w:rtl/>
        </w:rPr>
        <w:t>במחירים</w:t>
      </w:r>
      <w:r w:rsidR="00B43C5B" w:rsidRPr="003C7CF0">
        <w:rPr>
          <w:rtl/>
        </w:rPr>
        <w:t>.</w:t>
      </w:r>
    </w:p>
    <w:p w:rsidR="00E026A8" w:rsidRDefault="00E026A8" w:rsidP="00162857">
      <w:pPr>
        <w:tabs>
          <w:tab w:val="clear" w:pos="567"/>
          <w:tab w:val="clear" w:pos="1134"/>
        </w:tabs>
        <w:outlineLvl w:val="0"/>
        <w:rPr>
          <w:b/>
          <w:bCs/>
          <w:i/>
          <w:iCs/>
          <w:color w:val="4F81BD" w:themeColor="accent1"/>
          <w:kern w:val="28"/>
          <w:sz w:val="22"/>
          <w:rtl/>
        </w:rPr>
      </w:pPr>
    </w:p>
    <w:p w:rsidR="00836AF9" w:rsidRPr="00162857" w:rsidRDefault="00836AF9" w:rsidP="00162857">
      <w:pPr>
        <w:tabs>
          <w:tab w:val="clear" w:pos="567"/>
          <w:tab w:val="clear" w:pos="1134"/>
        </w:tabs>
        <w:outlineLvl w:val="0"/>
        <w:rPr>
          <w:b/>
          <w:bCs/>
          <w:i/>
          <w:iCs/>
          <w:color w:val="4F81BD" w:themeColor="accent1"/>
          <w:kern w:val="28"/>
          <w:sz w:val="22"/>
          <w:rtl/>
        </w:rPr>
      </w:pPr>
      <w:r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>מדדי סיכון נבחרים</w:t>
      </w:r>
    </w:p>
    <w:p w:rsidR="0078266B" w:rsidRDefault="00FC4CF9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rPr>
          <w:rtl/>
        </w:rPr>
      </w:pPr>
      <w:r>
        <w:rPr>
          <w:rFonts w:hint="cs"/>
          <w:rtl/>
        </w:rPr>
        <w:t>הסקירה בחנה</w:t>
      </w:r>
      <w:r w:rsidR="001F2658">
        <w:rPr>
          <w:rFonts w:hint="cs"/>
          <w:rtl/>
        </w:rPr>
        <w:t xml:space="preserve"> בתיק הבנייה</w:t>
      </w:r>
      <w:r>
        <w:rPr>
          <w:rFonts w:hint="cs"/>
          <w:rtl/>
        </w:rPr>
        <w:t xml:space="preserve"> את </w:t>
      </w:r>
      <w:r w:rsidR="005F71FE">
        <w:rPr>
          <w:rFonts w:hint="cs"/>
          <w:rtl/>
        </w:rPr>
        <w:t xml:space="preserve">רמות </w:t>
      </w:r>
      <w:r>
        <w:rPr>
          <w:rFonts w:hint="cs"/>
          <w:rtl/>
        </w:rPr>
        <w:t>הסיכון של הפרוי</w:t>
      </w:r>
      <w:r w:rsidR="00A434E6">
        <w:rPr>
          <w:rFonts w:hint="cs"/>
          <w:rtl/>
        </w:rPr>
        <w:t>י</w:t>
      </w:r>
      <w:r>
        <w:rPr>
          <w:rFonts w:hint="cs"/>
          <w:rtl/>
        </w:rPr>
        <w:t xml:space="preserve">קטים הסגורים </w:t>
      </w:r>
      <w:r w:rsidR="005F6966">
        <w:rPr>
          <w:rFonts w:hint="cs"/>
          <w:rtl/>
        </w:rPr>
        <w:t xml:space="preserve">שמיועדים </w:t>
      </w:r>
      <w:r w:rsidR="006252A3" w:rsidRPr="00E361CE">
        <w:rPr>
          <w:rFonts w:hint="cs"/>
          <w:rtl/>
        </w:rPr>
        <w:t>למגורים</w:t>
      </w:r>
      <w:r w:rsidR="005F71FE" w:rsidRPr="00E361CE">
        <w:rPr>
          <w:rFonts w:hint="cs"/>
          <w:rtl/>
        </w:rPr>
        <w:t xml:space="preserve"> </w:t>
      </w:r>
      <w:r w:rsidR="001F2658">
        <w:rPr>
          <w:rFonts w:hint="cs"/>
          <w:rtl/>
        </w:rPr>
        <w:t>ו</w:t>
      </w:r>
      <w:r w:rsidR="005F6966">
        <w:rPr>
          <w:rFonts w:hint="cs"/>
          <w:rtl/>
        </w:rPr>
        <w:t xml:space="preserve">של הפרוייקטים </w:t>
      </w:r>
      <w:r w:rsidR="005F71FE">
        <w:rPr>
          <w:rFonts w:hint="cs"/>
          <w:rtl/>
        </w:rPr>
        <w:t>ש</w:t>
      </w:r>
      <w:r w:rsidR="005F71FE" w:rsidRPr="00E361CE">
        <w:rPr>
          <w:rFonts w:hint="cs"/>
          <w:rtl/>
        </w:rPr>
        <w:t>מיועדים</w:t>
      </w:r>
      <w:r w:rsidR="005F71FE">
        <w:rPr>
          <w:rFonts w:hint="cs"/>
          <w:rtl/>
        </w:rPr>
        <w:t xml:space="preserve"> </w:t>
      </w:r>
      <w:r w:rsidR="006408CB">
        <w:rPr>
          <w:rFonts w:hint="cs"/>
          <w:rtl/>
        </w:rPr>
        <w:t>למכירה</w:t>
      </w:r>
      <w:r w:rsidR="005F71FE">
        <w:rPr>
          <w:rFonts w:hint="cs"/>
          <w:rtl/>
        </w:rPr>
        <w:t xml:space="preserve"> </w:t>
      </w:r>
      <w:r w:rsidR="005F6966">
        <w:rPr>
          <w:rFonts w:hint="cs"/>
          <w:rtl/>
        </w:rPr>
        <w:t>(</w:t>
      </w:r>
      <w:r w:rsidR="005F71FE" w:rsidRPr="00E361CE">
        <w:rPr>
          <w:rFonts w:hint="cs"/>
          <w:rtl/>
        </w:rPr>
        <w:t>בשלב הבנ</w:t>
      </w:r>
      <w:r w:rsidR="005F71FE">
        <w:rPr>
          <w:rFonts w:hint="cs"/>
          <w:rtl/>
        </w:rPr>
        <w:t>י</w:t>
      </w:r>
      <w:r w:rsidR="005F71FE" w:rsidRPr="00E361CE">
        <w:rPr>
          <w:rFonts w:hint="cs"/>
          <w:rtl/>
        </w:rPr>
        <w:t>יה</w:t>
      </w:r>
      <w:r w:rsidR="005F6966">
        <w:rPr>
          <w:rFonts w:hint="cs"/>
          <w:rtl/>
        </w:rPr>
        <w:t>)</w:t>
      </w:r>
      <w:r>
        <w:rPr>
          <w:rFonts w:hint="cs"/>
          <w:rtl/>
        </w:rPr>
        <w:t xml:space="preserve">, </w:t>
      </w:r>
      <w:r w:rsidR="005F71FE">
        <w:rPr>
          <w:rFonts w:hint="cs"/>
          <w:rtl/>
        </w:rPr>
        <w:t>לפי</w:t>
      </w:r>
      <w:r>
        <w:rPr>
          <w:rFonts w:hint="cs"/>
          <w:rtl/>
        </w:rPr>
        <w:t xml:space="preserve"> מדדי סיכון נבחרים:</w:t>
      </w:r>
    </w:p>
    <w:p w:rsidR="009132B6" w:rsidRPr="00357BAA" w:rsidRDefault="009132B6" w:rsidP="009132B6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562"/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לוח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מדדי סיכון </w:t>
      </w:r>
      <w:r w:rsidR="00D91571">
        <w:rPr>
          <w:rFonts w:hint="cs"/>
          <w:b/>
          <w:bCs/>
          <w:rtl/>
        </w:rPr>
        <w:t xml:space="preserve">נבחרים </w:t>
      </w:r>
      <w:r>
        <w:rPr>
          <w:rFonts w:hint="cs"/>
          <w:b/>
          <w:bCs/>
          <w:rtl/>
        </w:rPr>
        <w:t>ל</w:t>
      </w:r>
      <w:r w:rsidR="0032327B">
        <w:rPr>
          <w:rFonts w:hint="cs"/>
          <w:b/>
          <w:bCs/>
          <w:rtl/>
        </w:rPr>
        <w:t xml:space="preserve">מימון </w:t>
      </w:r>
      <w:r>
        <w:rPr>
          <w:rFonts w:hint="cs"/>
          <w:b/>
          <w:bCs/>
          <w:rtl/>
        </w:rPr>
        <w:t xml:space="preserve">פרוייקטים סגורים המיועדים למגורים </w:t>
      </w:r>
    </w:p>
    <w:tbl>
      <w:tblPr>
        <w:tblStyle w:val="4-1"/>
        <w:tblpPr w:leftFromText="181" w:rightFromText="181" w:vertAnchor="text" w:horzAnchor="margin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72"/>
        <w:gridCol w:w="2396"/>
        <w:gridCol w:w="1712"/>
        <w:gridCol w:w="2102"/>
      </w:tblGrid>
      <w:tr w:rsidR="008B0622" w:rsidRPr="00F537EA" w:rsidTr="00017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3"/>
        </w:trPr>
        <w:tc>
          <w:tcPr>
            <w:tcW w:w="21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132B6" w:rsidRPr="00E026A8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E026A8">
              <w:rPr>
                <w:rFonts w:ascii="David" w:hAnsi="David"/>
                <w:color w:val="FFFFFF"/>
                <w:kern w:val="24"/>
                <w:sz w:val="22"/>
                <w:szCs w:val="22"/>
                <w:rtl/>
              </w:rPr>
              <w:t>הרכיב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  <w:hideMark/>
          </w:tcPr>
          <w:p w:rsidR="009132B6" w:rsidRPr="00E026A8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E026A8">
              <w:rPr>
                <w:rFonts w:ascii="David" w:hAnsi="David"/>
                <w:color w:val="FFFFFF"/>
                <w:kern w:val="24"/>
                <w:sz w:val="22"/>
                <w:szCs w:val="22"/>
                <w:rtl/>
              </w:rPr>
              <w:t>ממוצע משוקלל</w:t>
            </w:r>
          </w:p>
        </w:tc>
        <w:tc>
          <w:tcPr>
            <w:tcW w:w="38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  <w:hideMark/>
          </w:tcPr>
          <w:p w:rsidR="009132B6" w:rsidRPr="00E026A8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E026A8">
              <w:rPr>
                <w:rFonts w:ascii="David" w:hAnsi="David" w:hint="cs"/>
                <w:color w:val="FFFFFF"/>
                <w:kern w:val="24"/>
                <w:sz w:val="22"/>
                <w:szCs w:val="22"/>
                <w:rtl/>
              </w:rPr>
              <w:t xml:space="preserve">רמת </w:t>
            </w:r>
            <w:r w:rsidRPr="00E026A8">
              <w:rPr>
                <w:rFonts w:ascii="David" w:hAnsi="David"/>
                <w:color w:val="FFFFFF"/>
                <w:kern w:val="24"/>
                <w:sz w:val="22"/>
                <w:szCs w:val="22"/>
                <w:rtl/>
              </w:rPr>
              <w:t>סיכון מוגבר</w:t>
            </w:r>
            <w:r w:rsidRPr="00E026A8">
              <w:rPr>
                <w:rFonts w:ascii="David" w:hAnsi="David" w:hint="cs"/>
                <w:color w:val="FFFFFF"/>
                <w:kern w:val="24"/>
                <w:sz w:val="22"/>
                <w:szCs w:val="22"/>
                <w:rtl/>
              </w:rPr>
              <w:t>ת</w:t>
            </w:r>
          </w:p>
        </w:tc>
      </w:tr>
      <w:tr w:rsidR="009132B6" w:rsidRPr="00F537EA" w:rsidTr="00017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2"/>
        </w:trPr>
        <w:tc>
          <w:tcPr>
            <w:tcW w:w="21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9132B6" w:rsidRPr="00E026A8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bidi w:val="0"/>
              <w:spacing w:line="240" w:lineRule="auto"/>
              <w:jc w:val="left"/>
              <w:rPr>
                <w:rFonts w:ascii="David" w:hAnsi="David"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9132B6" w:rsidRPr="00E026A8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</w:pPr>
            <w:r w:rsidRPr="00E026A8"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>הנתון</w:t>
            </w:r>
            <w:r w:rsidR="00CB71E6">
              <w:rPr>
                <w:rFonts w:ascii="David" w:hAnsi="David" w:hint="cs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 xml:space="preserve"> ליום 30.6.20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4F81BD" w:themeFill="accent1"/>
            <w:noWrap/>
            <w:vAlign w:val="center"/>
            <w:hideMark/>
          </w:tcPr>
          <w:p w:rsidR="009132B6" w:rsidRPr="00E026A8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E026A8"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>מדד לסיכון מוגבר</w:t>
            </w:r>
          </w:p>
        </w:tc>
        <w:tc>
          <w:tcPr>
            <w:tcW w:w="2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9132B6" w:rsidRPr="00E026A8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FFFFFF" w:themeColor="background1"/>
                <w:sz w:val="22"/>
                <w:szCs w:val="22"/>
                <w:rtl/>
              </w:rPr>
            </w:pPr>
            <w:r w:rsidRPr="00E026A8"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>שיעור חשיפה</w:t>
            </w:r>
          </w:p>
        </w:tc>
      </w:tr>
      <w:tr w:rsidR="009132B6" w:rsidRPr="00F537EA" w:rsidTr="00BF5C66">
        <w:trPr>
          <w:trHeight w:val="375"/>
        </w:trPr>
        <w:tc>
          <w:tcPr>
            <w:tcW w:w="21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rPr>
                <w:rFonts w:ascii="David" w:hAnsi="David"/>
                <w:sz w:val="22"/>
                <w:szCs w:val="22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כושר ספיגה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66%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&lt;30%</w:t>
            </w:r>
          </w:p>
        </w:tc>
        <w:tc>
          <w:tcPr>
            <w:tcW w:w="2030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2%</w:t>
            </w:r>
          </w:p>
        </w:tc>
      </w:tr>
      <w:tr w:rsidR="009132B6" w:rsidRPr="00F537EA" w:rsidTr="00230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tcW w:w="2172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left"/>
              <w:rPr>
                <w:rFonts w:ascii="David" w:hAnsi="David"/>
                <w:sz w:val="22"/>
                <w:szCs w:val="22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פער בין מכירות ל</w:t>
            </w:r>
            <w:r>
              <w:rPr>
                <w:rFonts w:ascii="David" w:hAnsi="David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בין </w:t>
            </w: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ביצוע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6%</w:t>
            </w:r>
          </w:p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000000"/>
                <w:kern w:val="24"/>
                <w:sz w:val="18"/>
                <w:szCs w:val="18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18"/>
                <w:szCs w:val="18"/>
                <w:rtl/>
              </w:rPr>
              <w:t>מכירות (63%) – ביצוע (57%)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noWrap/>
            <w:vAlign w:val="center"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2030" w:type="dxa"/>
            <w:tcBorders>
              <w:right w:val="single" w:sz="18" w:space="0" w:color="auto"/>
            </w:tcBorders>
            <w:noWrap/>
            <w:vAlign w:val="center"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9132B6" w:rsidRPr="00F537EA" w:rsidTr="00BF5C66">
        <w:trPr>
          <w:trHeight w:val="65"/>
        </w:trPr>
        <w:tc>
          <w:tcPr>
            <w:tcW w:w="21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left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היקף האשראי לפרוייקטים בגירעון</w:t>
            </w:r>
            <w:r w:rsidRPr="00A80A32">
              <w:rPr>
                <w:rStyle w:val="a9"/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footnoteReference w:id="7"/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7% מהאשראי לפרוי</w:t>
            </w:r>
            <w:r>
              <w:rPr>
                <w:rFonts w:ascii="David" w:hAnsi="David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י</w:t>
            </w: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קטים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סכום הגירעון</w:t>
            </w:r>
          </w:p>
        </w:tc>
        <w:tc>
          <w:tcPr>
            <w:tcW w:w="2030" w:type="dxa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132B6" w:rsidRPr="00A80A32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A80A32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0.2%</w:t>
            </w:r>
          </w:p>
        </w:tc>
      </w:tr>
      <w:tr w:rsidR="009132B6" w:rsidRPr="00F537EA" w:rsidTr="00017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tcW w:w="838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9132B6" w:rsidRPr="00BF5C66" w:rsidRDefault="009132B6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left"/>
              <w:rPr>
                <w:rFonts w:ascii="David" w:hAnsi="David"/>
                <w:b/>
                <w:bCs/>
                <w:color w:val="000000"/>
                <w:kern w:val="24"/>
                <w:sz w:val="18"/>
                <w:szCs w:val="18"/>
                <w:rtl/>
              </w:rPr>
            </w:pPr>
            <w:r w:rsidRPr="00C534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F5C66">
              <w:rPr>
                <w:rFonts w:hint="cs"/>
                <w:b/>
                <w:bCs/>
                <w:sz w:val="18"/>
                <w:szCs w:val="18"/>
                <w:rtl/>
              </w:rPr>
              <w:t>מקור: דיווחי הבנקים ועיבודי הפיקוח על הבנקים</w:t>
            </w:r>
          </w:p>
        </w:tc>
      </w:tr>
    </w:tbl>
    <w:p w:rsidR="009132B6" w:rsidRPr="009132B6" w:rsidRDefault="009132B6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</w:pPr>
    </w:p>
    <w:p w:rsidR="00FC4CF9" w:rsidRPr="004D51F9" w:rsidRDefault="00FC4CF9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  <w:rPr>
          <w:rtl/>
        </w:rPr>
      </w:pPr>
      <w:r w:rsidRPr="000E7A76">
        <w:rPr>
          <w:rFonts w:hint="cs"/>
          <w:b/>
          <w:bCs/>
          <w:rtl/>
        </w:rPr>
        <w:t>כושר ספיגה</w:t>
      </w:r>
      <w:r w:rsidRPr="004D51F9">
        <w:rPr>
          <w:rFonts w:hint="cs"/>
          <w:rtl/>
        </w:rPr>
        <w:t xml:space="preserve"> - כושר הספיגה המשוקלל במערכת הבנקא</w:t>
      </w:r>
      <w:r w:rsidR="005B7E3F">
        <w:rPr>
          <w:rFonts w:hint="cs"/>
          <w:rtl/>
        </w:rPr>
        <w:t>ו</w:t>
      </w:r>
      <w:r w:rsidRPr="004D51F9">
        <w:rPr>
          <w:rFonts w:hint="cs"/>
          <w:rtl/>
        </w:rPr>
        <w:t xml:space="preserve">ת הוא </w:t>
      </w:r>
      <w:r w:rsidRPr="00162857">
        <w:rPr>
          <w:rFonts w:hint="cs"/>
          <w:rtl/>
        </w:rPr>
        <w:t>גבוה מאוד</w:t>
      </w:r>
      <w:r w:rsidRPr="004D51F9">
        <w:rPr>
          <w:rFonts w:hint="cs"/>
          <w:rtl/>
        </w:rPr>
        <w:t xml:space="preserve"> ועומד על </w:t>
      </w:r>
      <w:r w:rsidRPr="00162857">
        <w:rPr>
          <w:rFonts w:hint="cs"/>
          <w:rtl/>
        </w:rPr>
        <w:t>66%.</w:t>
      </w:r>
      <w:r w:rsidRPr="00A95C8A">
        <w:rPr>
          <w:rFonts w:hint="cs"/>
          <w:rtl/>
        </w:rPr>
        <w:t xml:space="preserve"> </w:t>
      </w:r>
      <w:r w:rsidRPr="004D51F9">
        <w:rPr>
          <w:rFonts w:hint="cs"/>
          <w:rtl/>
        </w:rPr>
        <w:t>כושר הספיגה מאפשר למערכת הבנקא</w:t>
      </w:r>
      <w:r w:rsidR="005B7E3F">
        <w:rPr>
          <w:rFonts w:hint="cs"/>
          <w:rtl/>
        </w:rPr>
        <w:t>ו</w:t>
      </w:r>
      <w:r w:rsidRPr="004D51F9">
        <w:rPr>
          <w:rFonts w:hint="cs"/>
          <w:rtl/>
        </w:rPr>
        <w:t xml:space="preserve">ת לספוג ירידות </w:t>
      </w:r>
      <w:r>
        <w:rPr>
          <w:rFonts w:hint="cs"/>
          <w:rtl/>
        </w:rPr>
        <w:t>של עשרות אחוזים</w:t>
      </w:r>
      <w:r w:rsidRPr="004D51F9">
        <w:rPr>
          <w:rFonts w:hint="cs"/>
          <w:rtl/>
        </w:rPr>
        <w:t xml:space="preserve"> </w:t>
      </w:r>
      <w:r>
        <w:rPr>
          <w:rFonts w:hint="cs"/>
          <w:rtl/>
        </w:rPr>
        <w:t xml:space="preserve">בממוצע </w:t>
      </w:r>
      <w:r w:rsidRPr="004D51F9">
        <w:rPr>
          <w:rFonts w:hint="cs"/>
          <w:rtl/>
        </w:rPr>
        <w:t>במחירי המכירה או עלייה משמעותית בעלויות הבנייה</w:t>
      </w:r>
      <w:r>
        <w:rPr>
          <w:rFonts w:hint="cs"/>
          <w:rtl/>
        </w:rPr>
        <w:t>, מבלי שהפרוי</w:t>
      </w:r>
      <w:r w:rsidR="00A434E6">
        <w:rPr>
          <w:rFonts w:hint="cs"/>
          <w:rtl/>
        </w:rPr>
        <w:t>י</w:t>
      </w:r>
      <w:r>
        <w:rPr>
          <w:rFonts w:hint="cs"/>
          <w:rtl/>
        </w:rPr>
        <w:t>קט יספוג הפסדים ויי</w:t>
      </w:r>
      <w:r w:rsidR="00116D08">
        <w:rPr>
          <w:rFonts w:hint="cs"/>
          <w:rtl/>
        </w:rPr>
        <w:t xml:space="preserve">קלע </w:t>
      </w:r>
      <w:r>
        <w:rPr>
          <w:rFonts w:hint="cs"/>
          <w:rtl/>
        </w:rPr>
        <w:t>לגירעון.</w:t>
      </w:r>
    </w:p>
    <w:p w:rsidR="00FC4CF9" w:rsidRDefault="00FC4CF9" w:rsidP="0072005F">
      <w:pPr>
        <w:pStyle w:val="2"/>
        <w:numPr>
          <w:ilvl w:val="0"/>
          <w:numId w:val="0"/>
        </w:numPr>
        <w:tabs>
          <w:tab w:val="clear" w:pos="1140"/>
        </w:tabs>
        <w:ind w:left="452"/>
        <w:rPr>
          <w:rtl/>
        </w:rPr>
      </w:pPr>
      <w:r w:rsidRPr="004D51F9">
        <w:rPr>
          <w:rFonts w:hint="cs"/>
          <w:rtl/>
        </w:rPr>
        <w:t>רק לכ-2% מהפרוי</w:t>
      </w:r>
      <w:r w:rsidR="00A434E6">
        <w:rPr>
          <w:rFonts w:hint="cs"/>
          <w:rtl/>
        </w:rPr>
        <w:t>י</w:t>
      </w:r>
      <w:r w:rsidRPr="004D51F9">
        <w:rPr>
          <w:rFonts w:hint="cs"/>
          <w:rtl/>
        </w:rPr>
        <w:t xml:space="preserve">קטים הסגורים (בהיקף של </w:t>
      </w:r>
      <w:r w:rsidR="00977CC5">
        <w:rPr>
          <w:rFonts w:hint="cs"/>
          <w:rtl/>
        </w:rPr>
        <w:t>כ-</w:t>
      </w:r>
      <w:r w:rsidR="0072005F">
        <w:rPr>
          <w:rFonts w:hint="cs"/>
          <w:rtl/>
        </w:rPr>
        <w:t xml:space="preserve">4 </w:t>
      </w:r>
      <w:r w:rsidRPr="004D51F9">
        <w:rPr>
          <w:rFonts w:hint="cs"/>
          <w:rtl/>
        </w:rPr>
        <w:t xml:space="preserve">מיליארד </w:t>
      </w:r>
      <w:r w:rsidR="00977CC5">
        <w:rPr>
          <w:rFonts w:hint="cs"/>
          <w:rtl/>
        </w:rPr>
        <w:t>ש</w:t>
      </w:r>
      <w:r w:rsidR="001F2658">
        <w:rPr>
          <w:rFonts w:hint="cs"/>
          <w:rtl/>
        </w:rPr>
        <w:t>"</w:t>
      </w:r>
      <w:r w:rsidR="00977CC5">
        <w:rPr>
          <w:rFonts w:hint="cs"/>
          <w:rtl/>
        </w:rPr>
        <w:t>ח</w:t>
      </w:r>
      <w:r w:rsidRPr="004D51F9">
        <w:rPr>
          <w:rFonts w:hint="cs"/>
          <w:rtl/>
        </w:rPr>
        <w:t xml:space="preserve">) </w:t>
      </w:r>
      <w:r w:rsidR="001F2658">
        <w:rPr>
          <w:rFonts w:hint="cs"/>
          <w:rtl/>
        </w:rPr>
        <w:t xml:space="preserve">יש </w:t>
      </w:r>
      <w:r w:rsidR="009012DD">
        <w:rPr>
          <w:rFonts w:hint="cs"/>
          <w:rtl/>
        </w:rPr>
        <w:t>כושר ספיגה נמוך מ-</w:t>
      </w:r>
      <w:r w:rsidRPr="004D51F9">
        <w:rPr>
          <w:rFonts w:hint="cs"/>
          <w:rtl/>
        </w:rPr>
        <w:t>30%</w:t>
      </w:r>
      <w:r w:rsidR="005B7E3F">
        <w:rPr>
          <w:rFonts w:hint="cs"/>
          <w:rtl/>
        </w:rPr>
        <w:t xml:space="preserve"> ו</w:t>
      </w:r>
      <w:r w:rsidR="00A95C8A">
        <w:rPr>
          <w:rFonts w:hint="cs"/>
          <w:rtl/>
        </w:rPr>
        <w:t>האשראי בגינם ה</w:t>
      </w:r>
      <w:r>
        <w:rPr>
          <w:rFonts w:hint="cs"/>
          <w:rtl/>
        </w:rPr>
        <w:t>וגדר</w:t>
      </w:r>
      <w:r w:rsidR="00A95C8A">
        <w:rPr>
          <w:rFonts w:hint="cs"/>
          <w:rtl/>
        </w:rPr>
        <w:t xml:space="preserve"> על ידי הפיקוח ב</w:t>
      </w:r>
      <w:r w:rsidR="001F2658">
        <w:rPr>
          <w:rFonts w:hint="cs"/>
          <w:rtl/>
        </w:rPr>
        <w:t xml:space="preserve">רמת </w:t>
      </w:r>
      <w:r>
        <w:rPr>
          <w:rFonts w:hint="cs"/>
          <w:rtl/>
        </w:rPr>
        <w:t>סיכון מוגבר</w:t>
      </w:r>
      <w:r w:rsidR="001F2658">
        <w:rPr>
          <w:rFonts w:hint="cs"/>
          <w:rtl/>
        </w:rPr>
        <w:t>ת</w:t>
      </w:r>
      <w:r w:rsidR="00A95C8A">
        <w:rPr>
          <w:rFonts w:hint="cs"/>
          <w:rtl/>
        </w:rPr>
        <w:t>.</w:t>
      </w:r>
    </w:p>
    <w:p w:rsidR="008B0622" w:rsidRPr="004D51F9" w:rsidRDefault="008B0622" w:rsidP="008B0622">
      <w:pPr>
        <w:pStyle w:val="2"/>
        <w:numPr>
          <w:ilvl w:val="0"/>
          <w:numId w:val="0"/>
        </w:numPr>
        <w:tabs>
          <w:tab w:val="clear" w:pos="1140"/>
        </w:tabs>
        <w:ind w:left="452"/>
        <w:rPr>
          <w:rtl/>
        </w:rPr>
      </w:pPr>
      <w:r>
        <w:rPr>
          <w:rFonts w:hint="cs"/>
          <w:rtl/>
        </w:rPr>
        <w:t>(כך למשל, פרוייקט שהוגדר בסיכון מוגבר עם כושר ספיגה של 20%, עדיין יוכל לספוג שינויים במחירים עד 20% מבלי שהבנק יספוג הפסדים מהפרוייקט)</w:t>
      </w:r>
      <w:r w:rsidR="0072005F">
        <w:rPr>
          <w:rFonts w:hint="cs"/>
          <w:rtl/>
        </w:rPr>
        <w:t>.</w:t>
      </w:r>
    </w:p>
    <w:p w:rsidR="00A95C8A" w:rsidRPr="00162857" w:rsidRDefault="00FC4CF9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 w:rsidRPr="000E7A76">
        <w:rPr>
          <w:rFonts w:hint="cs"/>
          <w:b/>
          <w:bCs/>
          <w:rtl/>
        </w:rPr>
        <w:t>פער בין מכירות ל</w:t>
      </w:r>
      <w:r w:rsidR="005F6966" w:rsidRPr="000E7A76">
        <w:rPr>
          <w:rFonts w:hint="cs"/>
          <w:b/>
          <w:bCs/>
          <w:rtl/>
        </w:rPr>
        <w:t xml:space="preserve">בין </w:t>
      </w:r>
      <w:r w:rsidRPr="000E7A76">
        <w:rPr>
          <w:rFonts w:hint="cs"/>
          <w:b/>
          <w:bCs/>
          <w:rtl/>
        </w:rPr>
        <w:t>ביצוע</w:t>
      </w:r>
      <w:r w:rsidRPr="000E7A76">
        <w:rPr>
          <w:rFonts w:hint="cs"/>
          <w:rtl/>
        </w:rPr>
        <w:t xml:space="preserve"> </w:t>
      </w:r>
      <w:r w:rsidR="00A95C8A" w:rsidRPr="000E7A76">
        <w:rPr>
          <w:rtl/>
        </w:rPr>
        <w:t>–</w:t>
      </w:r>
      <w:r w:rsidR="00A95C8A" w:rsidRPr="000E7A76">
        <w:rPr>
          <w:rFonts w:hint="cs"/>
          <w:rtl/>
        </w:rPr>
        <w:t xml:space="preserve">התמורה </w:t>
      </w:r>
      <w:r w:rsidR="001F2658" w:rsidRPr="000E7A76">
        <w:rPr>
          <w:rFonts w:hint="cs"/>
          <w:rtl/>
        </w:rPr>
        <w:t xml:space="preserve">שמתקבלת </w:t>
      </w:r>
      <w:r w:rsidR="00A95C8A" w:rsidRPr="00162857">
        <w:rPr>
          <w:rFonts w:hint="cs"/>
          <w:rtl/>
        </w:rPr>
        <w:t>ממכירת הדירות בפרוי</w:t>
      </w:r>
      <w:r w:rsidR="00A434E6" w:rsidRPr="00162857">
        <w:rPr>
          <w:rFonts w:hint="cs"/>
          <w:rtl/>
        </w:rPr>
        <w:t>י</w:t>
      </w:r>
      <w:r w:rsidR="00A95C8A" w:rsidRPr="00162857">
        <w:rPr>
          <w:rFonts w:hint="cs"/>
          <w:rtl/>
        </w:rPr>
        <w:t>קטים למגורים</w:t>
      </w:r>
      <w:r w:rsidR="00B43C5B" w:rsidRPr="00162857">
        <w:rPr>
          <w:rFonts w:hint="cs"/>
          <w:rtl/>
        </w:rPr>
        <w:t>,</w:t>
      </w:r>
      <w:r w:rsidR="00A95C8A" w:rsidRPr="00162857">
        <w:rPr>
          <w:rFonts w:hint="cs"/>
          <w:rtl/>
        </w:rPr>
        <w:t xml:space="preserve"> </w:t>
      </w:r>
      <w:r w:rsidR="006252A3" w:rsidRPr="00162857">
        <w:rPr>
          <w:rFonts w:hint="cs"/>
          <w:rtl/>
        </w:rPr>
        <w:t>מממנת</w:t>
      </w:r>
      <w:r w:rsidR="00A95C8A" w:rsidRPr="00162857">
        <w:rPr>
          <w:rFonts w:hint="cs"/>
          <w:rtl/>
        </w:rPr>
        <w:t xml:space="preserve"> </w:t>
      </w:r>
      <w:r w:rsidR="001F2658" w:rsidRPr="00162857">
        <w:rPr>
          <w:rFonts w:hint="cs"/>
          <w:rtl/>
        </w:rPr>
        <w:t xml:space="preserve">על פי רוב </w:t>
      </w:r>
      <w:r w:rsidR="00A95C8A" w:rsidRPr="00162857">
        <w:rPr>
          <w:rFonts w:hint="cs"/>
          <w:rtl/>
        </w:rPr>
        <w:t>את עלויות הבנ</w:t>
      </w:r>
      <w:r w:rsidR="00510AA6" w:rsidRPr="00162857">
        <w:rPr>
          <w:rFonts w:hint="cs"/>
          <w:rtl/>
        </w:rPr>
        <w:t>י</w:t>
      </w:r>
      <w:r w:rsidR="00A95C8A" w:rsidRPr="00162857">
        <w:rPr>
          <w:rFonts w:hint="cs"/>
          <w:rtl/>
        </w:rPr>
        <w:t>יה בפרוי</w:t>
      </w:r>
      <w:r w:rsidR="00A434E6" w:rsidRPr="00162857">
        <w:rPr>
          <w:rFonts w:hint="cs"/>
          <w:rtl/>
        </w:rPr>
        <w:t>י</w:t>
      </w:r>
      <w:r w:rsidR="00A95C8A" w:rsidRPr="00162857">
        <w:rPr>
          <w:rFonts w:hint="cs"/>
          <w:rtl/>
        </w:rPr>
        <w:t xml:space="preserve">קט, כך שהאשראי הבנקאי מגשר על הפרשי </w:t>
      </w:r>
      <w:r w:rsidR="005E2D68" w:rsidRPr="00162857">
        <w:rPr>
          <w:rFonts w:hint="cs"/>
          <w:rtl/>
        </w:rPr>
        <w:t>ה</w:t>
      </w:r>
      <w:r w:rsidR="00A95C8A" w:rsidRPr="00162857">
        <w:rPr>
          <w:rFonts w:hint="cs"/>
          <w:rtl/>
        </w:rPr>
        <w:t xml:space="preserve">עיתוי בין השניים. </w:t>
      </w:r>
      <w:r w:rsidR="001F2658" w:rsidRPr="00162857">
        <w:rPr>
          <w:rFonts w:hint="cs"/>
          <w:rtl/>
        </w:rPr>
        <w:t>כש</w:t>
      </w:r>
      <w:r w:rsidR="00A95C8A" w:rsidRPr="00162857">
        <w:rPr>
          <w:rFonts w:hint="cs"/>
          <w:rtl/>
        </w:rPr>
        <w:t>יש האטה בקצב המכירות</w:t>
      </w:r>
      <w:r w:rsidR="00AB7162" w:rsidRPr="00162857">
        <w:rPr>
          <w:rFonts w:hint="cs"/>
          <w:rtl/>
        </w:rPr>
        <w:t xml:space="preserve"> </w:t>
      </w:r>
      <w:r w:rsidR="001F2658" w:rsidRPr="00162857">
        <w:rPr>
          <w:rFonts w:hint="cs"/>
          <w:rtl/>
        </w:rPr>
        <w:t xml:space="preserve">יכול </w:t>
      </w:r>
      <w:r w:rsidR="00AB7162" w:rsidRPr="00162857">
        <w:rPr>
          <w:rFonts w:hint="cs"/>
          <w:rtl/>
        </w:rPr>
        <w:t>האמור להעיד על קשיים בפרו</w:t>
      </w:r>
      <w:r w:rsidR="00A434E6" w:rsidRPr="00162857">
        <w:rPr>
          <w:rFonts w:hint="cs"/>
          <w:rtl/>
        </w:rPr>
        <w:t>י</w:t>
      </w:r>
      <w:r w:rsidR="00A95C8A" w:rsidRPr="00162857">
        <w:rPr>
          <w:rFonts w:hint="cs"/>
          <w:rtl/>
        </w:rPr>
        <w:t>יקט ו</w:t>
      </w:r>
      <w:r w:rsidR="00866172" w:rsidRPr="00162857">
        <w:rPr>
          <w:rFonts w:hint="cs"/>
          <w:rtl/>
        </w:rPr>
        <w:t xml:space="preserve">רמת </w:t>
      </w:r>
      <w:r w:rsidR="00A95C8A" w:rsidRPr="00162857">
        <w:rPr>
          <w:rFonts w:hint="cs"/>
          <w:rtl/>
        </w:rPr>
        <w:t>הסיכון הבנקאי עולה.</w:t>
      </w:r>
    </w:p>
    <w:p w:rsidR="00FC4CF9" w:rsidRPr="000E7A76" w:rsidRDefault="00FC4CF9" w:rsidP="00162857">
      <w:pPr>
        <w:pStyle w:val="2"/>
        <w:numPr>
          <w:ilvl w:val="0"/>
          <w:numId w:val="0"/>
        </w:numPr>
        <w:tabs>
          <w:tab w:val="clear" w:pos="1140"/>
        </w:tabs>
        <w:ind w:left="452"/>
        <w:rPr>
          <w:rtl/>
        </w:rPr>
      </w:pPr>
      <w:r w:rsidRPr="000E7A76">
        <w:rPr>
          <w:rFonts w:hint="cs"/>
          <w:rtl/>
        </w:rPr>
        <w:t>הפער המשוקלל בין קצב המכירות ל</w:t>
      </w:r>
      <w:r w:rsidR="001F2658" w:rsidRPr="000E7A76">
        <w:rPr>
          <w:rFonts w:hint="cs"/>
          <w:rtl/>
        </w:rPr>
        <w:t xml:space="preserve">בין </w:t>
      </w:r>
      <w:r w:rsidRPr="000E7A76">
        <w:rPr>
          <w:rFonts w:hint="cs"/>
          <w:rtl/>
        </w:rPr>
        <w:t xml:space="preserve">קצב התקדמות ביצוע </w:t>
      </w:r>
      <w:r w:rsidR="005E2D68" w:rsidRPr="000E7A76">
        <w:rPr>
          <w:rFonts w:hint="cs"/>
          <w:rtl/>
        </w:rPr>
        <w:t>ה</w:t>
      </w:r>
      <w:r w:rsidRPr="000E7A76">
        <w:rPr>
          <w:rFonts w:hint="cs"/>
          <w:rtl/>
        </w:rPr>
        <w:t>עבודות בפרו</w:t>
      </w:r>
      <w:r w:rsidR="00A434E6" w:rsidRPr="00162857">
        <w:rPr>
          <w:rFonts w:hint="cs"/>
          <w:rtl/>
        </w:rPr>
        <w:t>י</w:t>
      </w:r>
      <w:r w:rsidRPr="00162857">
        <w:rPr>
          <w:rFonts w:hint="cs"/>
          <w:rtl/>
        </w:rPr>
        <w:t>יקטים</w:t>
      </w:r>
      <w:r w:rsidR="005E2D68" w:rsidRPr="00162857">
        <w:rPr>
          <w:rFonts w:hint="cs"/>
          <w:rtl/>
        </w:rPr>
        <w:t>,</w:t>
      </w:r>
      <w:r w:rsidRPr="00162857">
        <w:rPr>
          <w:rFonts w:hint="cs"/>
          <w:rtl/>
        </w:rPr>
        <w:t xml:space="preserve"> עומד על 6% </w:t>
      </w:r>
      <w:r w:rsidRPr="000E7A76">
        <w:rPr>
          <w:rFonts w:hint="cs"/>
          <w:rtl/>
        </w:rPr>
        <w:t xml:space="preserve">ומציג בממוצע ביקוש נאה לפרוייקטים </w:t>
      </w:r>
      <w:r w:rsidR="001F2658" w:rsidRPr="000E7A76">
        <w:rPr>
          <w:rFonts w:hint="cs"/>
          <w:rtl/>
        </w:rPr>
        <w:t>שממונים</w:t>
      </w:r>
      <w:r w:rsidR="001F2658" w:rsidRPr="00162857">
        <w:rPr>
          <w:rFonts w:hint="cs"/>
          <w:rtl/>
        </w:rPr>
        <w:t xml:space="preserve"> על ידי</w:t>
      </w:r>
      <w:r w:rsidR="00B43C5B" w:rsidRPr="00162857">
        <w:rPr>
          <w:rFonts w:hint="cs"/>
          <w:rtl/>
        </w:rPr>
        <w:t xml:space="preserve"> </w:t>
      </w:r>
      <w:r w:rsidR="0027009D" w:rsidRPr="00162857">
        <w:rPr>
          <w:rFonts w:hint="cs"/>
          <w:rtl/>
        </w:rPr>
        <w:t>חמשת הבנקים הגדולים</w:t>
      </w:r>
      <w:r w:rsidRPr="00162857">
        <w:rPr>
          <w:rFonts w:hint="cs"/>
          <w:rtl/>
        </w:rPr>
        <w:t xml:space="preserve"> (בעניין זה </w:t>
      </w:r>
      <w:r w:rsidR="005E2D68" w:rsidRPr="00162857">
        <w:rPr>
          <w:rFonts w:hint="cs"/>
          <w:rtl/>
        </w:rPr>
        <w:t xml:space="preserve">יש </w:t>
      </w:r>
      <w:r w:rsidRPr="00162857">
        <w:rPr>
          <w:rFonts w:hint="cs"/>
          <w:rtl/>
        </w:rPr>
        <w:t>שונות בין הבנקים).</w:t>
      </w:r>
    </w:p>
    <w:p w:rsidR="00FC4CF9" w:rsidRPr="00162857" w:rsidRDefault="00FC4CF9" w:rsidP="00352C2B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 w:rsidRPr="000E7A76">
        <w:rPr>
          <w:rFonts w:hint="cs"/>
          <w:b/>
          <w:bCs/>
          <w:rtl/>
        </w:rPr>
        <w:t>פרוייקטים בגירעון</w:t>
      </w:r>
      <w:r w:rsidRPr="000E7A76">
        <w:rPr>
          <w:rFonts w:hint="cs"/>
          <w:rtl/>
        </w:rPr>
        <w:t xml:space="preserve"> </w:t>
      </w:r>
      <w:r w:rsidR="00A95C8A" w:rsidRPr="000E7A76">
        <w:rPr>
          <w:rtl/>
        </w:rPr>
        <w:t>–</w:t>
      </w:r>
      <w:r w:rsidRPr="000E7A76">
        <w:rPr>
          <w:rFonts w:hint="cs"/>
          <w:rtl/>
        </w:rPr>
        <w:t xml:space="preserve"> </w:t>
      </w:r>
      <w:r w:rsidR="00A95C8A" w:rsidRPr="00162857">
        <w:rPr>
          <w:rFonts w:hint="cs"/>
          <w:rtl/>
        </w:rPr>
        <w:t>הגירעון בפרוי</w:t>
      </w:r>
      <w:r w:rsidR="00A434E6" w:rsidRPr="00162857">
        <w:rPr>
          <w:rFonts w:hint="cs"/>
          <w:rtl/>
        </w:rPr>
        <w:t>י</w:t>
      </w:r>
      <w:r w:rsidR="00A95C8A" w:rsidRPr="00162857">
        <w:rPr>
          <w:rFonts w:hint="cs"/>
          <w:rtl/>
        </w:rPr>
        <w:t>קט סגור מח</w:t>
      </w:r>
      <w:r w:rsidR="000A4BD1" w:rsidRPr="00162857">
        <w:rPr>
          <w:rFonts w:hint="cs"/>
          <w:rtl/>
        </w:rPr>
        <w:t>ו</w:t>
      </w:r>
      <w:r w:rsidR="00A95C8A" w:rsidRPr="00162857">
        <w:rPr>
          <w:rFonts w:hint="cs"/>
          <w:rtl/>
        </w:rPr>
        <w:t xml:space="preserve">שב </w:t>
      </w:r>
      <w:r w:rsidR="00120060" w:rsidRPr="00162857">
        <w:rPr>
          <w:rFonts w:hint="cs"/>
          <w:rtl/>
        </w:rPr>
        <w:t>לפי</w:t>
      </w:r>
      <w:r w:rsidR="00A95C8A" w:rsidRPr="00162857">
        <w:rPr>
          <w:rFonts w:hint="cs"/>
          <w:rtl/>
        </w:rPr>
        <w:t xml:space="preserve"> הפער בין</w:t>
      </w:r>
      <w:r w:rsidR="005B7E3F" w:rsidRPr="00162857">
        <w:rPr>
          <w:rFonts w:hint="cs"/>
          <w:rtl/>
        </w:rPr>
        <w:t xml:space="preserve"> </w:t>
      </w:r>
      <w:r w:rsidR="00A95C8A" w:rsidRPr="00162857">
        <w:rPr>
          <w:rFonts w:hint="cs"/>
          <w:rtl/>
        </w:rPr>
        <w:t>השימושים של הפרוי</w:t>
      </w:r>
      <w:r w:rsidR="00A434E6" w:rsidRPr="00162857">
        <w:rPr>
          <w:rFonts w:hint="cs"/>
          <w:rtl/>
        </w:rPr>
        <w:t>י</w:t>
      </w:r>
      <w:r w:rsidR="00A95C8A" w:rsidRPr="00162857">
        <w:rPr>
          <w:rFonts w:hint="cs"/>
          <w:rtl/>
        </w:rPr>
        <w:t>קט (כגון: עלויות בנ</w:t>
      </w:r>
      <w:r w:rsidR="00510AA6" w:rsidRPr="00162857">
        <w:rPr>
          <w:rFonts w:hint="cs"/>
          <w:rtl/>
        </w:rPr>
        <w:t>י</w:t>
      </w:r>
      <w:r w:rsidR="00A95C8A" w:rsidRPr="00162857">
        <w:rPr>
          <w:rFonts w:hint="cs"/>
          <w:rtl/>
        </w:rPr>
        <w:t xml:space="preserve">יה) </w:t>
      </w:r>
      <w:r w:rsidR="00AB7162" w:rsidRPr="00162857">
        <w:rPr>
          <w:rFonts w:hint="cs"/>
          <w:rtl/>
        </w:rPr>
        <w:t>לבין</w:t>
      </w:r>
      <w:r w:rsidR="00A95C8A" w:rsidRPr="00162857">
        <w:rPr>
          <w:rFonts w:hint="cs"/>
          <w:rtl/>
        </w:rPr>
        <w:t xml:space="preserve"> המקורות (</w:t>
      </w:r>
      <w:r w:rsidR="00AB7162" w:rsidRPr="00162857">
        <w:rPr>
          <w:rFonts w:hint="cs"/>
          <w:rtl/>
        </w:rPr>
        <w:t xml:space="preserve">כגון: </w:t>
      </w:r>
      <w:r w:rsidR="00A95C8A" w:rsidRPr="00162857">
        <w:rPr>
          <w:rFonts w:hint="cs"/>
          <w:rtl/>
        </w:rPr>
        <w:t>הון עצמי ותמורה ממכירות). החישוב מב</w:t>
      </w:r>
      <w:r w:rsidR="00120060" w:rsidRPr="00162857">
        <w:rPr>
          <w:rFonts w:hint="cs"/>
          <w:rtl/>
        </w:rPr>
        <w:t>ו</w:t>
      </w:r>
      <w:r w:rsidR="00A95C8A" w:rsidRPr="00162857">
        <w:rPr>
          <w:rFonts w:hint="cs"/>
          <w:rtl/>
        </w:rPr>
        <w:t xml:space="preserve">צע לאחר </w:t>
      </w:r>
      <w:r w:rsidR="00120060" w:rsidRPr="00162857">
        <w:rPr>
          <w:rFonts w:hint="cs"/>
          <w:rtl/>
        </w:rPr>
        <w:t>יישומ</w:t>
      </w:r>
      <w:r w:rsidR="005F6966" w:rsidRPr="00162857">
        <w:rPr>
          <w:rFonts w:hint="cs"/>
          <w:rtl/>
        </w:rPr>
        <w:t>ם</w:t>
      </w:r>
      <w:r w:rsidR="00120060" w:rsidRPr="00162857">
        <w:rPr>
          <w:rFonts w:hint="cs"/>
          <w:rtl/>
        </w:rPr>
        <w:t xml:space="preserve"> של </w:t>
      </w:r>
      <w:r w:rsidR="00A95C8A" w:rsidRPr="00162857">
        <w:rPr>
          <w:rFonts w:hint="cs"/>
          <w:rtl/>
        </w:rPr>
        <w:t xml:space="preserve">מקדמי ביטחון </w:t>
      </w:r>
      <w:r w:rsidR="001A03E1" w:rsidRPr="00162857">
        <w:rPr>
          <w:rFonts w:hint="cs"/>
          <w:rtl/>
        </w:rPr>
        <w:t xml:space="preserve">מחמירים </w:t>
      </w:r>
      <w:r w:rsidR="00120060" w:rsidRPr="00162857">
        <w:rPr>
          <w:rFonts w:hint="cs"/>
          <w:rtl/>
        </w:rPr>
        <w:t>שנקבעים בהתאם</w:t>
      </w:r>
      <w:r w:rsidR="00AB7162" w:rsidRPr="00162857">
        <w:rPr>
          <w:rFonts w:hint="cs"/>
          <w:rtl/>
        </w:rPr>
        <w:t xml:space="preserve"> </w:t>
      </w:r>
      <w:r w:rsidR="00120060" w:rsidRPr="00162857">
        <w:rPr>
          <w:rFonts w:hint="cs"/>
          <w:rtl/>
        </w:rPr>
        <w:t>למדיניות</w:t>
      </w:r>
      <w:r w:rsidR="005E2D68" w:rsidRPr="00162857">
        <w:rPr>
          <w:rFonts w:hint="cs"/>
          <w:rtl/>
        </w:rPr>
        <w:t>ו</w:t>
      </w:r>
      <w:r w:rsidR="00120060" w:rsidRPr="00162857">
        <w:rPr>
          <w:rFonts w:hint="cs"/>
          <w:rtl/>
        </w:rPr>
        <w:t xml:space="preserve"> </w:t>
      </w:r>
      <w:r w:rsidR="00AB7162" w:rsidRPr="00162857">
        <w:rPr>
          <w:rFonts w:hint="cs"/>
          <w:rtl/>
        </w:rPr>
        <w:t>של כל בנק</w:t>
      </w:r>
      <w:r w:rsidR="00A95C8A" w:rsidRPr="00162857">
        <w:rPr>
          <w:rFonts w:hint="cs"/>
          <w:rtl/>
        </w:rPr>
        <w:t xml:space="preserve">. </w:t>
      </w:r>
      <w:r w:rsidRPr="00162857">
        <w:rPr>
          <w:rFonts w:hint="cs"/>
          <w:rtl/>
        </w:rPr>
        <w:t>היקף האשראי לפרוייקטים עם גירעון</w:t>
      </w:r>
      <w:r w:rsidR="00084FED" w:rsidRPr="00162857">
        <w:rPr>
          <w:rFonts w:hint="cs"/>
          <w:rtl/>
        </w:rPr>
        <w:t>,</w:t>
      </w:r>
      <w:r w:rsidRPr="00162857">
        <w:rPr>
          <w:rFonts w:hint="cs"/>
          <w:rtl/>
        </w:rPr>
        <w:t xml:space="preserve"> </w:t>
      </w:r>
      <w:r w:rsidR="000A4BD1" w:rsidRPr="00162857">
        <w:rPr>
          <w:rFonts w:hint="cs"/>
          <w:rtl/>
        </w:rPr>
        <w:t>לאחר</w:t>
      </w:r>
      <w:r w:rsidR="00120060" w:rsidRPr="00162857">
        <w:rPr>
          <w:rFonts w:hint="cs"/>
          <w:rtl/>
        </w:rPr>
        <w:t xml:space="preserve"> יישום</w:t>
      </w:r>
      <w:r w:rsidR="00A95C8A" w:rsidRPr="00162857">
        <w:rPr>
          <w:rFonts w:hint="cs"/>
          <w:rtl/>
        </w:rPr>
        <w:t xml:space="preserve"> מקדמי בטחון</w:t>
      </w:r>
      <w:r w:rsidR="00084FED" w:rsidRPr="00162857">
        <w:rPr>
          <w:rFonts w:hint="cs"/>
          <w:rtl/>
        </w:rPr>
        <w:t>,</w:t>
      </w:r>
      <w:r w:rsidR="00A95C8A" w:rsidRPr="00162857">
        <w:rPr>
          <w:rFonts w:hint="cs"/>
          <w:rtl/>
        </w:rPr>
        <w:t xml:space="preserve"> </w:t>
      </w:r>
      <w:r w:rsidRPr="00162857">
        <w:rPr>
          <w:rFonts w:hint="cs"/>
          <w:rtl/>
        </w:rPr>
        <w:t>עומד על כ-7%</w:t>
      </w:r>
      <w:r w:rsidR="00AB7162" w:rsidRPr="00162857">
        <w:rPr>
          <w:rFonts w:hint="cs"/>
          <w:rtl/>
        </w:rPr>
        <w:t xml:space="preserve"> מהאשראי לפרוייקטים</w:t>
      </w:r>
      <w:r w:rsidRPr="00162857">
        <w:rPr>
          <w:rFonts w:hint="cs"/>
          <w:rtl/>
        </w:rPr>
        <w:t xml:space="preserve"> (</w:t>
      </w:r>
      <w:r w:rsidR="00977CC5" w:rsidRPr="00162857">
        <w:rPr>
          <w:rFonts w:hint="cs"/>
          <w:rtl/>
        </w:rPr>
        <w:t>כ-</w:t>
      </w:r>
      <w:r w:rsidRPr="00162857">
        <w:rPr>
          <w:rFonts w:hint="cs"/>
          <w:rtl/>
        </w:rPr>
        <w:t xml:space="preserve">11.5 מיליארד </w:t>
      </w:r>
      <w:r w:rsidR="00977CC5" w:rsidRPr="00162857">
        <w:rPr>
          <w:rFonts w:hint="cs"/>
          <w:rtl/>
        </w:rPr>
        <w:t>ש</w:t>
      </w:r>
      <w:r w:rsidR="00120060" w:rsidRPr="00162857">
        <w:rPr>
          <w:rFonts w:hint="cs"/>
          <w:rtl/>
        </w:rPr>
        <w:t>"</w:t>
      </w:r>
      <w:r w:rsidR="00977CC5" w:rsidRPr="00162857">
        <w:rPr>
          <w:rFonts w:hint="cs"/>
          <w:rtl/>
        </w:rPr>
        <w:t>ח</w:t>
      </w:r>
      <w:r w:rsidRPr="00162857">
        <w:rPr>
          <w:rFonts w:hint="cs"/>
          <w:rtl/>
        </w:rPr>
        <w:t xml:space="preserve">). עם </w:t>
      </w:r>
      <w:r w:rsidR="00120060" w:rsidRPr="00162857">
        <w:rPr>
          <w:rFonts w:hint="cs"/>
          <w:rtl/>
        </w:rPr>
        <w:t xml:space="preserve">זה יש </w:t>
      </w:r>
      <w:r w:rsidR="001A03E1" w:rsidRPr="00162857">
        <w:rPr>
          <w:rFonts w:hint="cs"/>
          <w:rtl/>
        </w:rPr>
        <w:t xml:space="preserve">בכל </w:t>
      </w:r>
      <w:r w:rsidR="00554F14" w:rsidRPr="00162857">
        <w:rPr>
          <w:rFonts w:hint="cs"/>
          <w:rtl/>
        </w:rPr>
        <w:t>הפרו</w:t>
      </w:r>
      <w:r w:rsidR="00A434E6" w:rsidRPr="00162857">
        <w:rPr>
          <w:rFonts w:hint="cs"/>
          <w:rtl/>
        </w:rPr>
        <w:t>י</w:t>
      </w:r>
      <w:r w:rsidR="001A03E1" w:rsidRPr="00162857">
        <w:rPr>
          <w:rFonts w:hint="cs"/>
          <w:rtl/>
        </w:rPr>
        <w:t xml:space="preserve">יקטים הללו עודף </w:t>
      </w:r>
      <w:r w:rsidR="001A03E1" w:rsidRPr="00162857">
        <w:rPr>
          <w:rFonts w:hint="eastAsia"/>
          <w:b/>
          <w:bCs/>
          <w:rtl/>
        </w:rPr>
        <w:t>לפני</w:t>
      </w:r>
      <w:r w:rsidR="001A03E1" w:rsidRPr="00162857">
        <w:rPr>
          <w:rFonts w:hint="cs"/>
          <w:rtl/>
        </w:rPr>
        <w:t xml:space="preserve"> </w:t>
      </w:r>
      <w:r w:rsidR="005F6966" w:rsidRPr="00162857">
        <w:rPr>
          <w:rFonts w:hint="cs"/>
          <w:rtl/>
        </w:rPr>
        <w:t xml:space="preserve">יישום </w:t>
      </w:r>
      <w:r w:rsidR="001A03E1" w:rsidRPr="00162857">
        <w:rPr>
          <w:rFonts w:hint="cs"/>
          <w:rtl/>
        </w:rPr>
        <w:t>מקדמי</w:t>
      </w:r>
      <w:r w:rsidR="00120060" w:rsidRPr="00162857">
        <w:rPr>
          <w:rFonts w:hint="cs"/>
          <w:rtl/>
        </w:rPr>
        <w:t xml:space="preserve"> ביטחון</w:t>
      </w:r>
      <w:r w:rsidR="005B7E3F" w:rsidRPr="00162857">
        <w:rPr>
          <w:rFonts w:hint="cs"/>
          <w:rtl/>
        </w:rPr>
        <w:t xml:space="preserve"> ו</w:t>
      </w:r>
      <w:r w:rsidRPr="00162857">
        <w:rPr>
          <w:rFonts w:hint="cs"/>
          <w:rtl/>
        </w:rPr>
        <w:t xml:space="preserve">הגירעון </w:t>
      </w:r>
      <w:r w:rsidR="00352C2B">
        <w:rPr>
          <w:rFonts w:hint="cs"/>
          <w:rtl/>
        </w:rPr>
        <w:t>המצטבר</w:t>
      </w:r>
      <w:r w:rsidR="00AB7162" w:rsidRPr="00162857">
        <w:rPr>
          <w:rFonts w:hint="cs"/>
          <w:rtl/>
        </w:rPr>
        <w:t xml:space="preserve"> </w:t>
      </w:r>
      <w:r w:rsidR="00352C2B">
        <w:rPr>
          <w:rFonts w:hint="cs"/>
          <w:rtl/>
        </w:rPr>
        <w:t>אינו</w:t>
      </w:r>
      <w:r w:rsidR="00084FED" w:rsidRPr="00162857">
        <w:rPr>
          <w:rFonts w:hint="cs"/>
          <w:rtl/>
        </w:rPr>
        <w:t xml:space="preserve"> </w:t>
      </w:r>
      <w:r w:rsidRPr="00162857">
        <w:rPr>
          <w:rFonts w:hint="cs"/>
          <w:rtl/>
        </w:rPr>
        <w:t xml:space="preserve">משמעותי </w:t>
      </w:r>
      <w:r w:rsidR="00AB7162" w:rsidRPr="00162857">
        <w:rPr>
          <w:rFonts w:hint="cs"/>
          <w:rtl/>
        </w:rPr>
        <w:t>(כ</w:t>
      </w:r>
      <w:r w:rsidR="00977CC5" w:rsidRPr="00162857">
        <w:rPr>
          <w:rFonts w:hint="cs"/>
          <w:rtl/>
        </w:rPr>
        <w:t>-</w:t>
      </w:r>
      <w:r w:rsidRPr="00162857">
        <w:rPr>
          <w:rFonts w:hint="cs"/>
          <w:rtl/>
        </w:rPr>
        <w:t xml:space="preserve">350 מ' </w:t>
      </w:r>
      <w:r w:rsidR="00977CC5" w:rsidRPr="00162857">
        <w:rPr>
          <w:rFonts w:hint="cs"/>
          <w:rtl/>
        </w:rPr>
        <w:t>ש"ח</w:t>
      </w:r>
      <w:r w:rsidRPr="00162857">
        <w:rPr>
          <w:rFonts w:hint="cs"/>
          <w:rtl/>
        </w:rPr>
        <w:t xml:space="preserve"> </w:t>
      </w:r>
      <w:r w:rsidR="00977CC5" w:rsidRPr="00162857">
        <w:rPr>
          <w:rFonts w:hint="cs"/>
          <w:rtl/>
        </w:rPr>
        <w:t>שהם</w:t>
      </w:r>
      <w:r w:rsidR="00116D08" w:rsidRPr="00162857">
        <w:rPr>
          <w:rFonts w:hint="cs"/>
          <w:rtl/>
        </w:rPr>
        <w:t xml:space="preserve"> 0.2% בלבד מסך ה</w:t>
      </w:r>
      <w:r w:rsidR="001A03E1" w:rsidRPr="00162857">
        <w:rPr>
          <w:rFonts w:hint="cs"/>
          <w:rtl/>
        </w:rPr>
        <w:t>חשיפה ל</w:t>
      </w:r>
      <w:r w:rsidR="00116D08" w:rsidRPr="00162857">
        <w:rPr>
          <w:rFonts w:hint="cs"/>
          <w:rtl/>
        </w:rPr>
        <w:t>פרוי</w:t>
      </w:r>
      <w:r w:rsidR="00A434E6" w:rsidRPr="00162857">
        <w:rPr>
          <w:rFonts w:hint="cs"/>
          <w:rtl/>
        </w:rPr>
        <w:t>י</w:t>
      </w:r>
      <w:r w:rsidR="00116D08" w:rsidRPr="00162857">
        <w:rPr>
          <w:rFonts w:hint="cs"/>
          <w:rtl/>
        </w:rPr>
        <w:t>קטים)</w:t>
      </w:r>
      <w:r w:rsidR="001A03E1" w:rsidRPr="00162857">
        <w:rPr>
          <w:rFonts w:hint="cs"/>
          <w:rtl/>
        </w:rPr>
        <w:t>.</w:t>
      </w:r>
    </w:p>
    <w:p w:rsidR="00AA697C" w:rsidRDefault="00AA697C" w:rsidP="00162857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  <w:rtl/>
        </w:rPr>
      </w:pPr>
    </w:p>
    <w:p w:rsidR="00836AF9" w:rsidRPr="00162857" w:rsidRDefault="00836AF9" w:rsidP="00162857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  <w:rtl/>
        </w:rPr>
      </w:pPr>
      <w:r w:rsidRPr="00162857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t xml:space="preserve">מימון נכסים מניבים </w:t>
      </w:r>
    </w:p>
    <w:p w:rsidR="008A1C9B" w:rsidRDefault="008A1C9B" w:rsidP="00836AF9">
      <w:pPr>
        <w:tabs>
          <w:tab w:val="clear" w:pos="567"/>
          <w:tab w:val="clear" w:pos="1134"/>
        </w:tabs>
        <w:outlineLvl w:val="0"/>
        <w:rPr>
          <w:b/>
          <w:bCs/>
          <w:color w:val="4F81BD" w:themeColor="accent1"/>
          <w:kern w:val="28"/>
          <w:sz w:val="22"/>
          <w:rtl/>
        </w:rPr>
      </w:pPr>
    </w:p>
    <w:p w:rsidR="00836AF9" w:rsidRPr="00162857" w:rsidRDefault="00836AF9" w:rsidP="00836AF9">
      <w:pPr>
        <w:tabs>
          <w:tab w:val="clear" w:pos="567"/>
          <w:tab w:val="clear" w:pos="1134"/>
        </w:tabs>
        <w:outlineLvl w:val="0"/>
        <w:rPr>
          <w:b/>
          <w:bCs/>
          <w:i/>
          <w:iCs/>
          <w:color w:val="4F81BD" w:themeColor="accent1"/>
          <w:kern w:val="28"/>
          <w:sz w:val="22"/>
        </w:rPr>
      </w:pPr>
      <w:r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>נתונים על החשיפה</w:t>
      </w:r>
    </w:p>
    <w:p w:rsidR="00836AF9" w:rsidRDefault="00D31208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</w:pPr>
      <w:r>
        <w:rPr>
          <w:rFonts w:hint="cs"/>
          <w:rtl/>
        </w:rPr>
        <w:t xml:space="preserve">רמת </w:t>
      </w:r>
      <w:r w:rsidR="00836AF9" w:rsidRPr="00E17684">
        <w:rPr>
          <w:rFonts w:hint="cs"/>
          <w:rtl/>
        </w:rPr>
        <w:t>החשיפה לנכסים מניבים בשלב ההנבה</w:t>
      </w:r>
      <w:r w:rsidR="000E7A76">
        <w:rPr>
          <w:rFonts w:hint="cs"/>
          <w:rtl/>
        </w:rPr>
        <w:t xml:space="preserve"> (לאחר השלמת הבניה) </w:t>
      </w:r>
      <w:r w:rsidR="00836AF9" w:rsidRPr="00E17684">
        <w:rPr>
          <w:rFonts w:hint="cs"/>
          <w:rtl/>
        </w:rPr>
        <w:t xml:space="preserve">עומדת על </w:t>
      </w:r>
      <w:r w:rsidR="0027009D" w:rsidRPr="00162857">
        <w:rPr>
          <w:rFonts w:hint="cs"/>
          <w:rtl/>
        </w:rPr>
        <w:t>כ</w:t>
      </w:r>
      <w:r w:rsidR="005B7E3F" w:rsidRPr="00162857">
        <w:rPr>
          <w:rFonts w:hint="cs"/>
          <w:rtl/>
        </w:rPr>
        <w:t>-</w:t>
      </w:r>
      <w:r w:rsidR="00836AF9" w:rsidRPr="00162857">
        <w:rPr>
          <w:rFonts w:hint="cs"/>
          <w:rtl/>
        </w:rPr>
        <w:t xml:space="preserve">51 </w:t>
      </w:r>
      <w:r w:rsidR="00836AF9" w:rsidRPr="00E17684">
        <w:rPr>
          <w:rFonts w:hint="cs"/>
          <w:rtl/>
        </w:rPr>
        <w:t xml:space="preserve">מיליארד </w:t>
      </w:r>
      <w:r w:rsidR="00977CC5">
        <w:rPr>
          <w:rFonts w:hint="cs"/>
          <w:rtl/>
        </w:rPr>
        <w:t>ש"ח</w:t>
      </w:r>
      <w:r w:rsidR="00836AF9" w:rsidRPr="00E17684">
        <w:rPr>
          <w:rFonts w:hint="cs"/>
          <w:rtl/>
        </w:rPr>
        <w:t xml:space="preserve"> </w:t>
      </w:r>
      <w:r w:rsidR="00977CC5">
        <w:rPr>
          <w:rFonts w:hint="cs"/>
          <w:rtl/>
        </w:rPr>
        <w:t>שהם</w:t>
      </w:r>
      <w:r w:rsidR="00836AF9" w:rsidRPr="00E17684">
        <w:rPr>
          <w:rFonts w:hint="cs"/>
          <w:rtl/>
        </w:rPr>
        <w:t xml:space="preserve"> </w:t>
      </w:r>
      <w:r w:rsidR="0027009D" w:rsidRPr="00162857">
        <w:rPr>
          <w:rFonts w:hint="cs"/>
          <w:rtl/>
        </w:rPr>
        <w:t>כ</w:t>
      </w:r>
      <w:r w:rsidR="005B7E3F" w:rsidRPr="00162857">
        <w:rPr>
          <w:rFonts w:hint="cs"/>
          <w:rtl/>
        </w:rPr>
        <w:t>-</w:t>
      </w:r>
      <w:r w:rsidR="00836AF9" w:rsidRPr="00162857">
        <w:rPr>
          <w:rFonts w:hint="cs"/>
          <w:rtl/>
        </w:rPr>
        <w:t>17%</w:t>
      </w:r>
      <w:r w:rsidR="00836AF9" w:rsidRPr="00E17684">
        <w:rPr>
          <w:rFonts w:hint="cs"/>
          <w:rtl/>
        </w:rPr>
        <w:t xml:space="preserve"> מהאשראי שנבחן. </w:t>
      </w:r>
      <w:r w:rsidR="001D04DF">
        <w:rPr>
          <w:rFonts w:hint="cs"/>
          <w:rtl/>
        </w:rPr>
        <w:t>מערכת הבנקא</w:t>
      </w:r>
      <w:r w:rsidR="005B7E3F">
        <w:rPr>
          <w:rFonts w:hint="cs"/>
          <w:rtl/>
        </w:rPr>
        <w:t>ו</w:t>
      </w:r>
      <w:r w:rsidR="001D04DF">
        <w:rPr>
          <w:rFonts w:hint="cs"/>
          <w:rtl/>
        </w:rPr>
        <w:t>ת ממ</w:t>
      </w:r>
      <w:r w:rsidR="005B7E3F">
        <w:rPr>
          <w:rFonts w:hint="cs"/>
          <w:rtl/>
        </w:rPr>
        <w:t>מ</w:t>
      </w:r>
      <w:r w:rsidR="001D04DF">
        <w:rPr>
          <w:rFonts w:hint="cs"/>
          <w:rtl/>
        </w:rPr>
        <w:t>נת כ</w:t>
      </w:r>
      <w:r w:rsidR="005B7E3F">
        <w:rPr>
          <w:rFonts w:hint="cs"/>
          <w:rtl/>
        </w:rPr>
        <w:t>-</w:t>
      </w:r>
      <w:r w:rsidR="008F25DE">
        <w:rPr>
          <w:rFonts w:hint="cs"/>
          <w:rtl/>
        </w:rPr>
        <w:t>2,900</w:t>
      </w:r>
      <w:r w:rsidR="001D04DF">
        <w:rPr>
          <w:rFonts w:hint="cs"/>
          <w:rtl/>
        </w:rPr>
        <w:t xml:space="preserve"> נכסים מניבים בגדלים שונים.</w:t>
      </w:r>
    </w:p>
    <w:p w:rsidR="00836AF9" w:rsidRDefault="0027009D" w:rsidP="00393C13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rPr>
          <w:rtl/>
        </w:rPr>
      </w:pPr>
      <w:r>
        <w:rPr>
          <w:rFonts w:hint="cs"/>
          <w:rtl/>
        </w:rPr>
        <w:t>כ</w:t>
      </w:r>
      <w:r w:rsidR="00F031FB">
        <w:rPr>
          <w:rFonts w:hint="cs"/>
          <w:rtl/>
        </w:rPr>
        <w:t>-</w:t>
      </w:r>
      <w:r w:rsidR="00393C13">
        <w:rPr>
          <w:rFonts w:hint="cs"/>
          <w:rtl/>
        </w:rPr>
        <w:t>80</w:t>
      </w:r>
      <w:r w:rsidR="00836AF9" w:rsidRPr="00836AF9">
        <w:rPr>
          <w:rFonts w:hint="cs"/>
          <w:rtl/>
        </w:rPr>
        <w:t>% מהמימון לנכסים מניבים מועמד לנכסים מסחריים</w:t>
      </w:r>
      <w:r w:rsidR="009105BD">
        <w:rPr>
          <w:rFonts w:hint="cs"/>
          <w:rtl/>
        </w:rPr>
        <w:t xml:space="preserve"> (</w:t>
      </w:r>
      <w:r>
        <w:rPr>
          <w:rFonts w:hint="cs"/>
          <w:rtl/>
        </w:rPr>
        <w:t xml:space="preserve">כגון: </w:t>
      </w:r>
      <w:r w:rsidR="009105BD">
        <w:rPr>
          <w:rFonts w:hint="cs"/>
          <w:rtl/>
        </w:rPr>
        <w:t>קניונים ומרכזים שכונתיים)</w:t>
      </w:r>
      <w:r w:rsidR="00836AF9" w:rsidRPr="00836AF9">
        <w:rPr>
          <w:rFonts w:hint="cs"/>
          <w:rtl/>
        </w:rPr>
        <w:t xml:space="preserve"> ולמשרדים (</w:t>
      </w:r>
      <w:r w:rsidR="00393C13">
        <w:rPr>
          <w:rFonts w:hint="cs"/>
          <w:rtl/>
        </w:rPr>
        <w:t>51</w:t>
      </w:r>
      <w:r w:rsidR="00836AF9" w:rsidRPr="00836AF9">
        <w:rPr>
          <w:rFonts w:hint="cs"/>
          <w:rtl/>
        </w:rPr>
        <w:t>% ו-29% בה</w:t>
      </w:r>
      <w:r w:rsidR="00836AF9">
        <w:rPr>
          <w:rFonts w:hint="cs"/>
          <w:rtl/>
        </w:rPr>
        <w:t>תאמה) שספגו פגיעה במשבר הקורונה</w:t>
      </w:r>
      <w:r>
        <w:rPr>
          <w:rFonts w:hint="cs"/>
          <w:rtl/>
        </w:rPr>
        <w:t xml:space="preserve">. </w:t>
      </w:r>
      <w:r w:rsidR="00084FED">
        <w:rPr>
          <w:rFonts w:hint="cs"/>
          <w:rtl/>
        </w:rPr>
        <w:t xml:space="preserve">שאר </w:t>
      </w:r>
      <w:r>
        <w:rPr>
          <w:rFonts w:hint="cs"/>
          <w:rtl/>
        </w:rPr>
        <w:t>האשראי מ</w:t>
      </w:r>
      <w:r w:rsidR="00084FED">
        <w:rPr>
          <w:rFonts w:hint="cs"/>
          <w:rtl/>
        </w:rPr>
        <w:t>מ</w:t>
      </w:r>
      <w:r>
        <w:rPr>
          <w:rFonts w:hint="cs"/>
          <w:rtl/>
        </w:rPr>
        <w:t xml:space="preserve">מן נכסים מניבים אחרים: </w:t>
      </w:r>
      <w:r w:rsidR="00084FED">
        <w:rPr>
          <w:rFonts w:hint="cs"/>
          <w:rtl/>
        </w:rPr>
        <w:t xml:space="preserve">השכרה של </w:t>
      </w:r>
      <w:r w:rsidR="00836AF9">
        <w:rPr>
          <w:rFonts w:hint="cs"/>
          <w:rtl/>
        </w:rPr>
        <w:t>בתי מלון (</w:t>
      </w:r>
      <w:r w:rsidR="00977CC5">
        <w:rPr>
          <w:rFonts w:hint="cs"/>
          <w:rtl/>
        </w:rPr>
        <w:t>כ-</w:t>
      </w:r>
      <w:r w:rsidR="00393C13">
        <w:rPr>
          <w:rFonts w:hint="cs"/>
          <w:rtl/>
        </w:rPr>
        <w:t>6</w:t>
      </w:r>
      <w:r w:rsidR="00084FED">
        <w:rPr>
          <w:rFonts w:hint="cs"/>
          <w:rtl/>
        </w:rPr>
        <w:t xml:space="preserve">%); </w:t>
      </w:r>
      <w:r w:rsidR="00836AF9">
        <w:rPr>
          <w:rFonts w:hint="cs"/>
          <w:rtl/>
        </w:rPr>
        <w:t>נכסים מניבים למגורים</w:t>
      </w:r>
      <w:r w:rsidR="00084FED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836AF9">
        <w:rPr>
          <w:rFonts w:hint="cs"/>
          <w:rtl/>
        </w:rPr>
        <w:t xml:space="preserve">כגון דיור מוגן </w:t>
      </w:r>
      <w:r w:rsidR="009105BD">
        <w:rPr>
          <w:rFonts w:hint="cs"/>
          <w:rtl/>
        </w:rPr>
        <w:t>ו</w:t>
      </w:r>
      <w:r w:rsidR="00836AF9">
        <w:rPr>
          <w:rFonts w:hint="cs"/>
          <w:rtl/>
        </w:rPr>
        <w:t>נכסים להשכרה</w:t>
      </w:r>
      <w:r w:rsidR="00084FED">
        <w:rPr>
          <w:rFonts w:hint="cs"/>
          <w:rtl/>
        </w:rPr>
        <w:t xml:space="preserve"> </w:t>
      </w:r>
      <w:r>
        <w:rPr>
          <w:rFonts w:hint="cs"/>
          <w:rtl/>
        </w:rPr>
        <w:t>- (</w:t>
      </w:r>
      <w:r w:rsidR="00977CC5">
        <w:rPr>
          <w:rFonts w:hint="cs"/>
          <w:rtl/>
        </w:rPr>
        <w:t>כ-</w:t>
      </w:r>
      <w:r w:rsidR="009105BD">
        <w:rPr>
          <w:rFonts w:hint="cs"/>
          <w:rtl/>
        </w:rPr>
        <w:t>6%) ועוד 8% למטרות אחרות</w:t>
      </w:r>
      <w:r w:rsidR="00084FED">
        <w:rPr>
          <w:rFonts w:hint="cs"/>
          <w:rtl/>
        </w:rPr>
        <w:t>,</w:t>
      </w:r>
      <w:r w:rsidR="009105BD">
        <w:rPr>
          <w:rFonts w:hint="cs"/>
          <w:rtl/>
        </w:rPr>
        <w:t xml:space="preserve"> כגון מבני תעשי</w:t>
      </w:r>
      <w:r w:rsidR="00084FED">
        <w:rPr>
          <w:rFonts w:hint="cs"/>
          <w:rtl/>
        </w:rPr>
        <w:t>י</w:t>
      </w:r>
      <w:r w:rsidR="009105BD">
        <w:rPr>
          <w:rFonts w:hint="cs"/>
          <w:rtl/>
        </w:rPr>
        <w:t>ה ומרכזים לוגיסט</w:t>
      </w:r>
      <w:r w:rsidR="002316E4">
        <w:rPr>
          <w:rFonts w:hint="cs"/>
          <w:rtl/>
        </w:rPr>
        <w:t>י</w:t>
      </w:r>
      <w:r w:rsidR="009105BD">
        <w:rPr>
          <w:rFonts w:hint="cs"/>
          <w:rtl/>
        </w:rPr>
        <w:t>ים.</w:t>
      </w:r>
      <w:r w:rsidR="00836AF9" w:rsidRPr="00836AF9">
        <w:rPr>
          <w:rFonts w:hint="cs"/>
          <w:rtl/>
        </w:rPr>
        <w:t xml:space="preserve"> </w:t>
      </w:r>
    </w:p>
    <w:p w:rsidR="0078266B" w:rsidRDefault="0078266B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kern w:val="28"/>
          <w:sz w:val="22"/>
          <w:rtl/>
        </w:rPr>
      </w:pPr>
      <w:r>
        <w:rPr>
          <w:rtl/>
        </w:rPr>
        <w:br w:type="page"/>
      </w:r>
    </w:p>
    <w:p w:rsidR="00AA697C" w:rsidRDefault="00AA697C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rPr>
          <w:rtl/>
        </w:rPr>
      </w:pPr>
      <w:r>
        <w:rPr>
          <w:rFonts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2FED0" wp14:editId="18466614">
                <wp:simplePos x="0" y="0"/>
                <wp:positionH relativeFrom="margin">
                  <wp:posOffset>455930</wp:posOffset>
                </wp:positionH>
                <wp:positionV relativeFrom="paragraph">
                  <wp:posOffset>-50800</wp:posOffset>
                </wp:positionV>
                <wp:extent cx="4394958" cy="215153"/>
                <wp:effectExtent l="0" t="0" r="24765" b="13970"/>
                <wp:wrapNone/>
                <wp:docPr id="19" name="מלב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958" cy="21515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7B" w:rsidRPr="00133B30" w:rsidRDefault="0032327B" w:rsidP="00017B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עיקר הנכסים המניבים הממומנים ע"י מערכת הבנקאות מיועדים למסחר ומשרדים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92FED0" id="מלבן 19" o:spid="_x0000_s1029" style="position:absolute;left:0;text-align:left;margin-left:35.9pt;margin-top:-4pt;width:346.05pt;height:16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" fillcolor="white [3201]" strokecolor="black [3213]" strokeweight=".25pt">
                <v:textbox>
                  <w:txbxContent>
                    <w:p w:rsidR="0032327B" w:rsidRPr="00133B30" w:rsidRDefault="0032327B" w:rsidP="00017B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עיקר הנכסים המניבים הממומנים ע"י מערכת הבנקאות מיועדים למסחר ומשרדים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34F3" w:rsidRDefault="0088579A" w:rsidP="00E361CE">
      <w:pPr>
        <w:tabs>
          <w:tab w:val="clear" w:pos="567"/>
          <w:tab w:val="clear" w:pos="1134"/>
        </w:tabs>
        <w:ind w:left="562"/>
        <w:jc w:val="center"/>
        <w:outlineLvl w:val="0"/>
        <w:rPr>
          <w:kern w:val="28"/>
          <w:sz w:val="22"/>
          <w:rtl/>
        </w:rPr>
      </w:pPr>
      <w:r>
        <w:rPr>
          <w:noProof/>
          <w:kern w:val="28"/>
          <w:sz w:val="22"/>
        </w:rPr>
        <w:drawing>
          <wp:inline distT="0" distB="0" distL="0" distR="0" wp14:anchorId="76678A41" wp14:editId="3B838305">
            <wp:extent cx="4413885" cy="2871470"/>
            <wp:effectExtent l="0" t="0" r="5715" b="508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AF9" w:rsidRPr="00162857" w:rsidRDefault="00836AF9" w:rsidP="009105BD">
      <w:pPr>
        <w:tabs>
          <w:tab w:val="clear" w:pos="567"/>
          <w:tab w:val="clear" w:pos="1134"/>
        </w:tabs>
        <w:outlineLvl w:val="0"/>
        <w:rPr>
          <w:b/>
          <w:bCs/>
          <w:i/>
          <w:iCs/>
          <w:color w:val="4F81BD" w:themeColor="accent1"/>
          <w:kern w:val="28"/>
          <w:sz w:val="22"/>
          <w:rtl/>
        </w:rPr>
      </w:pPr>
      <w:r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>הערכת סיכון כוללת</w:t>
      </w:r>
    </w:p>
    <w:p w:rsidR="00836AF9" w:rsidRDefault="00836AF9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  <w:rPr>
          <w:rtl/>
        </w:rPr>
      </w:pPr>
      <w:r>
        <w:rPr>
          <w:rFonts w:hint="cs"/>
          <w:rtl/>
        </w:rPr>
        <w:t>האשראי ל</w:t>
      </w:r>
      <w:r w:rsidR="009105BD">
        <w:rPr>
          <w:rFonts w:hint="cs"/>
          <w:rtl/>
        </w:rPr>
        <w:t xml:space="preserve">מימון נכסים מניבים </w:t>
      </w:r>
      <w:r w:rsidRPr="003011E4">
        <w:rPr>
          <w:rFonts w:hint="cs"/>
          <w:rtl/>
        </w:rPr>
        <w:t xml:space="preserve">מוערך </w:t>
      </w:r>
      <w:r w:rsidRPr="0058348E">
        <w:rPr>
          <w:rFonts w:hint="cs"/>
          <w:rtl/>
        </w:rPr>
        <w:t>ב</w:t>
      </w:r>
      <w:r w:rsidR="00F031FB">
        <w:rPr>
          <w:rFonts w:hint="cs"/>
          <w:rtl/>
        </w:rPr>
        <w:t xml:space="preserve">רמת </w:t>
      </w:r>
      <w:r w:rsidRPr="0058348E">
        <w:rPr>
          <w:rFonts w:hint="cs"/>
          <w:rtl/>
        </w:rPr>
        <w:t xml:space="preserve">סיכון </w:t>
      </w:r>
      <w:r w:rsidR="009105BD" w:rsidRPr="0058348E">
        <w:rPr>
          <w:rFonts w:hint="cs"/>
          <w:rtl/>
        </w:rPr>
        <w:t>בינוני</w:t>
      </w:r>
      <w:r w:rsidR="00F031FB">
        <w:rPr>
          <w:rFonts w:hint="cs"/>
          <w:rtl/>
        </w:rPr>
        <w:t>ת־</w:t>
      </w:r>
      <w:r w:rsidR="009105BD" w:rsidRPr="0058348E">
        <w:rPr>
          <w:rFonts w:hint="cs"/>
          <w:rtl/>
        </w:rPr>
        <w:t>גבוה</w:t>
      </w:r>
      <w:r w:rsidR="00F031FB">
        <w:rPr>
          <w:rFonts w:hint="cs"/>
          <w:rtl/>
        </w:rPr>
        <w:t>ה</w:t>
      </w:r>
      <w:r w:rsidR="00084FED">
        <w:rPr>
          <w:rFonts w:hint="cs"/>
          <w:rtl/>
        </w:rPr>
        <w:t>,</w:t>
      </w:r>
      <w:r w:rsidRPr="003011E4">
        <w:rPr>
          <w:rFonts w:hint="cs"/>
          <w:rtl/>
        </w:rPr>
        <w:t xml:space="preserve"> </w:t>
      </w:r>
      <w:r w:rsidR="009105BD" w:rsidRPr="00E361CE">
        <w:rPr>
          <w:rFonts w:hint="cs"/>
          <w:rtl/>
        </w:rPr>
        <w:t>ב</w:t>
      </w:r>
      <w:r w:rsidR="00DD7AFE" w:rsidRPr="00E361CE">
        <w:rPr>
          <w:rFonts w:hint="cs"/>
          <w:rtl/>
        </w:rPr>
        <w:t>מיוחד לנוכח העובדה ש</w:t>
      </w:r>
      <w:r w:rsidR="009105BD" w:rsidRPr="00E361CE">
        <w:rPr>
          <w:rFonts w:hint="cs"/>
          <w:rtl/>
        </w:rPr>
        <w:t xml:space="preserve">מדובר באשראי </w:t>
      </w:r>
      <w:r w:rsidR="00084FED">
        <w:rPr>
          <w:rFonts w:hint="cs"/>
          <w:rtl/>
        </w:rPr>
        <w:t>ש</w:t>
      </w:r>
      <w:r w:rsidR="009105BD" w:rsidRPr="00E361CE">
        <w:rPr>
          <w:rFonts w:hint="cs"/>
          <w:rtl/>
        </w:rPr>
        <w:t xml:space="preserve">פרוס לשנים רבות (10 </w:t>
      </w:r>
      <w:r w:rsidR="00084FED">
        <w:rPr>
          <w:rFonts w:hint="cs"/>
          <w:rtl/>
        </w:rPr>
        <w:t>-</w:t>
      </w:r>
      <w:r w:rsidR="00084FED" w:rsidRPr="00E361CE">
        <w:rPr>
          <w:rFonts w:hint="cs"/>
          <w:rtl/>
        </w:rPr>
        <w:t xml:space="preserve"> </w:t>
      </w:r>
      <w:r w:rsidR="009105BD" w:rsidRPr="00E361CE">
        <w:rPr>
          <w:rFonts w:hint="cs"/>
          <w:rtl/>
        </w:rPr>
        <w:t>20 שנים)</w:t>
      </w:r>
      <w:r w:rsidR="00084FED">
        <w:rPr>
          <w:rFonts w:hint="cs"/>
          <w:rtl/>
        </w:rPr>
        <w:t>,</w:t>
      </w:r>
      <w:r w:rsidR="009105BD" w:rsidRPr="00E361CE">
        <w:rPr>
          <w:rFonts w:hint="cs"/>
          <w:rtl/>
        </w:rPr>
        <w:t xml:space="preserve"> </w:t>
      </w:r>
      <w:r w:rsidR="00084FED">
        <w:rPr>
          <w:rFonts w:hint="cs"/>
          <w:rtl/>
        </w:rPr>
        <w:t>כ</w:t>
      </w:r>
      <w:r w:rsidR="00DD7AFE" w:rsidRPr="00E361CE">
        <w:rPr>
          <w:rFonts w:hint="cs"/>
          <w:rtl/>
        </w:rPr>
        <w:t>ש</w:t>
      </w:r>
      <w:r w:rsidR="009105BD" w:rsidRPr="00E361CE">
        <w:rPr>
          <w:rFonts w:hint="cs"/>
          <w:rtl/>
        </w:rPr>
        <w:t xml:space="preserve">כושר ההחזר </w:t>
      </w:r>
      <w:r w:rsidR="00DD7AFE" w:rsidRPr="00E361CE">
        <w:rPr>
          <w:rFonts w:hint="cs"/>
          <w:rtl/>
        </w:rPr>
        <w:t xml:space="preserve">שלו תלוי </w:t>
      </w:r>
      <w:r w:rsidR="009105BD" w:rsidRPr="00E361CE">
        <w:rPr>
          <w:rFonts w:hint="cs"/>
          <w:rtl/>
        </w:rPr>
        <w:t>בשיעורי ההשכרה וההנבה של הנכס</w:t>
      </w:r>
      <w:r w:rsidR="00DD7AFE" w:rsidRPr="00E361CE">
        <w:rPr>
          <w:rFonts w:hint="cs"/>
          <w:rtl/>
        </w:rPr>
        <w:t>ים</w:t>
      </w:r>
      <w:r w:rsidR="0004368E" w:rsidRPr="00E361CE">
        <w:rPr>
          <w:rFonts w:hint="cs"/>
          <w:rtl/>
        </w:rPr>
        <w:t xml:space="preserve"> לאורך זמן</w:t>
      </w:r>
      <w:r w:rsidR="009105BD" w:rsidRPr="00E361CE">
        <w:rPr>
          <w:rFonts w:hint="cs"/>
          <w:rtl/>
        </w:rPr>
        <w:t>.</w:t>
      </w:r>
    </w:p>
    <w:p w:rsidR="00657921" w:rsidRDefault="00866172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</w:pPr>
      <w:r>
        <w:rPr>
          <w:rFonts w:hint="cs"/>
          <w:rtl/>
        </w:rPr>
        <w:t xml:space="preserve">רמת </w:t>
      </w:r>
      <w:r w:rsidR="009105BD">
        <w:rPr>
          <w:rFonts w:hint="cs"/>
          <w:rtl/>
        </w:rPr>
        <w:t>הסיכון על</w:t>
      </w:r>
      <w:r>
        <w:rPr>
          <w:rFonts w:hint="cs"/>
          <w:rtl/>
        </w:rPr>
        <w:t>ת</w:t>
      </w:r>
      <w:r w:rsidR="009105BD">
        <w:rPr>
          <w:rFonts w:hint="cs"/>
          <w:rtl/>
        </w:rPr>
        <w:t>ה לאחרונה</w:t>
      </w:r>
      <w:r>
        <w:rPr>
          <w:rFonts w:hint="cs"/>
          <w:rtl/>
        </w:rPr>
        <w:t>,</w:t>
      </w:r>
      <w:r w:rsidR="009105BD">
        <w:rPr>
          <w:rFonts w:hint="cs"/>
          <w:rtl/>
        </w:rPr>
        <w:t xml:space="preserve"> במיוחד באשראי שהועמד למימון נכסים מניבים למסחר ולמשרד</w:t>
      </w:r>
      <w:r w:rsidR="00DD7AFE">
        <w:rPr>
          <w:rFonts w:hint="cs"/>
          <w:rtl/>
        </w:rPr>
        <w:t xml:space="preserve">ים, </w:t>
      </w:r>
      <w:r w:rsidR="009105BD">
        <w:rPr>
          <w:rFonts w:hint="cs"/>
          <w:rtl/>
        </w:rPr>
        <w:t>לנוכח הפגי</w:t>
      </w:r>
      <w:r w:rsidR="00657921">
        <w:rPr>
          <w:rFonts w:hint="cs"/>
          <w:rtl/>
        </w:rPr>
        <w:t xml:space="preserve">עה שספגו נכסים </w:t>
      </w:r>
      <w:r>
        <w:rPr>
          <w:rFonts w:hint="cs"/>
          <w:rtl/>
        </w:rPr>
        <w:t xml:space="preserve">אלה </w:t>
      </w:r>
      <w:r w:rsidR="00657921">
        <w:rPr>
          <w:rFonts w:hint="cs"/>
          <w:rtl/>
        </w:rPr>
        <w:t>במשבר קורונה:</w:t>
      </w:r>
    </w:p>
    <w:p w:rsidR="009105BD" w:rsidRPr="00162857" w:rsidRDefault="0027009D" w:rsidP="00352C2B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 w:rsidRPr="00162857">
        <w:rPr>
          <w:rFonts w:hint="cs"/>
          <w:b/>
          <w:bCs/>
          <w:rtl/>
        </w:rPr>
        <w:t>נכסים מסחריים</w:t>
      </w:r>
      <w:r w:rsidRPr="000E7A76">
        <w:rPr>
          <w:rFonts w:hint="cs"/>
          <w:rtl/>
        </w:rPr>
        <w:t xml:space="preserve"> - </w:t>
      </w:r>
      <w:r w:rsidR="009105BD" w:rsidRPr="000E7A76">
        <w:rPr>
          <w:rFonts w:hint="cs"/>
          <w:rtl/>
        </w:rPr>
        <w:t xml:space="preserve">ההגבלות </w:t>
      </w:r>
      <w:r w:rsidR="00084FED" w:rsidRPr="000E7A76">
        <w:rPr>
          <w:rFonts w:hint="cs"/>
          <w:rtl/>
        </w:rPr>
        <w:t xml:space="preserve">מטעם הממשלה </w:t>
      </w:r>
      <w:r w:rsidR="009105BD" w:rsidRPr="000E7A76">
        <w:rPr>
          <w:rFonts w:hint="cs"/>
          <w:rtl/>
        </w:rPr>
        <w:t>על התקהלו</w:t>
      </w:r>
      <w:r w:rsidR="00084FED" w:rsidRPr="000E7A76">
        <w:rPr>
          <w:rFonts w:hint="cs"/>
          <w:rtl/>
        </w:rPr>
        <w:t>יו</w:t>
      </w:r>
      <w:r w:rsidR="009105BD" w:rsidRPr="00162857">
        <w:rPr>
          <w:rFonts w:hint="cs"/>
          <w:rtl/>
        </w:rPr>
        <w:t>ת</w:t>
      </w:r>
      <w:r w:rsidR="00084FED" w:rsidRPr="00162857">
        <w:rPr>
          <w:rFonts w:hint="cs"/>
          <w:rtl/>
        </w:rPr>
        <w:t>,</w:t>
      </w:r>
      <w:r w:rsidR="009105BD" w:rsidRPr="00162857">
        <w:rPr>
          <w:rFonts w:hint="cs"/>
          <w:rtl/>
        </w:rPr>
        <w:t xml:space="preserve"> פגעו </w:t>
      </w:r>
      <w:r w:rsidR="00084FED" w:rsidRPr="00162857">
        <w:rPr>
          <w:rFonts w:hint="cs"/>
          <w:rtl/>
        </w:rPr>
        <w:t xml:space="preserve">בהכנסתם </w:t>
      </w:r>
      <w:r w:rsidR="00657921" w:rsidRPr="00162857">
        <w:rPr>
          <w:rFonts w:hint="cs"/>
          <w:rtl/>
        </w:rPr>
        <w:t>של חלק מה</w:t>
      </w:r>
      <w:r w:rsidR="009105BD" w:rsidRPr="00162857">
        <w:rPr>
          <w:rFonts w:hint="cs"/>
          <w:rtl/>
        </w:rPr>
        <w:t>ש</w:t>
      </w:r>
      <w:r w:rsidR="00657921" w:rsidRPr="00162857">
        <w:rPr>
          <w:rFonts w:hint="cs"/>
          <w:rtl/>
        </w:rPr>
        <w:t xml:space="preserve">וכרים </w:t>
      </w:r>
      <w:r w:rsidR="00084FED" w:rsidRPr="00162857">
        <w:rPr>
          <w:rFonts w:hint="cs"/>
          <w:rtl/>
        </w:rPr>
        <w:t xml:space="preserve">בנכסים </w:t>
      </w:r>
      <w:r w:rsidR="00657921" w:rsidRPr="00162857">
        <w:rPr>
          <w:rFonts w:hint="cs"/>
          <w:rtl/>
        </w:rPr>
        <w:t>המסחריים</w:t>
      </w:r>
      <w:r w:rsidR="005B7E3F" w:rsidRPr="00162857">
        <w:rPr>
          <w:rFonts w:hint="cs"/>
          <w:rtl/>
        </w:rPr>
        <w:t xml:space="preserve"> ו</w:t>
      </w:r>
      <w:r w:rsidR="00084FED" w:rsidRPr="00162857">
        <w:rPr>
          <w:rFonts w:hint="cs"/>
          <w:rtl/>
        </w:rPr>
        <w:t xml:space="preserve">כדי </w:t>
      </w:r>
      <w:r w:rsidR="00657921" w:rsidRPr="00162857">
        <w:rPr>
          <w:rFonts w:hint="cs"/>
          <w:rtl/>
        </w:rPr>
        <w:t>לשמר אותם</w:t>
      </w:r>
      <w:r w:rsidR="00084FED" w:rsidRPr="00162857">
        <w:rPr>
          <w:rFonts w:hint="cs"/>
          <w:rtl/>
        </w:rPr>
        <w:t>, נאלצו</w:t>
      </w:r>
      <w:r w:rsidR="00657921" w:rsidRPr="00162857">
        <w:rPr>
          <w:rFonts w:hint="cs"/>
          <w:rtl/>
        </w:rPr>
        <w:t xml:space="preserve"> בעלי הנכסים לתת להם </w:t>
      </w:r>
      <w:r w:rsidR="00084FED" w:rsidRPr="00162857">
        <w:rPr>
          <w:rFonts w:hint="cs"/>
          <w:rtl/>
        </w:rPr>
        <w:t xml:space="preserve">בתקופת הסגר </w:t>
      </w:r>
      <w:r w:rsidR="00657921" w:rsidRPr="00162857">
        <w:rPr>
          <w:rFonts w:hint="cs"/>
          <w:rtl/>
        </w:rPr>
        <w:t xml:space="preserve">הקלות </w:t>
      </w:r>
      <w:r w:rsidR="00084FED" w:rsidRPr="00162857">
        <w:rPr>
          <w:rFonts w:hint="cs"/>
          <w:rtl/>
        </w:rPr>
        <w:t>בצורות של</w:t>
      </w:r>
      <w:r w:rsidR="00657921" w:rsidRPr="00162857">
        <w:rPr>
          <w:rFonts w:hint="cs"/>
          <w:rtl/>
        </w:rPr>
        <w:t xml:space="preserve"> ויתור </w:t>
      </w:r>
      <w:r w:rsidR="00352C2B">
        <w:rPr>
          <w:rFonts w:hint="cs"/>
          <w:rtl/>
        </w:rPr>
        <w:t>על</w:t>
      </w:r>
      <w:r w:rsidR="00657921" w:rsidRPr="00162857">
        <w:rPr>
          <w:rFonts w:hint="cs"/>
          <w:rtl/>
        </w:rPr>
        <w:t xml:space="preserve"> שכר דירה, הפחתת תשלומים, הפחתת מחירים</w:t>
      </w:r>
      <w:r w:rsidR="00084FED" w:rsidRPr="00162857">
        <w:rPr>
          <w:rFonts w:hint="cs"/>
          <w:rtl/>
        </w:rPr>
        <w:t>,</w:t>
      </w:r>
      <w:r w:rsidR="005B7E3F" w:rsidRPr="00162857">
        <w:rPr>
          <w:rFonts w:hint="cs"/>
          <w:rtl/>
        </w:rPr>
        <w:t xml:space="preserve"> </w:t>
      </w:r>
      <w:r w:rsidR="00657921" w:rsidRPr="00162857">
        <w:rPr>
          <w:rFonts w:hint="cs"/>
          <w:rtl/>
        </w:rPr>
        <w:t>וכד'.</w:t>
      </w:r>
    </w:p>
    <w:p w:rsidR="00657921" w:rsidRPr="00162857" w:rsidRDefault="0027009D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 w:rsidRPr="00162857">
        <w:rPr>
          <w:rFonts w:hint="cs"/>
          <w:b/>
          <w:bCs/>
          <w:rtl/>
        </w:rPr>
        <w:t>משרדים</w:t>
      </w:r>
      <w:r w:rsidRPr="000E7A76">
        <w:rPr>
          <w:rFonts w:hint="cs"/>
          <w:rtl/>
        </w:rPr>
        <w:t xml:space="preserve"> - </w:t>
      </w:r>
      <w:r w:rsidR="00657921" w:rsidRPr="000E7A76">
        <w:rPr>
          <w:rFonts w:hint="cs"/>
          <w:rtl/>
        </w:rPr>
        <w:t xml:space="preserve">המעבר לעבודה מרחוק </w:t>
      </w:r>
      <w:r w:rsidR="00084FED" w:rsidRPr="000E7A76">
        <w:rPr>
          <w:rFonts w:hint="cs"/>
          <w:rtl/>
        </w:rPr>
        <w:t xml:space="preserve">והירידה בביקוש </w:t>
      </w:r>
      <w:r w:rsidR="00657921" w:rsidRPr="000E7A76">
        <w:rPr>
          <w:rFonts w:hint="cs"/>
          <w:rtl/>
        </w:rPr>
        <w:t xml:space="preserve">לחללי עבודה, </w:t>
      </w:r>
      <w:r w:rsidR="00084FED" w:rsidRPr="000E7A76">
        <w:rPr>
          <w:rFonts w:hint="cs"/>
          <w:rtl/>
        </w:rPr>
        <w:t xml:space="preserve">פגעה </w:t>
      </w:r>
      <w:r w:rsidR="00657921" w:rsidRPr="00162857">
        <w:rPr>
          <w:rFonts w:hint="cs"/>
          <w:rtl/>
        </w:rPr>
        <w:t xml:space="preserve">אמנם בטווח הקצר רק באופן מוגבל (בעיקר במשרדים </w:t>
      </w:r>
      <w:r w:rsidR="00084FED" w:rsidRPr="00162857">
        <w:rPr>
          <w:rFonts w:hint="cs"/>
          <w:rtl/>
        </w:rPr>
        <w:t xml:space="preserve">שממוקמים </w:t>
      </w:r>
      <w:r w:rsidR="00657921" w:rsidRPr="00162857">
        <w:rPr>
          <w:rFonts w:hint="cs"/>
          <w:rtl/>
        </w:rPr>
        <w:t xml:space="preserve">בנכסים ישנים </w:t>
      </w:r>
      <w:r w:rsidR="00084FED" w:rsidRPr="00162857">
        <w:rPr>
          <w:rFonts w:hint="cs"/>
          <w:rtl/>
        </w:rPr>
        <w:t xml:space="preserve">שמושכרים </w:t>
      </w:r>
      <w:r w:rsidR="00657921" w:rsidRPr="00162857">
        <w:rPr>
          <w:rFonts w:hint="cs"/>
          <w:rtl/>
        </w:rPr>
        <w:t xml:space="preserve">לעסקים קטנים שספגו פגיעה במשבר). עם </w:t>
      </w:r>
      <w:r w:rsidR="00084FED" w:rsidRPr="00162857">
        <w:rPr>
          <w:rFonts w:hint="cs"/>
          <w:rtl/>
        </w:rPr>
        <w:t>זה עלולה</w:t>
      </w:r>
      <w:r w:rsidR="00657921" w:rsidRPr="00162857">
        <w:rPr>
          <w:rFonts w:hint="cs"/>
          <w:rtl/>
        </w:rPr>
        <w:t xml:space="preserve"> הפגיעה להיות משמעותית יותר בטווח הבינוני והארוך</w:t>
      </w:r>
      <w:r w:rsidR="00651AFA" w:rsidRPr="00162857">
        <w:rPr>
          <w:rFonts w:hint="cs"/>
          <w:rtl/>
        </w:rPr>
        <w:t>,</w:t>
      </w:r>
      <w:r w:rsidR="005B7E3F" w:rsidRPr="00162857">
        <w:rPr>
          <w:rFonts w:hint="cs"/>
          <w:rtl/>
        </w:rPr>
        <w:t xml:space="preserve"> </w:t>
      </w:r>
      <w:r w:rsidR="00657921" w:rsidRPr="00162857">
        <w:rPr>
          <w:rFonts w:hint="cs"/>
          <w:rtl/>
        </w:rPr>
        <w:t xml:space="preserve">עם המעבר ההדרגתי של </w:t>
      </w:r>
      <w:r w:rsidR="00651AFA" w:rsidRPr="00162857">
        <w:rPr>
          <w:rFonts w:hint="cs"/>
          <w:rtl/>
        </w:rPr>
        <w:t xml:space="preserve">אירגונים </w:t>
      </w:r>
      <w:r w:rsidR="00657921" w:rsidRPr="00162857">
        <w:rPr>
          <w:rFonts w:hint="cs"/>
          <w:rtl/>
        </w:rPr>
        <w:t>לעבודה מרחוק</w:t>
      </w:r>
      <w:r w:rsidR="00651AFA" w:rsidRPr="00162857">
        <w:rPr>
          <w:rFonts w:hint="cs"/>
          <w:rtl/>
        </w:rPr>
        <w:t>,</w:t>
      </w:r>
      <w:r w:rsidR="00657921" w:rsidRPr="00162857">
        <w:rPr>
          <w:rFonts w:hint="cs"/>
          <w:rtl/>
        </w:rPr>
        <w:t xml:space="preserve"> </w:t>
      </w:r>
      <w:r w:rsidR="00651AFA" w:rsidRPr="00162857">
        <w:rPr>
          <w:rFonts w:hint="cs"/>
          <w:rtl/>
        </w:rPr>
        <w:t xml:space="preserve">שתוריד </w:t>
      </w:r>
      <w:r w:rsidR="00657921" w:rsidRPr="00162857">
        <w:rPr>
          <w:rFonts w:hint="cs"/>
          <w:rtl/>
        </w:rPr>
        <w:t xml:space="preserve">את הביקוש לחללי עבודה ותפעיל </w:t>
      </w:r>
      <w:r w:rsidR="00651AFA" w:rsidRPr="00162857">
        <w:rPr>
          <w:rFonts w:hint="cs"/>
          <w:rtl/>
        </w:rPr>
        <w:t xml:space="preserve">לחצים </w:t>
      </w:r>
      <w:r w:rsidR="00657921" w:rsidRPr="00162857">
        <w:rPr>
          <w:rFonts w:hint="cs"/>
          <w:rtl/>
        </w:rPr>
        <w:t>כלפי מטה על דמי השכירות.</w:t>
      </w:r>
    </w:p>
    <w:p w:rsidR="00EB4FA4" w:rsidRDefault="00657921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rPr>
          <w:rtl/>
        </w:rPr>
      </w:pPr>
      <w:r>
        <w:rPr>
          <w:rFonts w:hint="cs"/>
          <w:rtl/>
        </w:rPr>
        <w:t>אשראי למימון נכסים מניבים למסחר ו</w:t>
      </w:r>
      <w:r w:rsidR="00651AFA">
        <w:rPr>
          <w:rFonts w:hint="cs"/>
          <w:rtl/>
        </w:rPr>
        <w:t>ל</w:t>
      </w:r>
      <w:r>
        <w:rPr>
          <w:rFonts w:hint="cs"/>
          <w:rtl/>
        </w:rPr>
        <w:t xml:space="preserve">משרדים </w:t>
      </w:r>
      <w:r w:rsidR="001D04DF">
        <w:rPr>
          <w:rFonts w:hint="cs"/>
          <w:rtl/>
        </w:rPr>
        <w:t>ש</w:t>
      </w:r>
      <w:r w:rsidR="009105BD">
        <w:rPr>
          <w:rFonts w:hint="cs"/>
          <w:rtl/>
        </w:rPr>
        <w:t xml:space="preserve">שיעורי המימון שלהם גבוהים </w:t>
      </w:r>
      <w:r w:rsidR="00EB4FA4">
        <w:rPr>
          <w:rFonts w:hint="cs"/>
          <w:rtl/>
        </w:rPr>
        <w:t>מ</w:t>
      </w:r>
      <w:r w:rsidR="00651AFA">
        <w:rPr>
          <w:rFonts w:hint="cs"/>
          <w:rtl/>
        </w:rPr>
        <w:t>-</w:t>
      </w:r>
      <w:r>
        <w:rPr>
          <w:rFonts w:hint="cs"/>
          <w:rtl/>
        </w:rPr>
        <w:t xml:space="preserve">70%, </w:t>
      </w:r>
      <w:r w:rsidR="009105BD">
        <w:rPr>
          <w:rFonts w:hint="cs"/>
          <w:rtl/>
        </w:rPr>
        <w:t xml:space="preserve">מוערכים </w:t>
      </w:r>
      <w:r w:rsidR="00F031FB">
        <w:rPr>
          <w:rFonts w:hint="cs"/>
          <w:rtl/>
        </w:rPr>
        <w:t>על ידי</w:t>
      </w:r>
      <w:r w:rsidR="009105BD">
        <w:rPr>
          <w:rFonts w:hint="cs"/>
          <w:rtl/>
        </w:rPr>
        <w:t xml:space="preserve"> הפיקוח </w:t>
      </w:r>
      <w:r w:rsidR="005440AF">
        <w:rPr>
          <w:rFonts w:hint="cs"/>
          <w:rtl/>
        </w:rPr>
        <w:t xml:space="preserve">על הבנקים </w:t>
      </w:r>
      <w:r w:rsidR="009105BD">
        <w:rPr>
          <w:rFonts w:hint="cs"/>
          <w:rtl/>
        </w:rPr>
        <w:t>ב</w:t>
      </w:r>
      <w:r w:rsidR="00F031FB">
        <w:rPr>
          <w:rFonts w:hint="cs"/>
          <w:rtl/>
        </w:rPr>
        <w:t xml:space="preserve">רמת </w:t>
      </w:r>
      <w:r w:rsidR="009105BD">
        <w:rPr>
          <w:rFonts w:hint="cs"/>
          <w:rtl/>
        </w:rPr>
        <w:t>סיכון מוגבר</w:t>
      </w:r>
      <w:r w:rsidR="00F031FB">
        <w:rPr>
          <w:rFonts w:hint="cs"/>
          <w:rtl/>
        </w:rPr>
        <w:t>ת</w:t>
      </w:r>
      <w:r w:rsidR="00EB4FA4">
        <w:rPr>
          <w:rFonts w:hint="cs"/>
          <w:rtl/>
        </w:rPr>
        <w:t xml:space="preserve">. </w:t>
      </w:r>
      <w:r w:rsidR="00F031FB">
        <w:rPr>
          <w:rFonts w:hint="cs"/>
          <w:rtl/>
        </w:rPr>
        <w:t xml:space="preserve">אלה </w:t>
      </w:r>
      <w:r w:rsidR="00EB4FA4">
        <w:rPr>
          <w:rFonts w:hint="cs"/>
          <w:rtl/>
        </w:rPr>
        <w:t>מהווים כ-10% ממימון הנכסים המניבים</w:t>
      </w:r>
      <w:r w:rsidR="00EB4FA4" w:rsidRPr="004D51F9">
        <w:rPr>
          <w:rFonts w:hint="cs"/>
          <w:rtl/>
        </w:rPr>
        <w:t xml:space="preserve"> (בהיקף של </w:t>
      </w:r>
      <w:r w:rsidR="00977CC5">
        <w:rPr>
          <w:rFonts w:hint="cs"/>
          <w:rtl/>
        </w:rPr>
        <w:t>כ-</w:t>
      </w:r>
      <w:r w:rsidR="00EB4FA4">
        <w:rPr>
          <w:rFonts w:hint="cs"/>
          <w:rtl/>
        </w:rPr>
        <w:t>5</w:t>
      </w:r>
      <w:r w:rsidR="00EB4FA4" w:rsidRPr="004D51F9">
        <w:rPr>
          <w:rFonts w:hint="cs"/>
          <w:rtl/>
        </w:rPr>
        <w:t xml:space="preserve"> מיליארד </w:t>
      </w:r>
      <w:r w:rsidR="00977CC5">
        <w:rPr>
          <w:rFonts w:hint="cs"/>
          <w:rtl/>
        </w:rPr>
        <w:t>ש</w:t>
      </w:r>
      <w:r w:rsidR="00651AFA">
        <w:rPr>
          <w:rFonts w:hint="cs"/>
          <w:rtl/>
        </w:rPr>
        <w:t>"</w:t>
      </w:r>
      <w:r w:rsidR="00977CC5">
        <w:rPr>
          <w:rFonts w:hint="cs"/>
          <w:rtl/>
        </w:rPr>
        <w:t>ח</w:t>
      </w:r>
      <w:r w:rsidR="00EB4FA4" w:rsidRPr="004D51F9">
        <w:rPr>
          <w:rFonts w:hint="cs"/>
          <w:rtl/>
        </w:rPr>
        <w:t>)</w:t>
      </w:r>
      <w:r w:rsidR="00EB4FA4">
        <w:rPr>
          <w:rFonts w:hint="cs"/>
          <w:rtl/>
        </w:rPr>
        <w:t>.</w:t>
      </w:r>
    </w:p>
    <w:p w:rsidR="00EB4FA4" w:rsidRPr="00162857" w:rsidRDefault="00EB4FA4" w:rsidP="003C7CF0">
      <w:pPr>
        <w:tabs>
          <w:tab w:val="clear" w:pos="567"/>
          <w:tab w:val="clear" w:pos="1134"/>
        </w:tabs>
        <w:spacing w:before="240"/>
        <w:outlineLvl w:val="0"/>
        <w:rPr>
          <w:b/>
          <w:bCs/>
          <w:i/>
          <w:iCs/>
          <w:color w:val="4F81BD" w:themeColor="accent1"/>
          <w:kern w:val="28"/>
          <w:sz w:val="22"/>
          <w:rtl/>
        </w:rPr>
      </w:pPr>
      <w:r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>מדדי סיכון נבחרים</w:t>
      </w:r>
    </w:p>
    <w:p w:rsidR="00017BCB" w:rsidRDefault="00EB4FA4" w:rsidP="00017BCB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rPr>
          <w:rtl/>
        </w:rPr>
      </w:pPr>
      <w:r>
        <w:rPr>
          <w:rFonts w:hint="cs"/>
          <w:rtl/>
        </w:rPr>
        <w:t xml:space="preserve">הסקירה בחנה את </w:t>
      </w:r>
      <w:r w:rsidR="00866172">
        <w:rPr>
          <w:rFonts w:hint="cs"/>
          <w:rtl/>
        </w:rPr>
        <w:t xml:space="preserve">רמת </w:t>
      </w:r>
      <w:r>
        <w:rPr>
          <w:rFonts w:hint="cs"/>
          <w:rtl/>
        </w:rPr>
        <w:t>הסיכון בתיק הנכסים המניבים בשלב ההנבה, ע"פ מדדי סיכון נבחרים:</w:t>
      </w:r>
    </w:p>
    <w:p w:rsidR="0032327B" w:rsidRDefault="0032327B" w:rsidP="0032327B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jc w:val="center"/>
        <w:rPr>
          <w:rtl/>
        </w:rPr>
      </w:pPr>
      <w:r>
        <w:rPr>
          <w:rFonts w:hint="cs"/>
          <w:b/>
          <w:bCs/>
          <w:rtl/>
        </w:rPr>
        <w:t xml:space="preserve">לוח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מדדי סיכון </w:t>
      </w:r>
      <w:r w:rsidR="00D91571">
        <w:rPr>
          <w:rFonts w:hint="cs"/>
          <w:b/>
          <w:bCs/>
          <w:rtl/>
        </w:rPr>
        <w:t xml:space="preserve">נבחרים </w:t>
      </w:r>
      <w:r>
        <w:rPr>
          <w:rFonts w:hint="cs"/>
          <w:b/>
          <w:bCs/>
          <w:rtl/>
        </w:rPr>
        <w:t>למימון נכסים מניבים</w:t>
      </w:r>
    </w:p>
    <w:tbl>
      <w:tblPr>
        <w:tblStyle w:val="4-1"/>
        <w:tblpPr w:leftFromText="181" w:rightFromText="181" w:vertAnchor="text" w:horzAnchor="margin" w:tblpY="1"/>
        <w:bidiVisual/>
        <w:tblW w:w="82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2618"/>
        <w:gridCol w:w="1972"/>
        <w:gridCol w:w="1578"/>
        <w:gridCol w:w="2114"/>
      </w:tblGrid>
      <w:tr w:rsidR="00017BCB" w:rsidRPr="00017BCB" w:rsidTr="00017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7"/>
        </w:trPr>
        <w:tc>
          <w:tcPr>
            <w:tcW w:w="2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017BCB" w:rsidRPr="00017BCB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017BCB">
              <w:rPr>
                <w:rFonts w:ascii="David" w:hAnsi="David"/>
                <w:kern w:val="24"/>
                <w:sz w:val="22"/>
                <w:szCs w:val="22"/>
                <w:rtl/>
              </w:rPr>
              <w:t>הרכיב</w:t>
            </w:r>
          </w:p>
        </w:tc>
        <w:tc>
          <w:tcPr>
            <w:tcW w:w="1972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017BCB" w:rsidRPr="00017BCB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017BCB">
              <w:rPr>
                <w:rFonts w:ascii="David" w:hAnsi="David"/>
                <w:kern w:val="24"/>
                <w:sz w:val="22"/>
                <w:szCs w:val="22"/>
                <w:rtl/>
              </w:rPr>
              <w:t>ממוצע משוקלל</w:t>
            </w:r>
          </w:p>
        </w:tc>
        <w:tc>
          <w:tcPr>
            <w:tcW w:w="3692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  <w:hideMark/>
          </w:tcPr>
          <w:p w:rsidR="00017BCB" w:rsidRPr="00017BCB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017BCB">
              <w:rPr>
                <w:rFonts w:ascii="David" w:hAnsi="David" w:hint="cs"/>
                <w:kern w:val="24"/>
                <w:sz w:val="22"/>
                <w:szCs w:val="22"/>
                <w:rtl/>
              </w:rPr>
              <w:t xml:space="preserve">רמת </w:t>
            </w:r>
            <w:r w:rsidRPr="00017BCB">
              <w:rPr>
                <w:rFonts w:ascii="David" w:hAnsi="David"/>
                <w:kern w:val="24"/>
                <w:sz w:val="22"/>
                <w:szCs w:val="22"/>
                <w:rtl/>
              </w:rPr>
              <w:t>סיכון מוגבר</w:t>
            </w:r>
            <w:r w:rsidRPr="00017BCB">
              <w:rPr>
                <w:rFonts w:ascii="David" w:hAnsi="David" w:hint="cs"/>
                <w:kern w:val="24"/>
                <w:sz w:val="22"/>
                <w:szCs w:val="22"/>
                <w:rtl/>
              </w:rPr>
              <w:t>ת</w:t>
            </w:r>
          </w:p>
        </w:tc>
      </w:tr>
      <w:tr w:rsidR="00017BCB" w:rsidRPr="00017BCB" w:rsidTr="00017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"/>
        </w:trPr>
        <w:tc>
          <w:tcPr>
            <w:tcW w:w="26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4F81BD" w:themeFill="accent1"/>
            <w:noWrap/>
            <w:vAlign w:val="center"/>
            <w:hideMark/>
          </w:tcPr>
          <w:p w:rsidR="00017BCB" w:rsidRPr="00017BCB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bidi w:val="0"/>
              <w:spacing w:line="240" w:lineRule="auto"/>
              <w:jc w:val="left"/>
              <w:rPr>
                <w:rFonts w:ascii="David" w:hAnsi="David"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4F81BD" w:themeFill="accent1"/>
            <w:noWrap/>
            <w:vAlign w:val="center"/>
            <w:hideMark/>
          </w:tcPr>
          <w:p w:rsidR="00017BCB" w:rsidRPr="00017BCB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017BCB"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>הנתון</w:t>
            </w:r>
            <w:r w:rsidR="00CB71E6">
              <w:rPr>
                <w:rFonts w:ascii="David" w:hAnsi="David" w:hint="cs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 xml:space="preserve"> ליום 30.6.20</w:t>
            </w:r>
          </w:p>
        </w:tc>
        <w:tc>
          <w:tcPr>
            <w:tcW w:w="1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4F81BD" w:themeFill="accent1"/>
            <w:noWrap/>
            <w:vAlign w:val="center"/>
            <w:hideMark/>
          </w:tcPr>
          <w:p w:rsidR="00017BCB" w:rsidRPr="00017BCB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FFFFFF" w:themeColor="background1"/>
                <w:sz w:val="22"/>
                <w:szCs w:val="22"/>
              </w:rPr>
            </w:pPr>
            <w:r w:rsidRPr="00017BCB"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>מדד</w:t>
            </w:r>
          </w:p>
        </w:tc>
        <w:tc>
          <w:tcPr>
            <w:tcW w:w="2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017BCB" w:rsidRPr="00017BCB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FFFFFF" w:themeColor="background1"/>
                <w:sz w:val="22"/>
                <w:szCs w:val="22"/>
                <w:rtl/>
              </w:rPr>
            </w:pPr>
            <w:r w:rsidRPr="00017BCB"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>שיעור חשיפה</w:t>
            </w:r>
          </w:p>
        </w:tc>
      </w:tr>
      <w:tr w:rsidR="00017BCB" w:rsidRPr="00F537EA" w:rsidTr="00017BCB">
        <w:trPr>
          <w:trHeight w:hRule="exact" w:val="570"/>
        </w:trPr>
        <w:tc>
          <w:tcPr>
            <w:tcW w:w="26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left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מימון ממוצע לנכס (ב</w:t>
            </w:r>
            <w:r>
              <w:rPr>
                <w:rFonts w:ascii="David" w:hAnsi="David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מיליוני</w:t>
            </w: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₪)</w:t>
            </w:r>
          </w:p>
        </w:tc>
        <w:tc>
          <w:tcPr>
            <w:tcW w:w="19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18 מ' ₪ 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</w:p>
        </w:tc>
        <w:tc>
          <w:tcPr>
            <w:tcW w:w="21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</w:p>
        </w:tc>
      </w:tr>
      <w:tr w:rsidR="00017BCB" w:rsidRPr="00F537EA" w:rsidTr="00017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7"/>
        </w:trPr>
        <w:tc>
          <w:tcPr>
            <w:tcW w:w="26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left"/>
              <w:rPr>
                <w:rFonts w:ascii="David" w:hAnsi="David"/>
                <w:color w:val="1F497D" w:themeColor="text2"/>
                <w:sz w:val="22"/>
                <w:szCs w:val="22"/>
                <w:rtl/>
              </w:rPr>
            </w:pP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שיעור מימון (</w:t>
            </w: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</w:rPr>
              <w:t>LTV</w:t>
            </w: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1F497D" w:themeColor="text2"/>
                <w:sz w:val="22"/>
                <w:szCs w:val="22"/>
              </w:rPr>
            </w:pP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56%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1F497D" w:themeColor="text2"/>
                <w:kern w:val="24"/>
                <w:sz w:val="22"/>
                <w:szCs w:val="22"/>
                <w:rtl/>
              </w:rPr>
            </w:pP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&gt;70%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017BCB" w:rsidRPr="00164DB6" w:rsidRDefault="00393C13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1F497D" w:themeColor="text2"/>
                <w:kern w:val="24"/>
                <w:sz w:val="22"/>
                <w:szCs w:val="22"/>
                <w:rtl/>
              </w:rPr>
            </w:pPr>
            <w:r>
              <w:rPr>
                <w:rFonts w:ascii="David" w:hAnsi="David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15%</w:t>
            </w:r>
          </w:p>
        </w:tc>
      </w:tr>
      <w:tr w:rsidR="00017BCB" w:rsidRPr="00F537EA" w:rsidTr="00017BCB">
        <w:trPr>
          <w:trHeight w:hRule="exact" w:val="317"/>
        </w:trPr>
        <w:tc>
          <w:tcPr>
            <w:tcW w:w="26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left"/>
              <w:rPr>
                <w:rFonts w:ascii="David" w:hAnsi="David"/>
                <w:color w:val="1F497D" w:themeColor="text2"/>
                <w:sz w:val="22"/>
                <w:szCs w:val="22"/>
                <w:rtl/>
              </w:rPr>
            </w:pP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שיעור תפוסה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1F497D" w:themeColor="text2"/>
                <w:sz w:val="22"/>
                <w:szCs w:val="22"/>
              </w:rPr>
            </w:pP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91%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1F497D" w:themeColor="text2"/>
                <w:kern w:val="24"/>
                <w:sz w:val="22"/>
                <w:szCs w:val="22"/>
                <w:rtl/>
              </w:rPr>
            </w:pPr>
            <w:r w:rsidRPr="00164DB6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&lt;80%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017BCB" w:rsidRPr="00164DB6" w:rsidRDefault="00426C4F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1F497D" w:themeColor="text2"/>
                <w:kern w:val="24"/>
                <w:sz w:val="22"/>
                <w:szCs w:val="22"/>
                <w:rtl/>
              </w:rPr>
            </w:pPr>
            <w:r>
              <w:rPr>
                <w:rFonts w:ascii="David" w:hAnsi="David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5.7%</w:t>
            </w:r>
          </w:p>
        </w:tc>
      </w:tr>
      <w:tr w:rsidR="00017BCB" w:rsidRPr="00F537EA" w:rsidTr="00017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7"/>
        </w:trPr>
        <w:tc>
          <w:tcPr>
            <w:tcW w:w="828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17BCB" w:rsidRPr="00164DB6" w:rsidRDefault="00017BCB" w:rsidP="00017BCB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left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C53404">
              <w:rPr>
                <w:rFonts w:hint="cs"/>
                <w:b/>
                <w:bCs/>
                <w:sz w:val="20"/>
                <w:szCs w:val="20"/>
                <w:rtl/>
              </w:rPr>
              <w:t xml:space="preserve"> מקור: דיווחי הבנקים ועיבודי הפיקוח על הבנקים</w:t>
            </w:r>
          </w:p>
        </w:tc>
      </w:tr>
    </w:tbl>
    <w:p w:rsidR="00017BCB" w:rsidRPr="00017BCB" w:rsidRDefault="00017BCB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rPr>
          <w:rtl/>
        </w:rPr>
      </w:pPr>
    </w:p>
    <w:p w:rsidR="00017BCB" w:rsidRPr="00017BCB" w:rsidRDefault="00017BCB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rPr>
          <w:rtl/>
        </w:rPr>
      </w:pPr>
    </w:p>
    <w:p w:rsidR="00D837CE" w:rsidRPr="00162857" w:rsidRDefault="00D837CE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 w:rsidRPr="000E7A76">
        <w:rPr>
          <w:rFonts w:hint="cs"/>
          <w:b/>
          <w:bCs/>
          <w:rtl/>
        </w:rPr>
        <w:lastRenderedPageBreak/>
        <w:t>מאפייני הנכסים הממומנים</w:t>
      </w:r>
      <w:r w:rsidR="001D04DF" w:rsidRPr="000E7A76">
        <w:rPr>
          <w:rFonts w:hint="cs"/>
          <w:b/>
          <w:bCs/>
          <w:rtl/>
        </w:rPr>
        <w:t xml:space="preserve"> וגודלם</w:t>
      </w:r>
      <w:r w:rsidRPr="000E7A76">
        <w:rPr>
          <w:rFonts w:hint="cs"/>
          <w:rtl/>
        </w:rPr>
        <w:t xml:space="preserve"> - לנוכח מיעוט מקורות מימון ארוכי טווח, </w:t>
      </w:r>
      <w:r w:rsidR="00461527" w:rsidRPr="000E7A76">
        <w:rPr>
          <w:rFonts w:hint="cs"/>
          <w:rtl/>
        </w:rPr>
        <w:t xml:space="preserve">יש </w:t>
      </w:r>
      <w:r w:rsidRPr="000E7A76">
        <w:rPr>
          <w:rFonts w:hint="cs"/>
          <w:rtl/>
        </w:rPr>
        <w:t xml:space="preserve">לבנקים קושי להתחרות </w:t>
      </w:r>
      <w:r w:rsidR="00414717" w:rsidRPr="000E7A76">
        <w:rPr>
          <w:rFonts w:hint="cs"/>
          <w:rtl/>
        </w:rPr>
        <w:t xml:space="preserve">מול הגופים המוסדיים, </w:t>
      </w:r>
      <w:r w:rsidRPr="000E7A76">
        <w:rPr>
          <w:rFonts w:hint="cs"/>
          <w:rtl/>
        </w:rPr>
        <w:t xml:space="preserve">במימון נכסי נדל"ן מניב גדולים של חברות גדולות לתקופות ארוכות </w:t>
      </w:r>
      <w:r w:rsidR="005B7E3F" w:rsidRPr="00162857">
        <w:rPr>
          <w:rFonts w:hint="cs"/>
          <w:rtl/>
        </w:rPr>
        <w:t>ו</w:t>
      </w:r>
      <w:r w:rsidRPr="00162857">
        <w:rPr>
          <w:rFonts w:hint="cs"/>
          <w:rtl/>
        </w:rPr>
        <w:t>לכן</w:t>
      </w:r>
      <w:r w:rsidR="00461527" w:rsidRPr="00162857">
        <w:rPr>
          <w:rFonts w:hint="cs"/>
          <w:rtl/>
        </w:rPr>
        <w:t>,</w:t>
      </w:r>
      <w:r w:rsidRPr="00162857">
        <w:rPr>
          <w:rFonts w:hint="cs"/>
          <w:rtl/>
        </w:rPr>
        <w:t xml:space="preserve"> </w:t>
      </w:r>
      <w:r w:rsidR="00461527" w:rsidRPr="00162857">
        <w:rPr>
          <w:rFonts w:hint="cs"/>
          <w:rtl/>
        </w:rPr>
        <w:t>לפי</w:t>
      </w:r>
      <w:r w:rsidRPr="00162857">
        <w:rPr>
          <w:rFonts w:hint="cs"/>
          <w:rtl/>
        </w:rPr>
        <w:t xml:space="preserve"> </w:t>
      </w:r>
      <w:r w:rsidR="00414717" w:rsidRPr="00162857">
        <w:rPr>
          <w:rFonts w:hint="cs"/>
          <w:rtl/>
        </w:rPr>
        <w:t>ה</w:t>
      </w:r>
      <w:r w:rsidRPr="00162857">
        <w:rPr>
          <w:rFonts w:hint="cs"/>
          <w:rtl/>
        </w:rPr>
        <w:t>אומדן</w:t>
      </w:r>
      <w:r w:rsidR="00461527" w:rsidRPr="00162857">
        <w:rPr>
          <w:rFonts w:hint="cs"/>
          <w:rtl/>
        </w:rPr>
        <w:t>,</w:t>
      </w:r>
      <w:r w:rsidRPr="00162857">
        <w:rPr>
          <w:rFonts w:hint="cs"/>
          <w:rtl/>
        </w:rPr>
        <w:t xml:space="preserve"> </w:t>
      </w:r>
      <w:r w:rsidR="0027009D" w:rsidRPr="00162857">
        <w:rPr>
          <w:rFonts w:hint="cs"/>
          <w:rtl/>
        </w:rPr>
        <w:t>כ</w:t>
      </w:r>
      <w:r w:rsidR="00461527" w:rsidRPr="00162857">
        <w:rPr>
          <w:rFonts w:hint="cs"/>
          <w:rtl/>
        </w:rPr>
        <w:t>-</w:t>
      </w:r>
      <w:r w:rsidRPr="00162857">
        <w:rPr>
          <w:rFonts w:hint="cs"/>
          <w:rtl/>
        </w:rPr>
        <w:t xml:space="preserve">60% מהאשראי למימון נכסים מניבים </w:t>
      </w:r>
      <w:r w:rsidR="00C7385F" w:rsidRPr="00162857">
        <w:rPr>
          <w:rFonts w:hint="cs"/>
          <w:rtl/>
        </w:rPr>
        <w:t>במערכת הבנקא</w:t>
      </w:r>
      <w:r w:rsidR="005B7E3F" w:rsidRPr="00162857">
        <w:rPr>
          <w:rFonts w:hint="cs"/>
          <w:rtl/>
        </w:rPr>
        <w:t>ו</w:t>
      </w:r>
      <w:r w:rsidR="00C7385F" w:rsidRPr="00162857">
        <w:rPr>
          <w:rFonts w:hint="cs"/>
          <w:rtl/>
        </w:rPr>
        <w:t xml:space="preserve">ת </w:t>
      </w:r>
      <w:r w:rsidR="0027009D" w:rsidRPr="00162857">
        <w:rPr>
          <w:rFonts w:hint="cs"/>
          <w:rtl/>
        </w:rPr>
        <w:t>ו</w:t>
      </w:r>
      <w:r w:rsidR="005B7E3F" w:rsidRPr="00162857">
        <w:rPr>
          <w:rFonts w:hint="cs"/>
          <w:rtl/>
        </w:rPr>
        <w:t>-</w:t>
      </w:r>
      <w:r w:rsidR="00E959E5" w:rsidRPr="00162857">
        <w:rPr>
          <w:rFonts w:hint="cs"/>
          <w:rtl/>
        </w:rPr>
        <w:t>88%</w:t>
      </w:r>
      <w:r w:rsidR="002A6FAD" w:rsidRPr="00162857">
        <w:rPr>
          <w:rFonts w:hint="cs"/>
          <w:rtl/>
        </w:rPr>
        <w:t xml:space="preserve"> ממספר הנכסים הממונים</w:t>
      </w:r>
      <w:r w:rsidR="009850C3" w:rsidRPr="00162857">
        <w:rPr>
          <w:rFonts w:hint="cs"/>
          <w:rtl/>
        </w:rPr>
        <w:t>,</w:t>
      </w:r>
      <w:r w:rsidR="002A6FAD" w:rsidRPr="00162857">
        <w:rPr>
          <w:rFonts w:hint="cs"/>
          <w:rtl/>
        </w:rPr>
        <w:t xml:space="preserve"> </w:t>
      </w:r>
      <w:r w:rsidR="00C7385F" w:rsidRPr="00162857">
        <w:rPr>
          <w:rFonts w:hint="cs"/>
          <w:rtl/>
        </w:rPr>
        <w:t>מועמד</w:t>
      </w:r>
      <w:r w:rsidRPr="00162857">
        <w:rPr>
          <w:rFonts w:hint="cs"/>
          <w:rtl/>
        </w:rPr>
        <w:t xml:space="preserve"> ללווים בינונים וקטנים ולא ללווים עסקיים גדולים. </w:t>
      </w:r>
      <w:r w:rsidR="00D01BB6" w:rsidRPr="00162857">
        <w:rPr>
          <w:rFonts w:hint="cs"/>
          <w:rtl/>
        </w:rPr>
        <w:t xml:space="preserve">המימון הממוצע לנכס עומד על 18 </w:t>
      </w:r>
      <w:r w:rsidR="002316E4" w:rsidRPr="00162857">
        <w:rPr>
          <w:rFonts w:hint="cs"/>
          <w:rtl/>
        </w:rPr>
        <w:t xml:space="preserve">מיליוני </w:t>
      </w:r>
      <w:r w:rsidR="00977CC5" w:rsidRPr="00162857">
        <w:rPr>
          <w:rFonts w:hint="cs"/>
          <w:rtl/>
        </w:rPr>
        <w:t>ש</w:t>
      </w:r>
      <w:r w:rsidR="00414717" w:rsidRPr="00162857">
        <w:rPr>
          <w:rFonts w:hint="cs"/>
          <w:rtl/>
        </w:rPr>
        <w:t>"</w:t>
      </w:r>
      <w:r w:rsidR="00977CC5" w:rsidRPr="00162857">
        <w:rPr>
          <w:rFonts w:hint="cs"/>
          <w:rtl/>
        </w:rPr>
        <w:t>ח</w:t>
      </w:r>
      <w:r w:rsidR="00D01BB6" w:rsidRPr="00162857">
        <w:rPr>
          <w:rFonts w:hint="cs"/>
          <w:rtl/>
        </w:rPr>
        <w:t xml:space="preserve"> בלבד ומעיד על ביזור </w:t>
      </w:r>
      <w:r w:rsidR="006B2CE4" w:rsidRPr="00162857">
        <w:rPr>
          <w:rFonts w:hint="cs"/>
          <w:rtl/>
        </w:rPr>
        <w:t>גבוה</w:t>
      </w:r>
      <w:r w:rsidR="00414717" w:rsidRPr="00162857">
        <w:rPr>
          <w:rFonts w:hint="cs"/>
          <w:rtl/>
        </w:rPr>
        <w:t xml:space="preserve"> בחמשת הבנקים הגדולים</w:t>
      </w:r>
      <w:r w:rsidR="00D01BB6" w:rsidRPr="00162857">
        <w:rPr>
          <w:rFonts w:hint="cs"/>
          <w:rtl/>
        </w:rPr>
        <w:t xml:space="preserve"> של </w:t>
      </w:r>
      <w:r w:rsidR="006B2CE4" w:rsidRPr="00162857">
        <w:rPr>
          <w:rFonts w:hint="cs"/>
          <w:rtl/>
        </w:rPr>
        <w:t>מימון</w:t>
      </w:r>
      <w:r w:rsidR="00D01BB6" w:rsidRPr="00162857">
        <w:rPr>
          <w:rFonts w:hint="cs"/>
          <w:rtl/>
        </w:rPr>
        <w:t xml:space="preserve"> נכסים קטנים ובינונים.</w:t>
      </w:r>
    </w:p>
    <w:p w:rsidR="00D837CE" w:rsidRDefault="00D837CE" w:rsidP="00CB71E6">
      <w:pPr>
        <w:pStyle w:val="2"/>
        <w:numPr>
          <w:ilvl w:val="0"/>
          <w:numId w:val="0"/>
        </w:numPr>
        <w:tabs>
          <w:tab w:val="clear" w:pos="1140"/>
        </w:tabs>
        <w:ind w:left="452"/>
        <w:rPr>
          <w:rtl/>
        </w:rPr>
      </w:pPr>
      <w:r w:rsidRPr="005C25D0">
        <w:rPr>
          <w:rFonts w:hint="cs"/>
          <w:rtl/>
        </w:rPr>
        <w:t>האיתנות הפיננסית של הלווים המסחריים</w:t>
      </w:r>
      <w:r w:rsidR="00414717">
        <w:rPr>
          <w:rFonts w:hint="cs"/>
          <w:rtl/>
        </w:rPr>
        <w:t xml:space="preserve"> מחד,</w:t>
      </w:r>
      <w:r w:rsidRPr="005C25D0">
        <w:rPr>
          <w:rFonts w:hint="cs"/>
          <w:rtl/>
        </w:rPr>
        <w:t xml:space="preserve"> היא מטבע הדברים נמוכה יותר. מאידך</w:t>
      </w:r>
      <w:r w:rsidR="00414717">
        <w:rPr>
          <w:rFonts w:hint="cs"/>
          <w:rtl/>
        </w:rPr>
        <w:t xml:space="preserve">, </w:t>
      </w:r>
      <w:r w:rsidRPr="005C25D0">
        <w:rPr>
          <w:rFonts w:hint="cs"/>
          <w:rtl/>
        </w:rPr>
        <w:t xml:space="preserve">האשראי </w:t>
      </w:r>
      <w:r w:rsidR="00846C2A">
        <w:rPr>
          <w:rFonts w:hint="cs"/>
          <w:rtl/>
        </w:rPr>
        <w:t xml:space="preserve">מבוזר </w:t>
      </w:r>
      <w:r w:rsidRPr="005C25D0">
        <w:rPr>
          <w:rFonts w:hint="cs"/>
          <w:rtl/>
        </w:rPr>
        <w:t xml:space="preserve">מאוד ונכסים </w:t>
      </w:r>
      <w:r w:rsidR="00414717" w:rsidRPr="005C25D0">
        <w:rPr>
          <w:rFonts w:hint="cs"/>
          <w:rtl/>
        </w:rPr>
        <w:t>אל</w:t>
      </w:r>
      <w:r w:rsidR="00414717">
        <w:rPr>
          <w:rFonts w:hint="cs"/>
          <w:rtl/>
        </w:rPr>
        <w:t>ה</w:t>
      </w:r>
      <w:r w:rsidR="00414717" w:rsidRPr="005C25D0">
        <w:rPr>
          <w:rFonts w:hint="cs"/>
          <w:rtl/>
        </w:rPr>
        <w:t xml:space="preserve"> </w:t>
      </w:r>
      <w:r w:rsidRPr="005C25D0">
        <w:rPr>
          <w:rFonts w:hint="cs"/>
          <w:rtl/>
        </w:rPr>
        <w:t xml:space="preserve">נפגעו באופן מתון יותר </w:t>
      </w:r>
      <w:r w:rsidR="00414717">
        <w:rPr>
          <w:rFonts w:hint="cs"/>
          <w:rtl/>
        </w:rPr>
        <w:t>ב</w:t>
      </w:r>
      <w:r w:rsidR="00414717" w:rsidRPr="005C25D0">
        <w:rPr>
          <w:rFonts w:hint="cs"/>
          <w:rtl/>
        </w:rPr>
        <w:t xml:space="preserve">משבר </w:t>
      </w:r>
      <w:r w:rsidRPr="005C25D0">
        <w:rPr>
          <w:rFonts w:hint="cs"/>
          <w:rtl/>
        </w:rPr>
        <w:t>הקורונה</w:t>
      </w:r>
      <w:r w:rsidR="00414717">
        <w:rPr>
          <w:rFonts w:hint="cs"/>
          <w:rtl/>
        </w:rPr>
        <w:t>,</w:t>
      </w:r>
      <w:r w:rsidRPr="005C25D0">
        <w:rPr>
          <w:rFonts w:hint="cs"/>
          <w:rtl/>
        </w:rPr>
        <w:t xml:space="preserve"> </w:t>
      </w:r>
      <w:r>
        <w:rPr>
          <w:rFonts w:hint="cs"/>
          <w:rtl/>
        </w:rPr>
        <w:t>בשל</w:t>
      </w:r>
      <w:r w:rsidRPr="005C25D0">
        <w:rPr>
          <w:rFonts w:hint="cs"/>
          <w:rtl/>
        </w:rPr>
        <w:t xml:space="preserve"> היותם קרובים לשכונות מגורים</w:t>
      </w:r>
      <w:r w:rsidR="005B7E3F">
        <w:rPr>
          <w:rFonts w:hint="cs"/>
          <w:rtl/>
        </w:rPr>
        <w:t xml:space="preserve"> ו</w:t>
      </w:r>
      <w:r>
        <w:rPr>
          <w:rFonts w:hint="cs"/>
          <w:rtl/>
        </w:rPr>
        <w:t>בשל העובדה ש</w:t>
      </w:r>
      <w:r w:rsidRPr="005C25D0">
        <w:rPr>
          <w:rFonts w:hint="cs"/>
          <w:rtl/>
        </w:rPr>
        <w:t xml:space="preserve">רבים מהם ממוקמים במרכזים פתוחים עם תמהיל </w:t>
      </w:r>
      <w:r w:rsidR="00414717" w:rsidRPr="005C25D0">
        <w:rPr>
          <w:rFonts w:hint="cs"/>
          <w:rtl/>
        </w:rPr>
        <w:t>השכר</w:t>
      </w:r>
      <w:r w:rsidR="00414717">
        <w:rPr>
          <w:rFonts w:hint="cs"/>
          <w:rtl/>
        </w:rPr>
        <w:t>ה</w:t>
      </w:r>
      <w:r w:rsidR="00414717" w:rsidRPr="005C25D0">
        <w:rPr>
          <w:rFonts w:hint="cs"/>
          <w:rtl/>
        </w:rPr>
        <w:t xml:space="preserve"> </w:t>
      </w:r>
      <w:r w:rsidRPr="005C25D0">
        <w:rPr>
          <w:rFonts w:hint="cs"/>
          <w:rtl/>
        </w:rPr>
        <w:t>מוטה פארם ומזון.</w:t>
      </w:r>
    </w:p>
    <w:p w:rsidR="00EB4FA4" w:rsidRPr="00162857" w:rsidRDefault="00EB4FA4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 w:rsidRPr="000E7A76">
        <w:rPr>
          <w:rFonts w:hint="cs"/>
          <w:b/>
          <w:bCs/>
          <w:rtl/>
        </w:rPr>
        <w:t>שיעורי מינוף (</w:t>
      </w:r>
      <w:r w:rsidR="00414717" w:rsidRPr="000E7A76">
        <w:rPr>
          <w:rFonts w:hint="cs"/>
          <w:b/>
          <w:bCs/>
          <w:rtl/>
        </w:rPr>
        <w:t>יחס חוב לבטוחה</w:t>
      </w:r>
      <w:r w:rsidRPr="000E7A76">
        <w:rPr>
          <w:rFonts w:hint="cs"/>
          <w:b/>
          <w:bCs/>
          <w:rtl/>
        </w:rPr>
        <w:t>)</w:t>
      </w:r>
      <w:r w:rsidRPr="000E7A76">
        <w:rPr>
          <w:rFonts w:hint="cs"/>
          <w:rtl/>
        </w:rPr>
        <w:t xml:space="preserve"> </w:t>
      </w:r>
      <w:r w:rsidRPr="000E7A76">
        <w:rPr>
          <w:rtl/>
        </w:rPr>
        <w:t>–</w:t>
      </w:r>
      <w:r w:rsidRPr="000E7A76">
        <w:rPr>
          <w:rFonts w:hint="cs"/>
          <w:rtl/>
        </w:rPr>
        <w:t xml:space="preserve"> שיעור המינוף מבטא את היחס בין סכום האשראי לבין שווי הנכס הממומן שמשועבד </w:t>
      </w:r>
      <w:r w:rsidR="00414717" w:rsidRPr="000E7A76">
        <w:rPr>
          <w:rFonts w:hint="cs"/>
          <w:rtl/>
        </w:rPr>
        <w:t>על פי רו</w:t>
      </w:r>
      <w:r w:rsidR="00414717" w:rsidRPr="00162857">
        <w:rPr>
          <w:rFonts w:hint="cs"/>
          <w:rtl/>
        </w:rPr>
        <w:t xml:space="preserve">ב </w:t>
      </w:r>
      <w:r w:rsidRPr="00162857">
        <w:rPr>
          <w:rFonts w:hint="cs"/>
          <w:rtl/>
        </w:rPr>
        <w:t xml:space="preserve">לטובת הבנק. שיעור המינוף </w:t>
      </w:r>
      <w:r w:rsidR="004C54A1" w:rsidRPr="00162857">
        <w:rPr>
          <w:rFonts w:hint="cs"/>
          <w:rtl/>
        </w:rPr>
        <w:t>הממוצע ה</w:t>
      </w:r>
      <w:r w:rsidRPr="00162857">
        <w:rPr>
          <w:rFonts w:hint="cs"/>
          <w:rtl/>
        </w:rPr>
        <w:t xml:space="preserve">משוקלל של הנכסים המניבים </w:t>
      </w:r>
      <w:r w:rsidR="004C54A1" w:rsidRPr="00162857">
        <w:rPr>
          <w:rFonts w:hint="cs"/>
          <w:rtl/>
        </w:rPr>
        <w:t>במערכת הבנקא</w:t>
      </w:r>
      <w:r w:rsidR="005B7E3F" w:rsidRPr="00162857">
        <w:rPr>
          <w:rFonts w:hint="cs"/>
          <w:rtl/>
        </w:rPr>
        <w:t>ו</w:t>
      </w:r>
      <w:r w:rsidR="004C54A1" w:rsidRPr="00162857">
        <w:rPr>
          <w:rFonts w:hint="cs"/>
          <w:rtl/>
        </w:rPr>
        <w:t xml:space="preserve">ת </w:t>
      </w:r>
      <w:r w:rsidRPr="00162857">
        <w:rPr>
          <w:rFonts w:hint="cs"/>
          <w:rtl/>
        </w:rPr>
        <w:t>עומד על כ-56% ומדובר במינוף סביר.</w:t>
      </w:r>
    </w:p>
    <w:p w:rsidR="002A6FAD" w:rsidRDefault="00EB4FA4" w:rsidP="00393C13">
      <w:pPr>
        <w:pStyle w:val="2"/>
        <w:numPr>
          <w:ilvl w:val="0"/>
          <w:numId w:val="0"/>
        </w:numPr>
        <w:tabs>
          <w:tab w:val="clear" w:pos="1140"/>
        </w:tabs>
        <w:ind w:left="452"/>
        <w:rPr>
          <w:rtl/>
        </w:rPr>
      </w:pPr>
      <w:r w:rsidRPr="004D51F9">
        <w:rPr>
          <w:rFonts w:hint="cs"/>
          <w:rtl/>
        </w:rPr>
        <w:t>כ</w:t>
      </w:r>
      <w:r w:rsidRPr="00EB4FA4">
        <w:rPr>
          <w:rFonts w:hint="cs"/>
          <w:rtl/>
        </w:rPr>
        <w:t>-15%</w:t>
      </w:r>
      <w:r>
        <w:rPr>
          <w:rFonts w:hint="cs"/>
          <w:rtl/>
        </w:rPr>
        <w:t xml:space="preserve"> </w:t>
      </w:r>
      <w:r w:rsidRPr="004D51F9">
        <w:rPr>
          <w:rFonts w:hint="cs"/>
          <w:rtl/>
        </w:rPr>
        <w:t>מהא</w:t>
      </w:r>
      <w:r w:rsidR="0027009D">
        <w:rPr>
          <w:rFonts w:hint="cs"/>
          <w:rtl/>
        </w:rPr>
        <w:t>שראי לנכסים המניבים (בהיקף של כ</w:t>
      </w:r>
      <w:r w:rsidR="00F031FB">
        <w:rPr>
          <w:rFonts w:hint="cs"/>
          <w:rtl/>
        </w:rPr>
        <w:t>-</w:t>
      </w:r>
      <w:r w:rsidRPr="004D51F9">
        <w:rPr>
          <w:rFonts w:hint="cs"/>
          <w:rtl/>
        </w:rPr>
        <w:t>7.</w:t>
      </w:r>
      <w:r w:rsidR="00393C13">
        <w:rPr>
          <w:rFonts w:hint="cs"/>
          <w:rtl/>
        </w:rPr>
        <w:t>7</w:t>
      </w:r>
      <w:r w:rsidRPr="004D51F9">
        <w:rPr>
          <w:rFonts w:hint="cs"/>
          <w:rtl/>
        </w:rPr>
        <w:t xml:space="preserve"> מיליארד </w:t>
      </w:r>
      <w:r w:rsidR="00977CC5">
        <w:rPr>
          <w:rFonts w:hint="cs"/>
          <w:rtl/>
        </w:rPr>
        <w:t>ש</w:t>
      </w:r>
      <w:r w:rsidR="00414717">
        <w:rPr>
          <w:rFonts w:hint="cs"/>
          <w:rtl/>
        </w:rPr>
        <w:t>"</w:t>
      </w:r>
      <w:r w:rsidR="00977CC5">
        <w:rPr>
          <w:rFonts w:hint="cs"/>
          <w:rtl/>
        </w:rPr>
        <w:t>ח</w:t>
      </w:r>
      <w:r w:rsidRPr="004D51F9">
        <w:rPr>
          <w:rFonts w:hint="cs"/>
          <w:rtl/>
        </w:rPr>
        <w:t xml:space="preserve">) מועמד </w:t>
      </w:r>
      <w:r w:rsidRPr="00EB4FA4">
        <w:rPr>
          <w:rFonts w:hint="cs"/>
          <w:rtl/>
        </w:rPr>
        <w:t>במינוף גבוה</w:t>
      </w:r>
      <w:r w:rsidR="004C54A1">
        <w:rPr>
          <w:rFonts w:hint="cs"/>
          <w:rtl/>
        </w:rPr>
        <w:t xml:space="preserve"> </w:t>
      </w:r>
      <w:r w:rsidR="00414717">
        <w:rPr>
          <w:rFonts w:hint="cs"/>
          <w:rtl/>
        </w:rPr>
        <w:t xml:space="preserve">שעולה </w:t>
      </w:r>
      <w:r w:rsidR="004C54A1">
        <w:rPr>
          <w:rFonts w:hint="cs"/>
          <w:rtl/>
        </w:rPr>
        <w:t>על 70%</w:t>
      </w:r>
      <w:r w:rsidR="002A6FAD">
        <w:rPr>
          <w:rFonts w:hint="cs"/>
          <w:rtl/>
        </w:rPr>
        <w:t>.</w:t>
      </w:r>
    </w:p>
    <w:p w:rsidR="00EB4FA4" w:rsidRDefault="00017BCB" w:rsidP="00B56556">
      <w:pPr>
        <w:pStyle w:val="2"/>
        <w:numPr>
          <w:ilvl w:val="0"/>
          <w:numId w:val="0"/>
        </w:numPr>
        <w:tabs>
          <w:tab w:val="clear" w:pos="1140"/>
        </w:tabs>
        <w:ind w:left="452"/>
        <w:rPr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169D8" wp14:editId="7EF64BEC">
                <wp:simplePos x="0" y="0"/>
                <wp:positionH relativeFrom="margin">
                  <wp:posOffset>237490</wp:posOffset>
                </wp:positionH>
                <wp:positionV relativeFrom="paragraph">
                  <wp:posOffset>641350</wp:posOffset>
                </wp:positionV>
                <wp:extent cx="4394958" cy="215153"/>
                <wp:effectExtent l="0" t="0" r="24765" b="13970"/>
                <wp:wrapNone/>
                <wp:docPr id="21" name="מלב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958" cy="21515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7B" w:rsidRPr="00133B30" w:rsidRDefault="0032327B" w:rsidP="00AA697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עיקר הנכסים המניבים הממונפים הממומנים בבנקים מיועדים למסחר ומשרדים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97169D8" id="מלבן 21" o:spid="_x0000_s1030" style="position:absolute;left:0;text-align:left;margin-left:18.7pt;margin-top:50.5pt;width:346.0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" fillcolor="white [3201]" strokecolor="black [3213]" strokeweight=".25pt">
                <v:textbox>
                  <w:txbxContent>
                    <w:p w:rsidR="0032327B" w:rsidRPr="00133B30" w:rsidRDefault="0032327B" w:rsidP="00AA697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עיקר הנכסים המניבים הממונפים הממומנים בבנקים מיועדים למסחר ומשרדים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6FAD">
        <w:rPr>
          <w:rFonts w:hint="cs"/>
          <w:rtl/>
        </w:rPr>
        <w:t>ב</w:t>
      </w:r>
      <w:r w:rsidR="004C54A1">
        <w:rPr>
          <w:rFonts w:hint="cs"/>
          <w:rtl/>
        </w:rPr>
        <w:t xml:space="preserve">פילוח </w:t>
      </w:r>
      <w:r w:rsidR="002A6FAD">
        <w:rPr>
          <w:rFonts w:hint="cs"/>
          <w:rtl/>
        </w:rPr>
        <w:t>ה</w:t>
      </w:r>
      <w:r w:rsidR="004C54A1">
        <w:rPr>
          <w:rFonts w:hint="cs"/>
          <w:rtl/>
        </w:rPr>
        <w:t xml:space="preserve">נכסים </w:t>
      </w:r>
      <w:r w:rsidR="002A6FAD">
        <w:rPr>
          <w:rFonts w:hint="cs"/>
          <w:rtl/>
        </w:rPr>
        <w:t>הממונפים</w:t>
      </w:r>
      <w:r w:rsidR="004C54A1">
        <w:rPr>
          <w:rFonts w:hint="cs"/>
          <w:rtl/>
        </w:rPr>
        <w:t xml:space="preserve"> </w:t>
      </w:r>
      <w:r w:rsidR="00414717">
        <w:rPr>
          <w:rFonts w:hint="cs"/>
          <w:rtl/>
        </w:rPr>
        <w:t>לפי</w:t>
      </w:r>
      <w:r w:rsidR="004C54A1">
        <w:rPr>
          <w:rFonts w:hint="cs"/>
          <w:rtl/>
        </w:rPr>
        <w:t xml:space="preserve"> י</w:t>
      </w:r>
      <w:r w:rsidR="00414717">
        <w:rPr>
          <w:rFonts w:hint="cs"/>
          <w:rtl/>
        </w:rPr>
        <w:t>י</w:t>
      </w:r>
      <w:r w:rsidR="004C54A1">
        <w:rPr>
          <w:rFonts w:hint="cs"/>
          <w:rtl/>
        </w:rPr>
        <w:t xml:space="preserve">עוד הנכס, עולה </w:t>
      </w:r>
      <w:r w:rsidR="00414717">
        <w:rPr>
          <w:rFonts w:hint="cs"/>
          <w:rtl/>
        </w:rPr>
        <w:t>ש-</w:t>
      </w:r>
      <w:r w:rsidR="004C54A1">
        <w:rPr>
          <w:rFonts w:hint="cs"/>
          <w:rtl/>
        </w:rPr>
        <w:t xml:space="preserve">75% </w:t>
      </w:r>
      <w:r w:rsidR="004C54A1" w:rsidRPr="008813B3">
        <w:rPr>
          <w:rFonts w:hint="cs"/>
          <w:rtl/>
        </w:rPr>
        <w:t xml:space="preserve">מהאשראי הממונף (בשיעורי מימון </w:t>
      </w:r>
      <w:r w:rsidR="00414717">
        <w:rPr>
          <w:rFonts w:hint="cs"/>
          <w:rtl/>
        </w:rPr>
        <w:t>ש</w:t>
      </w:r>
      <w:r w:rsidR="00414717" w:rsidRPr="008813B3">
        <w:rPr>
          <w:rFonts w:hint="cs"/>
          <w:rtl/>
        </w:rPr>
        <w:t xml:space="preserve">גבוהים </w:t>
      </w:r>
      <w:r w:rsidR="004C54A1" w:rsidRPr="008813B3">
        <w:rPr>
          <w:rFonts w:hint="cs"/>
          <w:rtl/>
        </w:rPr>
        <w:t xml:space="preserve">מ-70%) מממנים נכסים </w:t>
      </w:r>
      <w:r w:rsidR="00414717">
        <w:rPr>
          <w:rFonts w:hint="cs"/>
          <w:rtl/>
        </w:rPr>
        <w:t>ש</w:t>
      </w:r>
      <w:r w:rsidR="00414717" w:rsidRPr="008813B3">
        <w:rPr>
          <w:rFonts w:hint="cs"/>
          <w:rtl/>
        </w:rPr>
        <w:t xml:space="preserve">מיועדים </w:t>
      </w:r>
      <w:r w:rsidR="004C54A1" w:rsidRPr="008813B3">
        <w:rPr>
          <w:rFonts w:hint="cs"/>
          <w:rtl/>
        </w:rPr>
        <w:t>למסחר ולמשרדים</w:t>
      </w:r>
      <w:r w:rsidR="00352C2B">
        <w:rPr>
          <w:rFonts w:hint="cs"/>
          <w:rtl/>
        </w:rPr>
        <w:t xml:space="preserve"> והם מהווים כ </w:t>
      </w:r>
      <w:r w:rsidR="00352C2B">
        <w:rPr>
          <w:rtl/>
        </w:rPr>
        <w:t>–</w:t>
      </w:r>
      <w:r w:rsidR="00352C2B">
        <w:rPr>
          <w:rFonts w:hint="cs"/>
          <w:rtl/>
        </w:rPr>
        <w:t xml:space="preserve"> 14%</w:t>
      </w:r>
      <w:r w:rsidR="00B56556">
        <w:rPr>
          <w:rFonts w:hint="cs"/>
          <w:rtl/>
        </w:rPr>
        <w:t xml:space="preserve"> ו </w:t>
      </w:r>
      <w:r w:rsidR="00352C2B">
        <w:rPr>
          <w:rFonts w:hint="cs"/>
          <w:rtl/>
        </w:rPr>
        <w:t xml:space="preserve">15% </w:t>
      </w:r>
      <w:r w:rsidR="00B56556">
        <w:rPr>
          <w:rFonts w:hint="cs"/>
          <w:rtl/>
        </w:rPr>
        <w:t xml:space="preserve">בהתאמה </w:t>
      </w:r>
      <w:r w:rsidR="00352C2B">
        <w:rPr>
          <w:rFonts w:hint="cs"/>
          <w:rtl/>
        </w:rPr>
        <w:t>מסך מסגרות האשראי</w:t>
      </w:r>
      <w:r w:rsidR="00B56556">
        <w:rPr>
          <w:rFonts w:hint="cs"/>
          <w:rtl/>
        </w:rPr>
        <w:t xml:space="preserve"> לנכסים אלו</w:t>
      </w:r>
      <w:r w:rsidR="004C54A1" w:rsidRPr="008813B3">
        <w:rPr>
          <w:rFonts w:hint="cs"/>
          <w:rtl/>
        </w:rPr>
        <w:t>.</w:t>
      </w:r>
    </w:p>
    <w:p w:rsidR="00370684" w:rsidRDefault="00370684" w:rsidP="00E959E5">
      <w:pPr>
        <w:pStyle w:val="2"/>
        <w:numPr>
          <w:ilvl w:val="0"/>
          <w:numId w:val="0"/>
        </w:numPr>
        <w:ind w:left="1160"/>
        <w:jc w:val="center"/>
        <w:rPr>
          <w:rtl/>
        </w:rPr>
      </w:pPr>
    </w:p>
    <w:p w:rsidR="00370684" w:rsidRDefault="0088579A" w:rsidP="00E959E5">
      <w:pPr>
        <w:pStyle w:val="2"/>
        <w:numPr>
          <w:ilvl w:val="0"/>
          <w:numId w:val="0"/>
        </w:numPr>
        <w:ind w:left="1160"/>
        <w:jc w:val="center"/>
      </w:pPr>
      <w:r>
        <w:rPr>
          <w:noProof/>
        </w:rPr>
        <w:drawing>
          <wp:inline distT="0" distB="0" distL="0" distR="0" wp14:anchorId="0FA3ABDB" wp14:editId="79115918">
            <wp:extent cx="4438650" cy="5193030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19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FAD" w:rsidRPr="00162857" w:rsidRDefault="002A6FAD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 w:rsidRPr="000E7A76">
        <w:rPr>
          <w:rFonts w:hint="cs"/>
          <w:b/>
          <w:bCs/>
          <w:rtl/>
        </w:rPr>
        <w:lastRenderedPageBreak/>
        <w:t>שיעור תפוסה</w:t>
      </w:r>
      <w:r w:rsidRPr="000E7A76">
        <w:rPr>
          <w:rFonts w:hint="cs"/>
          <w:rtl/>
        </w:rPr>
        <w:t xml:space="preserve"> - מימון נכסים מניבים מב</w:t>
      </w:r>
      <w:r w:rsidR="00414717" w:rsidRPr="00162857">
        <w:rPr>
          <w:rFonts w:hint="cs"/>
          <w:rtl/>
        </w:rPr>
        <w:t>ו</w:t>
      </w:r>
      <w:r w:rsidRPr="00162857">
        <w:rPr>
          <w:rFonts w:hint="cs"/>
          <w:rtl/>
        </w:rPr>
        <w:t xml:space="preserve">סס על כושר ההחזר </w:t>
      </w:r>
      <w:r w:rsidR="00414717" w:rsidRPr="00162857">
        <w:rPr>
          <w:rFonts w:hint="cs"/>
          <w:rtl/>
        </w:rPr>
        <w:t xml:space="preserve">שנובע </w:t>
      </w:r>
      <w:r w:rsidRPr="00162857">
        <w:rPr>
          <w:rFonts w:hint="cs"/>
          <w:rtl/>
        </w:rPr>
        <w:t xml:space="preserve">מדמי השכירות </w:t>
      </w:r>
      <w:r w:rsidR="00414717" w:rsidRPr="00162857">
        <w:rPr>
          <w:rFonts w:hint="cs"/>
          <w:rtl/>
        </w:rPr>
        <w:t xml:space="preserve">שמתקבלים </w:t>
      </w:r>
      <w:r w:rsidRPr="00162857">
        <w:rPr>
          <w:rFonts w:hint="cs"/>
          <w:rtl/>
        </w:rPr>
        <w:t xml:space="preserve">מהנכס (ההנבה). </w:t>
      </w:r>
      <w:r w:rsidR="00414717" w:rsidRPr="00162857">
        <w:rPr>
          <w:rFonts w:hint="cs"/>
          <w:rtl/>
        </w:rPr>
        <w:t>כש</w:t>
      </w:r>
      <w:r w:rsidRPr="00162857">
        <w:rPr>
          <w:rFonts w:hint="cs"/>
          <w:rtl/>
        </w:rPr>
        <w:t xml:space="preserve">שיעור התפוסה נפגע, </w:t>
      </w:r>
      <w:r w:rsidR="00414717" w:rsidRPr="00162857">
        <w:rPr>
          <w:rFonts w:hint="cs"/>
          <w:rtl/>
        </w:rPr>
        <w:t xml:space="preserve">נפגע </w:t>
      </w:r>
      <w:r w:rsidRPr="00162857">
        <w:rPr>
          <w:rFonts w:hint="cs"/>
          <w:rtl/>
        </w:rPr>
        <w:t xml:space="preserve">בהכרח גם כושר ההחזר </w:t>
      </w:r>
      <w:r w:rsidR="00414717" w:rsidRPr="00162857">
        <w:rPr>
          <w:rFonts w:hint="cs"/>
          <w:rtl/>
        </w:rPr>
        <w:t xml:space="preserve">שנובע </w:t>
      </w:r>
      <w:r w:rsidRPr="00162857">
        <w:rPr>
          <w:rFonts w:hint="cs"/>
          <w:rtl/>
        </w:rPr>
        <w:t>מהנכס. שיעור תפוסה נמוך על פני זמן</w:t>
      </w:r>
      <w:r w:rsidR="00414717" w:rsidRPr="00162857">
        <w:rPr>
          <w:rFonts w:hint="cs"/>
          <w:rtl/>
        </w:rPr>
        <w:t>,</w:t>
      </w:r>
      <w:r w:rsidRPr="00162857">
        <w:rPr>
          <w:rFonts w:hint="cs"/>
          <w:rtl/>
        </w:rPr>
        <w:t xml:space="preserve"> עלול </w:t>
      </w:r>
      <w:r w:rsidR="0027009D" w:rsidRPr="00162857">
        <w:rPr>
          <w:rFonts w:hint="cs"/>
          <w:rtl/>
        </w:rPr>
        <w:t>לכש</w:t>
      </w:r>
      <w:r w:rsidRPr="00162857">
        <w:rPr>
          <w:rFonts w:hint="cs"/>
          <w:rtl/>
        </w:rPr>
        <w:t xml:space="preserve">עצמו להשפיע על הצלחת הנכס ולפגוע </w:t>
      </w:r>
      <w:r w:rsidR="00C7385F" w:rsidRPr="00162857">
        <w:rPr>
          <w:rFonts w:hint="cs"/>
          <w:rtl/>
        </w:rPr>
        <w:t xml:space="preserve">בשוויו. </w:t>
      </w:r>
      <w:r w:rsidR="00414717" w:rsidRPr="00162857">
        <w:rPr>
          <w:rFonts w:hint="cs"/>
          <w:rtl/>
        </w:rPr>
        <w:t>לדוגמה</w:t>
      </w:r>
      <w:r w:rsidR="00C7385F" w:rsidRPr="00162857">
        <w:rPr>
          <w:rFonts w:hint="cs"/>
          <w:rtl/>
        </w:rPr>
        <w:t>: מרכז מסחרי/</w:t>
      </w:r>
      <w:r w:rsidRPr="00162857">
        <w:rPr>
          <w:rFonts w:hint="cs"/>
          <w:rtl/>
        </w:rPr>
        <w:t xml:space="preserve">קניון </w:t>
      </w:r>
      <w:r w:rsidR="00414717" w:rsidRPr="00162857">
        <w:rPr>
          <w:rFonts w:hint="cs"/>
          <w:rtl/>
        </w:rPr>
        <w:t xml:space="preserve">שבו </w:t>
      </w:r>
      <w:r w:rsidRPr="00162857">
        <w:rPr>
          <w:rFonts w:hint="cs"/>
          <w:rtl/>
        </w:rPr>
        <w:t xml:space="preserve">חנויות סגורות </w:t>
      </w:r>
      <w:r w:rsidR="00414717" w:rsidRPr="00162857">
        <w:rPr>
          <w:rFonts w:hint="cs"/>
          <w:rtl/>
        </w:rPr>
        <w:t xml:space="preserve">רבות, </w:t>
      </w:r>
      <w:r w:rsidRPr="00162857">
        <w:rPr>
          <w:rFonts w:hint="cs"/>
          <w:rtl/>
        </w:rPr>
        <w:t xml:space="preserve">עלול למשוך פחות קונים ולהשפיע לרעה גם על ההכנסות </w:t>
      </w:r>
      <w:r w:rsidR="00414717" w:rsidRPr="00162857">
        <w:rPr>
          <w:rFonts w:hint="cs"/>
          <w:rtl/>
        </w:rPr>
        <w:t xml:space="preserve">משאר </w:t>
      </w:r>
      <w:r w:rsidRPr="00162857">
        <w:rPr>
          <w:rFonts w:hint="cs"/>
          <w:rtl/>
        </w:rPr>
        <w:t>החנויות ועל סיכויי השרידות שלהן.</w:t>
      </w:r>
    </w:p>
    <w:p w:rsidR="00EB4FA4" w:rsidRDefault="00EB4FA4" w:rsidP="00CB71E6">
      <w:pPr>
        <w:pStyle w:val="2"/>
        <w:numPr>
          <w:ilvl w:val="0"/>
          <w:numId w:val="0"/>
        </w:numPr>
        <w:tabs>
          <w:tab w:val="clear" w:pos="1140"/>
        </w:tabs>
        <w:ind w:left="452"/>
      </w:pPr>
      <w:r w:rsidRPr="004D51F9">
        <w:rPr>
          <w:rFonts w:hint="cs"/>
          <w:rtl/>
        </w:rPr>
        <w:t xml:space="preserve">שיעור התפוסה המשוקלל של הנכסים הממומנים </w:t>
      </w:r>
      <w:r w:rsidR="00414717">
        <w:rPr>
          <w:rFonts w:hint="cs"/>
          <w:rtl/>
        </w:rPr>
        <w:t>על ידי</w:t>
      </w:r>
      <w:r w:rsidRPr="004D51F9">
        <w:rPr>
          <w:rFonts w:hint="cs"/>
          <w:rtl/>
        </w:rPr>
        <w:t xml:space="preserve"> </w:t>
      </w:r>
      <w:r w:rsidR="0027009D">
        <w:rPr>
          <w:rFonts w:hint="cs"/>
          <w:rtl/>
        </w:rPr>
        <w:t>חמשת הבנקים הגדולים</w:t>
      </w:r>
      <w:r w:rsidRPr="004D51F9">
        <w:rPr>
          <w:rFonts w:hint="cs"/>
          <w:rtl/>
        </w:rPr>
        <w:t xml:space="preserve"> </w:t>
      </w:r>
      <w:r w:rsidR="0027009D">
        <w:rPr>
          <w:rFonts w:hint="cs"/>
          <w:rtl/>
        </w:rPr>
        <w:t xml:space="preserve">עומד על </w:t>
      </w:r>
      <w:r w:rsidR="0027009D" w:rsidRPr="0058348E">
        <w:rPr>
          <w:rFonts w:hint="cs"/>
          <w:rtl/>
        </w:rPr>
        <w:t>כ</w:t>
      </w:r>
      <w:r w:rsidR="00414717">
        <w:rPr>
          <w:rFonts w:hint="cs"/>
          <w:rtl/>
        </w:rPr>
        <w:t>-</w:t>
      </w:r>
      <w:r w:rsidRPr="0058348E">
        <w:rPr>
          <w:rFonts w:hint="cs"/>
          <w:rtl/>
        </w:rPr>
        <w:t xml:space="preserve">91%. </w:t>
      </w:r>
      <w:r w:rsidR="00414717" w:rsidRPr="00426C4F">
        <w:rPr>
          <w:rFonts w:hint="cs"/>
          <w:rtl/>
        </w:rPr>
        <w:t>לפי</w:t>
      </w:r>
      <w:r w:rsidRPr="00426C4F">
        <w:rPr>
          <w:rFonts w:hint="cs"/>
          <w:rtl/>
        </w:rPr>
        <w:t xml:space="preserve"> אומדן </w:t>
      </w:r>
      <w:r w:rsidR="00414717" w:rsidRPr="00426C4F">
        <w:rPr>
          <w:rFonts w:hint="cs"/>
          <w:rtl/>
        </w:rPr>
        <w:t>גולמי</w:t>
      </w:r>
      <w:r w:rsidRPr="00426C4F">
        <w:rPr>
          <w:rFonts w:hint="cs"/>
          <w:rtl/>
        </w:rPr>
        <w:t>, כ-</w:t>
      </w:r>
      <w:r w:rsidR="00426C4F" w:rsidRPr="00426C4F">
        <w:rPr>
          <w:rFonts w:hint="cs"/>
          <w:rtl/>
        </w:rPr>
        <w:t>5.7</w:t>
      </w:r>
      <w:r w:rsidRPr="00426C4F">
        <w:rPr>
          <w:rFonts w:hint="cs"/>
          <w:rtl/>
        </w:rPr>
        <w:t>% מהאשראי לנכסים מניבים (בהיקף של כ-</w:t>
      </w:r>
      <w:r w:rsidR="00426C4F" w:rsidRPr="00426C4F">
        <w:rPr>
          <w:rFonts w:hint="cs"/>
          <w:rtl/>
        </w:rPr>
        <w:t>2.9</w:t>
      </w:r>
      <w:r w:rsidRPr="00426C4F">
        <w:rPr>
          <w:rFonts w:hint="cs"/>
          <w:rtl/>
        </w:rPr>
        <w:t xml:space="preserve"> מיליארד </w:t>
      </w:r>
      <w:r w:rsidR="00977CC5" w:rsidRPr="00426C4F">
        <w:rPr>
          <w:rFonts w:hint="cs"/>
          <w:rtl/>
        </w:rPr>
        <w:t>ש</w:t>
      </w:r>
      <w:r w:rsidR="00414717" w:rsidRPr="00426C4F">
        <w:rPr>
          <w:rFonts w:hint="cs"/>
          <w:rtl/>
        </w:rPr>
        <w:t>"</w:t>
      </w:r>
      <w:r w:rsidR="00977CC5" w:rsidRPr="00426C4F">
        <w:rPr>
          <w:rFonts w:hint="cs"/>
          <w:rtl/>
        </w:rPr>
        <w:t>ח</w:t>
      </w:r>
      <w:r w:rsidRPr="00426C4F">
        <w:rPr>
          <w:rFonts w:hint="cs"/>
          <w:rtl/>
        </w:rPr>
        <w:t>)</w:t>
      </w:r>
      <w:r w:rsidR="003472C5" w:rsidRPr="00426C4F">
        <w:rPr>
          <w:rFonts w:hint="cs"/>
          <w:rtl/>
        </w:rPr>
        <w:t>,</w:t>
      </w:r>
      <w:r w:rsidRPr="00426C4F">
        <w:rPr>
          <w:rFonts w:hint="cs"/>
          <w:rtl/>
        </w:rPr>
        <w:t xml:space="preserve"> מושכר עם שיעורי תפוסה נמוכים מ-80%.</w:t>
      </w:r>
    </w:p>
    <w:p w:rsidR="00EB4FA4" w:rsidRPr="00162857" w:rsidRDefault="003472C5" w:rsidP="00162857">
      <w:pPr>
        <w:pStyle w:val="2"/>
        <w:numPr>
          <w:ilvl w:val="0"/>
          <w:numId w:val="0"/>
        </w:numPr>
        <w:tabs>
          <w:tab w:val="clear" w:pos="1140"/>
        </w:tabs>
        <w:ind w:left="452"/>
        <w:rPr>
          <w:rtl/>
        </w:rPr>
      </w:pPr>
      <w:r>
        <w:rPr>
          <w:rFonts w:hint="cs"/>
          <w:rtl/>
        </w:rPr>
        <w:t xml:space="preserve">מחיתוך </w:t>
      </w:r>
      <w:r w:rsidR="00EB4FA4" w:rsidRPr="00B7772B">
        <w:rPr>
          <w:rFonts w:hint="cs"/>
          <w:rtl/>
        </w:rPr>
        <w:t xml:space="preserve">הנתונים </w:t>
      </w:r>
      <w:r w:rsidR="002A6FAD">
        <w:rPr>
          <w:rFonts w:hint="cs"/>
          <w:rtl/>
        </w:rPr>
        <w:t xml:space="preserve">של הנכסים </w:t>
      </w:r>
      <w:r>
        <w:rPr>
          <w:rFonts w:hint="cs"/>
          <w:rtl/>
        </w:rPr>
        <w:t xml:space="preserve">עם </w:t>
      </w:r>
      <w:r w:rsidR="002A6FAD">
        <w:rPr>
          <w:rFonts w:hint="cs"/>
          <w:rtl/>
        </w:rPr>
        <w:t xml:space="preserve">תפוסה נמוכה מ-80%, </w:t>
      </w:r>
      <w:r w:rsidR="00EB4FA4" w:rsidRPr="00B7772B">
        <w:rPr>
          <w:rFonts w:hint="cs"/>
          <w:rtl/>
        </w:rPr>
        <w:t xml:space="preserve">עולה </w:t>
      </w:r>
      <w:r>
        <w:rPr>
          <w:rFonts w:hint="cs"/>
          <w:rtl/>
        </w:rPr>
        <w:t>ש</w:t>
      </w:r>
      <w:r w:rsidR="00EB4FA4" w:rsidRPr="00B7772B">
        <w:rPr>
          <w:rFonts w:hint="cs"/>
          <w:rtl/>
        </w:rPr>
        <w:t xml:space="preserve">שיעורם הגבוה ביותר </w:t>
      </w:r>
      <w:r>
        <w:rPr>
          <w:rFonts w:hint="cs"/>
          <w:rtl/>
        </w:rPr>
        <w:t>שורר</w:t>
      </w:r>
      <w:r w:rsidRPr="00B7772B">
        <w:rPr>
          <w:rFonts w:hint="cs"/>
          <w:rtl/>
        </w:rPr>
        <w:t xml:space="preserve"> </w:t>
      </w:r>
      <w:r w:rsidR="00EB4FA4" w:rsidRPr="00B7772B">
        <w:rPr>
          <w:rFonts w:hint="cs"/>
          <w:rtl/>
        </w:rPr>
        <w:t xml:space="preserve">בנכסים </w:t>
      </w:r>
      <w:r>
        <w:rPr>
          <w:rFonts w:hint="cs"/>
          <w:rtl/>
        </w:rPr>
        <w:t>ש</w:t>
      </w:r>
      <w:r w:rsidR="00EB4FA4" w:rsidRPr="00B7772B">
        <w:rPr>
          <w:rFonts w:hint="cs"/>
          <w:rtl/>
        </w:rPr>
        <w:t>משמשים למסחר</w:t>
      </w:r>
      <w:r w:rsidR="00B56556">
        <w:rPr>
          <w:rFonts w:hint="cs"/>
          <w:rtl/>
        </w:rPr>
        <w:t xml:space="preserve"> ואלו מהווים 5% מסך מסגרות האשראי המיועדות למסחר</w:t>
      </w:r>
      <w:r w:rsidR="00EB4FA4" w:rsidRPr="00B7772B">
        <w:rPr>
          <w:rFonts w:hint="cs"/>
          <w:rtl/>
        </w:rPr>
        <w:t>. י</w:t>
      </w:r>
      <w:r>
        <w:rPr>
          <w:rFonts w:hint="cs"/>
          <w:rtl/>
        </w:rPr>
        <w:t>י</w:t>
      </w:r>
      <w:r w:rsidR="00EB4FA4" w:rsidRPr="00B7772B">
        <w:rPr>
          <w:rFonts w:hint="cs"/>
          <w:rtl/>
        </w:rPr>
        <w:t>תכן שהנתון מבטא את השפעת משבר הקורונה</w:t>
      </w:r>
      <w:r>
        <w:rPr>
          <w:rFonts w:hint="cs"/>
          <w:rtl/>
        </w:rPr>
        <w:t>,</w:t>
      </w:r>
      <w:r w:rsidR="00EB4FA4" w:rsidRPr="00B7772B">
        <w:rPr>
          <w:rFonts w:hint="cs"/>
          <w:rtl/>
        </w:rPr>
        <w:t xml:space="preserve"> שהביא לירידה בתפוסה במרכזים המסחריים</w:t>
      </w:r>
      <w:r>
        <w:rPr>
          <w:rFonts w:hint="cs"/>
          <w:rtl/>
        </w:rPr>
        <w:t>,</w:t>
      </w:r>
      <w:r w:rsidR="00EB4FA4" w:rsidRPr="00B7772B">
        <w:rPr>
          <w:rFonts w:hint="cs"/>
          <w:rtl/>
        </w:rPr>
        <w:t xml:space="preserve"> עקב סגירת חנויות.</w:t>
      </w:r>
    </w:p>
    <w:p w:rsidR="003216D2" w:rsidRDefault="00AA697C" w:rsidP="00E959E5">
      <w:pPr>
        <w:pStyle w:val="aa"/>
        <w:tabs>
          <w:tab w:val="clear" w:pos="567"/>
          <w:tab w:val="clear" w:pos="1134"/>
        </w:tabs>
        <w:ind w:left="1160"/>
        <w:jc w:val="center"/>
        <w:outlineLvl w:val="0"/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882C1" wp14:editId="425CF8D6">
                <wp:simplePos x="0" y="0"/>
                <wp:positionH relativeFrom="margin">
                  <wp:posOffset>226060</wp:posOffset>
                </wp:positionH>
                <wp:positionV relativeFrom="paragraph">
                  <wp:posOffset>170815</wp:posOffset>
                </wp:positionV>
                <wp:extent cx="4394958" cy="215153"/>
                <wp:effectExtent l="0" t="0" r="24765" b="13970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958" cy="21515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7B" w:rsidRPr="00133B30" w:rsidRDefault="0032327B" w:rsidP="003232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חלק משמעותי מהנכסים עם תפוסה נמוכה הממומנים בבנקים מיועדים למסחר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1882C1" id="מלבן 25" o:spid="_x0000_s1031" style="position:absolute;left:0;text-align:left;margin-left:17.8pt;margin-top:13.45pt;width:346.0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" fillcolor="white [3201]" strokecolor="black [3213]" strokeweight=".25pt">
                <v:textbox>
                  <w:txbxContent>
                    <w:p w:rsidR="0032327B" w:rsidRPr="00133B30" w:rsidRDefault="0032327B" w:rsidP="003232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חלק משמעותי מהנכסים עם תפוסה נמוכה הממומנים בבנקים מיועדים למסחר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16D2" w:rsidRDefault="003216D2" w:rsidP="00E959E5">
      <w:pPr>
        <w:pStyle w:val="aa"/>
        <w:tabs>
          <w:tab w:val="clear" w:pos="567"/>
          <w:tab w:val="clear" w:pos="1134"/>
        </w:tabs>
        <w:ind w:left="1160"/>
        <w:jc w:val="center"/>
        <w:outlineLvl w:val="0"/>
        <w:rPr>
          <w:b/>
          <w:bCs/>
          <w:u w:val="single"/>
          <w:rtl/>
        </w:rPr>
      </w:pPr>
    </w:p>
    <w:p w:rsidR="00AA697C" w:rsidRDefault="0088579A" w:rsidP="00E959E5">
      <w:pPr>
        <w:pStyle w:val="aa"/>
        <w:tabs>
          <w:tab w:val="clear" w:pos="567"/>
          <w:tab w:val="clear" w:pos="1134"/>
        </w:tabs>
        <w:ind w:left="1160"/>
        <w:jc w:val="center"/>
        <w:outlineLvl w:val="0"/>
        <w:rPr>
          <w:b/>
          <w:bCs/>
          <w:u w:val="single"/>
          <w:rtl/>
        </w:rPr>
      </w:pPr>
      <w:r w:rsidRPr="0088579A">
        <w:rPr>
          <w:noProof/>
        </w:rPr>
        <w:drawing>
          <wp:inline distT="0" distB="0" distL="0" distR="0" wp14:anchorId="3ED3555E" wp14:editId="6FB76106">
            <wp:extent cx="4481195" cy="5273675"/>
            <wp:effectExtent l="0" t="0" r="0" b="317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26" cy="5276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617" w:rsidRPr="00162857" w:rsidRDefault="00D30617" w:rsidP="00EB4FA4">
      <w:pPr>
        <w:pStyle w:val="aa"/>
        <w:tabs>
          <w:tab w:val="clear" w:pos="567"/>
          <w:tab w:val="clear" w:pos="1134"/>
        </w:tabs>
        <w:ind w:left="1440"/>
        <w:outlineLvl w:val="0"/>
        <w:rPr>
          <w:b/>
          <w:bCs/>
          <w:u w:val="single"/>
          <w:rtl/>
        </w:rPr>
      </w:pPr>
    </w:p>
    <w:bookmarkEnd w:id="12"/>
    <w:p w:rsidR="0078266B" w:rsidRPr="0078266B" w:rsidRDefault="0078266B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color w:val="4F81BD" w:themeColor="accent1"/>
          <w:kern w:val="28"/>
          <w:sz w:val="26"/>
          <w:szCs w:val="26"/>
          <w:rtl/>
        </w:rPr>
      </w:pPr>
      <w:r w:rsidRPr="0078266B">
        <w:rPr>
          <w:color w:val="4F81BD" w:themeColor="accent1"/>
          <w:sz w:val="26"/>
          <w:szCs w:val="26"/>
          <w:rtl/>
        </w:rPr>
        <w:br w:type="page"/>
      </w:r>
    </w:p>
    <w:p w:rsidR="004D51F9" w:rsidRPr="00162857" w:rsidRDefault="00A8399D" w:rsidP="00162857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</w:rPr>
      </w:pPr>
      <w:r w:rsidRPr="00162857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lastRenderedPageBreak/>
        <w:t xml:space="preserve">מימון </w:t>
      </w:r>
      <w:r w:rsidR="00284E2D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t>קרקעות</w:t>
      </w:r>
    </w:p>
    <w:p w:rsidR="00E04F55" w:rsidRPr="00162857" w:rsidRDefault="00E04F55" w:rsidP="00E04F55">
      <w:pPr>
        <w:tabs>
          <w:tab w:val="clear" w:pos="567"/>
          <w:tab w:val="clear" w:pos="1134"/>
        </w:tabs>
        <w:outlineLvl w:val="0"/>
        <w:rPr>
          <w:b/>
          <w:bCs/>
          <w:i/>
          <w:iCs/>
          <w:color w:val="4F81BD" w:themeColor="accent1"/>
          <w:kern w:val="28"/>
          <w:sz w:val="22"/>
        </w:rPr>
      </w:pPr>
      <w:r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>נתונים על החשיפה</w:t>
      </w:r>
    </w:p>
    <w:p w:rsidR="00E04F55" w:rsidRDefault="0027009D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</w:pPr>
      <w:bookmarkStart w:id="15" w:name="_Toc33371552"/>
      <w:r w:rsidRPr="0058348E">
        <w:rPr>
          <w:rFonts w:hint="cs"/>
          <w:rtl/>
        </w:rPr>
        <w:t>כ</w:t>
      </w:r>
      <w:r w:rsidR="00977CC5">
        <w:rPr>
          <w:rFonts w:hint="cs"/>
          <w:rtl/>
        </w:rPr>
        <w:t>-</w:t>
      </w:r>
      <w:r w:rsidR="00E04F55" w:rsidRPr="0058348E">
        <w:rPr>
          <w:rFonts w:hint="cs"/>
          <w:rtl/>
        </w:rPr>
        <w:t xml:space="preserve">42 מיליארד </w:t>
      </w:r>
      <w:r w:rsidR="00977CC5">
        <w:rPr>
          <w:rFonts w:hint="cs"/>
          <w:rtl/>
        </w:rPr>
        <w:t>ש"ח</w:t>
      </w:r>
      <w:r w:rsidR="003472C5">
        <w:rPr>
          <w:rFonts w:hint="cs"/>
          <w:rtl/>
        </w:rPr>
        <w:t>,</w:t>
      </w:r>
      <w:r w:rsidR="00E04F55" w:rsidRPr="0058348E">
        <w:rPr>
          <w:rFonts w:hint="cs"/>
          <w:rtl/>
        </w:rPr>
        <w:t xml:space="preserve"> </w:t>
      </w:r>
      <w:r w:rsidR="00977CC5">
        <w:rPr>
          <w:rFonts w:hint="cs"/>
          <w:rtl/>
        </w:rPr>
        <w:t>שהם</w:t>
      </w:r>
      <w:r w:rsidR="00E04F55" w:rsidRPr="0058348E">
        <w:rPr>
          <w:rFonts w:hint="cs"/>
          <w:rtl/>
        </w:rPr>
        <w:t xml:space="preserve"> </w:t>
      </w:r>
      <w:r w:rsidRPr="0058348E">
        <w:rPr>
          <w:rFonts w:hint="cs"/>
          <w:rtl/>
        </w:rPr>
        <w:t>כ</w:t>
      </w:r>
      <w:r w:rsidR="00977CC5">
        <w:rPr>
          <w:rFonts w:hint="cs"/>
          <w:rtl/>
        </w:rPr>
        <w:t>-</w:t>
      </w:r>
      <w:r w:rsidR="00E04F55" w:rsidRPr="0058348E">
        <w:rPr>
          <w:rFonts w:hint="cs"/>
          <w:rtl/>
        </w:rPr>
        <w:t>14% מהאשראי</w:t>
      </w:r>
      <w:r w:rsidR="00E04F55" w:rsidRPr="00E17684">
        <w:rPr>
          <w:rFonts w:hint="cs"/>
          <w:rtl/>
        </w:rPr>
        <w:t xml:space="preserve"> שנבחן</w:t>
      </w:r>
      <w:r w:rsidR="003472C5">
        <w:rPr>
          <w:rFonts w:hint="cs"/>
          <w:rtl/>
        </w:rPr>
        <w:t>,</w:t>
      </w:r>
      <w:r w:rsidR="00E04F55" w:rsidRPr="00E17684">
        <w:rPr>
          <w:rFonts w:hint="cs"/>
          <w:rtl/>
        </w:rPr>
        <w:t xml:space="preserve"> </w:t>
      </w:r>
      <w:r w:rsidR="00381B61">
        <w:rPr>
          <w:rFonts w:hint="cs"/>
          <w:rtl/>
        </w:rPr>
        <w:t>מ</w:t>
      </w:r>
      <w:r w:rsidR="00E04F55" w:rsidRPr="00E17684">
        <w:rPr>
          <w:rFonts w:hint="cs"/>
          <w:rtl/>
        </w:rPr>
        <w:t xml:space="preserve">ממנים </w:t>
      </w:r>
      <w:r w:rsidR="00284E2D">
        <w:rPr>
          <w:rFonts w:hint="cs"/>
          <w:rtl/>
        </w:rPr>
        <w:t>קרקעות</w:t>
      </w:r>
      <w:r w:rsidR="00E04F55" w:rsidRPr="00E17684">
        <w:rPr>
          <w:rFonts w:hint="cs"/>
          <w:rtl/>
        </w:rPr>
        <w:t>.</w:t>
      </w:r>
      <w:r w:rsidR="00E04F55">
        <w:rPr>
          <w:rFonts w:hint="cs"/>
          <w:rtl/>
        </w:rPr>
        <w:t xml:space="preserve"> מערכת הבנקא</w:t>
      </w:r>
      <w:r w:rsidR="005B7E3F">
        <w:rPr>
          <w:rFonts w:hint="cs"/>
          <w:rtl/>
        </w:rPr>
        <w:t>ו</w:t>
      </w:r>
      <w:r w:rsidR="00E04F55">
        <w:rPr>
          <w:rFonts w:hint="cs"/>
          <w:rtl/>
        </w:rPr>
        <w:t>ת מ</w:t>
      </w:r>
      <w:r w:rsidR="003472C5">
        <w:rPr>
          <w:rFonts w:hint="cs"/>
          <w:rtl/>
        </w:rPr>
        <w:t>מ</w:t>
      </w:r>
      <w:r w:rsidR="00E04F55">
        <w:rPr>
          <w:rFonts w:hint="cs"/>
          <w:rtl/>
        </w:rPr>
        <w:t>מנת כ</w:t>
      </w:r>
      <w:r w:rsidR="00977CC5">
        <w:rPr>
          <w:rFonts w:hint="cs"/>
          <w:rtl/>
        </w:rPr>
        <w:t>-</w:t>
      </w:r>
      <w:r w:rsidR="00C409F7">
        <w:rPr>
          <w:rFonts w:hint="cs"/>
          <w:rtl/>
        </w:rPr>
        <w:t>1,100</w:t>
      </w:r>
      <w:r w:rsidR="00E04F55">
        <w:rPr>
          <w:rFonts w:hint="cs"/>
          <w:rtl/>
        </w:rPr>
        <w:t xml:space="preserve"> </w:t>
      </w:r>
      <w:r w:rsidR="003472C5">
        <w:rPr>
          <w:rFonts w:hint="cs"/>
          <w:rtl/>
        </w:rPr>
        <w:t xml:space="preserve">יחידות </w:t>
      </w:r>
      <w:r w:rsidR="00E04F55">
        <w:rPr>
          <w:rFonts w:hint="cs"/>
          <w:rtl/>
        </w:rPr>
        <w:t>קרקע.</w:t>
      </w:r>
    </w:p>
    <w:p w:rsidR="003F026C" w:rsidRDefault="00921521" w:rsidP="0032327B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  <w:rPr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2FABD" wp14:editId="0E3A0805">
                <wp:simplePos x="0" y="0"/>
                <wp:positionH relativeFrom="margin">
                  <wp:align>center</wp:align>
                </wp:positionH>
                <wp:positionV relativeFrom="paragraph">
                  <wp:posOffset>1004570</wp:posOffset>
                </wp:positionV>
                <wp:extent cx="4394958" cy="215153"/>
                <wp:effectExtent l="0" t="0" r="24765" b="13970"/>
                <wp:wrapNone/>
                <wp:docPr id="35" name="מלב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958" cy="21515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571" w:rsidRPr="00133B30" w:rsidRDefault="00921521" w:rsidP="00D915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מרבית הקרקעות הממומנות ע"י הבנקים מיועדות לבנייה למגורים</w:t>
                            </w:r>
                            <w:r w:rsidR="00D9157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62FABD" id="מלבן 35" o:spid="_x0000_s1032" style="position:absolute;left:0;text-align:left;margin-left:0;margin-top:79.1pt;width:346.05pt;height:16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" fillcolor="white [3201]" strokecolor="black [3213]" strokeweight=".25pt">
                <v:textbox>
                  <w:txbxContent>
                    <w:p w:rsidR="00D91571" w:rsidRPr="00133B30" w:rsidRDefault="00921521" w:rsidP="00D915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מרבית הקרקעות הממומנות ע"י הבנקים מיועדות לבנייה למגורים</w:t>
                      </w:r>
                      <w:r w:rsidR="00D9157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7CC5">
        <w:rPr>
          <w:rFonts w:hint="cs"/>
          <w:rtl/>
        </w:rPr>
        <w:t>כ-</w:t>
      </w:r>
      <w:r w:rsidR="001C6E81">
        <w:rPr>
          <w:rFonts w:hint="cs"/>
          <w:rtl/>
        </w:rPr>
        <w:t>78</w:t>
      </w:r>
      <w:r w:rsidR="00E04F55" w:rsidRPr="00E17684">
        <w:rPr>
          <w:rFonts w:hint="cs"/>
          <w:rtl/>
        </w:rPr>
        <w:t xml:space="preserve">% מהחשיפה היא למימון </w:t>
      </w:r>
      <w:r w:rsidR="00284E2D">
        <w:rPr>
          <w:rFonts w:hint="cs"/>
          <w:rtl/>
        </w:rPr>
        <w:t>קרקעות</w:t>
      </w:r>
      <w:r w:rsidR="00C7385F">
        <w:rPr>
          <w:rFonts w:hint="cs"/>
          <w:rtl/>
        </w:rPr>
        <w:t xml:space="preserve"> במסגרת פרוי</w:t>
      </w:r>
      <w:r w:rsidR="00A434E6">
        <w:rPr>
          <w:rFonts w:hint="cs"/>
          <w:rtl/>
        </w:rPr>
        <w:t>י</w:t>
      </w:r>
      <w:r w:rsidR="00C7385F">
        <w:rPr>
          <w:rFonts w:hint="cs"/>
          <w:rtl/>
        </w:rPr>
        <w:t>קט בני</w:t>
      </w:r>
      <w:r w:rsidR="00510AA6">
        <w:rPr>
          <w:rFonts w:hint="cs"/>
          <w:rtl/>
        </w:rPr>
        <w:t>י</w:t>
      </w:r>
      <w:r w:rsidR="00C7385F">
        <w:rPr>
          <w:rFonts w:hint="cs"/>
          <w:rtl/>
        </w:rPr>
        <w:t>ה למגורים (</w:t>
      </w:r>
      <w:r w:rsidR="00977CC5">
        <w:rPr>
          <w:rFonts w:hint="cs"/>
          <w:rtl/>
        </w:rPr>
        <w:t>כ-</w:t>
      </w:r>
      <w:r w:rsidR="003F026C">
        <w:rPr>
          <w:rFonts w:hint="cs"/>
          <w:rtl/>
        </w:rPr>
        <w:t>30% במסגרת פרו</w:t>
      </w:r>
      <w:r w:rsidR="00A434E6">
        <w:rPr>
          <w:rFonts w:hint="cs"/>
          <w:rtl/>
        </w:rPr>
        <w:t>י</w:t>
      </w:r>
      <w:r w:rsidR="003F026C">
        <w:rPr>
          <w:rFonts w:hint="cs"/>
          <w:rtl/>
        </w:rPr>
        <w:t xml:space="preserve">יקט </w:t>
      </w:r>
      <w:r w:rsidR="003472C5">
        <w:rPr>
          <w:rFonts w:hint="cs"/>
          <w:rtl/>
        </w:rPr>
        <w:t>"</w:t>
      </w:r>
      <w:r w:rsidR="003F026C">
        <w:rPr>
          <w:rFonts w:hint="cs"/>
          <w:rtl/>
        </w:rPr>
        <w:t>מחיר למשתכן</w:t>
      </w:r>
      <w:r w:rsidR="003472C5">
        <w:rPr>
          <w:rFonts w:hint="cs"/>
          <w:rtl/>
        </w:rPr>
        <w:t>"</w:t>
      </w:r>
      <w:r w:rsidR="003F026C">
        <w:rPr>
          <w:rFonts w:hint="cs"/>
          <w:rtl/>
        </w:rPr>
        <w:t xml:space="preserve"> ו</w:t>
      </w:r>
      <w:r w:rsidR="003472C5">
        <w:rPr>
          <w:rFonts w:hint="cs"/>
          <w:rtl/>
        </w:rPr>
        <w:t>כ-</w:t>
      </w:r>
      <w:r w:rsidR="003F026C">
        <w:rPr>
          <w:rFonts w:hint="cs"/>
          <w:rtl/>
        </w:rPr>
        <w:t xml:space="preserve">48% ללא </w:t>
      </w:r>
      <w:r w:rsidR="003472C5">
        <w:rPr>
          <w:rFonts w:hint="cs"/>
          <w:rtl/>
        </w:rPr>
        <w:t>"</w:t>
      </w:r>
      <w:r w:rsidR="003F026C">
        <w:rPr>
          <w:rFonts w:hint="cs"/>
          <w:rtl/>
        </w:rPr>
        <w:t>מחיר למשתכן</w:t>
      </w:r>
      <w:r w:rsidR="003472C5">
        <w:rPr>
          <w:rFonts w:hint="cs"/>
          <w:rtl/>
        </w:rPr>
        <w:t>"</w:t>
      </w:r>
      <w:r w:rsidR="003F026C">
        <w:rPr>
          <w:rFonts w:hint="cs"/>
          <w:rtl/>
        </w:rPr>
        <w:t xml:space="preserve">), </w:t>
      </w:r>
      <w:r w:rsidR="00E04F55" w:rsidRPr="00E17684">
        <w:rPr>
          <w:rFonts w:hint="cs"/>
          <w:rtl/>
        </w:rPr>
        <w:t>כ-</w:t>
      </w:r>
      <w:r w:rsidR="001C6E81">
        <w:rPr>
          <w:rFonts w:hint="cs"/>
          <w:rtl/>
        </w:rPr>
        <w:t>7</w:t>
      </w:r>
      <w:r w:rsidR="00E04F55" w:rsidRPr="00E17684">
        <w:rPr>
          <w:rFonts w:hint="cs"/>
          <w:rtl/>
        </w:rPr>
        <w:t xml:space="preserve">% למימון </w:t>
      </w:r>
      <w:r w:rsidR="00284E2D">
        <w:rPr>
          <w:rFonts w:hint="cs"/>
          <w:rtl/>
        </w:rPr>
        <w:t>קרקעות</w:t>
      </w:r>
      <w:r w:rsidR="00E04F55" w:rsidRPr="00E17684">
        <w:rPr>
          <w:rFonts w:hint="cs"/>
          <w:rtl/>
        </w:rPr>
        <w:t xml:space="preserve"> </w:t>
      </w:r>
      <w:r w:rsidR="003472C5">
        <w:rPr>
          <w:rFonts w:hint="cs"/>
          <w:rtl/>
        </w:rPr>
        <w:t>ש</w:t>
      </w:r>
      <w:r w:rsidR="003472C5" w:rsidRPr="00E17684">
        <w:rPr>
          <w:rFonts w:hint="cs"/>
          <w:rtl/>
        </w:rPr>
        <w:t xml:space="preserve">מיועדות </w:t>
      </w:r>
      <w:r w:rsidR="00E04F55" w:rsidRPr="00E17684">
        <w:rPr>
          <w:rFonts w:hint="cs"/>
          <w:rtl/>
        </w:rPr>
        <w:t xml:space="preserve">לבניית נכסים מניבים </w:t>
      </w:r>
      <w:r w:rsidR="00C7385F">
        <w:rPr>
          <w:rFonts w:hint="cs"/>
          <w:rtl/>
        </w:rPr>
        <w:t>למסחר</w:t>
      </w:r>
      <w:r w:rsidR="003F026C">
        <w:rPr>
          <w:rFonts w:hint="cs"/>
          <w:rtl/>
        </w:rPr>
        <w:t xml:space="preserve"> ו</w:t>
      </w:r>
      <w:r w:rsidR="003472C5">
        <w:rPr>
          <w:rFonts w:hint="cs"/>
          <w:rtl/>
        </w:rPr>
        <w:t>למלונאות</w:t>
      </w:r>
      <w:r w:rsidR="00C7385F">
        <w:rPr>
          <w:rFonts w:hint="cs"/>
          <w:rtl/>
        </w:rPr>
        <w:t xml:space="preserve">, </w:t>
      </w:r>
      <w:r w:rsidR="003472C5">
        <w:rPr>
          <w:rFonts w:hint="cs"/>
          <w:rtl/>
        </w:rPr>
        <w:t>כ-</w:t>
      </w:r>
      <w:r w:rsidR="00C7385F">
        <w:rPr>
          <w:rFonts w:hint="cs"/>
          <w:rtl/>
        </w:rPr>
        <w:t xml:space="preserve">10% למימון </w:t>
      </w:r>
      <w:r w:rsidR="00284E2D">
        <w:rPr>
          <w:rFonts w:hint="cs"/>
          <w:rtl/>
        </w:rPr>
        <w:t>קרקעות</w:t>
      </w:r>
      <w:r w:rsidR="00C7385F">
        <w:rPr>
          <w:rFonts w:hint="cs"/>
          <w:rtl/>
        </w:rPr>
        <w:t xml:space="preserve"> </w:t>
      </w:r>
      <w:r w:rsidR="003F026C">
        <w:rPr>
          <w:rFonts w:hint="cs"/>
          <w:rtl/>
        </w:rPr>
        <w:t>לצרכים אחרים</w:t>
      </w:r>
      <w:r w:rsidR="005B7E3F">
        <w:rPr>
          <w:rFonts w:hint="cs"/>
          <w:rtl/>
        </w:rPr>
        <w:t xml:space="preserve"> ו</w:t>
      </w:r>
      <w:r w:rsidR="00E04F55" w:rsidRPr="0058348E">
        <w:rPr>
          <w:rFonts w:hint="cs"/>
          <w:rtl/>
        </w:rPr>
        <w:t>רק</w:t>
      </w:r>
      <w:r w:rsidR="0032327B">
        <w:rPr>
          <w:rFonts w:hint="cs"/>
          <w:rtl/>
        </w:rPr>
        <w:t xml:space="preserve"> כ-</w:t>
      </w:r>
      <w:r w:rsidR="00E04F55" w:rsidRPr="0058348E">
        <w:rPr>
          <w:rFonts w:hint="cs"/>
          <w:rtl/>
        </w:rPr>
        <w:t>5% מועמדים</w:t>
      </w:r>
      <w:r w:rsidR="00E04F55" w:rsidRPr="00E17684">
        <w:rPr>
          <w:rFonts w:hint="cs"/>
          <w:rtl/>
        </w:rPr>
        <w:t xml:space="preserve"> למימו</w:t>
      </w:r>
      <w:r w:rsidR="003F026C">
        <w:rPr>
          <w:rFonts w:hint="cs"/>
          <w:rtl/>
        </w:rPr>
        <w:t xml:space="preserve">ן </w:t>
      </w:r>
      <w:r w:rsidR="00284E2D">
        <w:rPr>
          <w:rFonts w:hint="cs"/>
          <w:rtl/>
        </w:rPr>
        <w:t>קרקעות</w:t>
      </w:r>
      <w:r w:rsidR="003F026C">
        <w:rPr>
          <w:rFonts w:hint="cs"/>
          <w:rtl/>
        </w:rPr>
        <w:t xml:space="preserve"> "</w:t>
      </w:r>
      <w:r w:rsidR="003472C5">
        <w:rPr>
          <w:rFonts w:hint="cs"/>
          <w:rtl/>
        </w:rPr>
        <w:t>שלא</w:t>
      </w:r>
      <w:r w:rsidR="0032040E">
        <w:rPr>
          <w:rFonts w:hint="cs"/>
          <w:rtl/>
        </w:rPr>
        <w:t>־</w:t>
      </w:r>
      <w:r w:rsidR="003F026C">
        <w:rPr>
          <w:rFonts w:hint="cs"/>
          <w:rtl/>
        </w:rPr>
        <w:t xml:space="preserve">זמינות לבנייה" </w:t>
      </w:r>
      <w:r w:rsidR="003472C5">
        <w:rPr>
          <w:rFonts w:hint="cs"/>
          <w:rtl/>
        </w:rPr>
        <w:t>ו</w:t>
      </w:r>
      <w:r w:rsidR="003F026C">
        <w:rPr>
          <w:rFonts w:hint="cs"/>
          <w:rtl/>
        </w:rPr>
        <w:t>שלא מת</w:t>
      </w:r>
      <w:r w:rsidR="00B56556">
        <w:rPr>
          <w:rFonts w:hint="cs"/>
          <w:rtl/>
        </w:rPr>
        <w:t>ו</w:t>
      </w:r>
      <w:r w:rsidR="003F026C">
        <w:rPr>
          <w:rFonts w:hint="cs"/>
          <w:rtl/>
        </w:rPr>
        <w:t>כננות להניב הכנסות.</w:t>
      </w:r>
    </w:p>
    <w:p w:rsidR="00921521" w:rsidRDefault="00921521" w:rsidP="00921521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rPr>
          <w:rtl/>
        </w:rPr>
      </w:pPr>
    </w:p>
    <w:p w:rsidR="00921521" w:rsidRDefault="0010254E" w:rsidP="00D91571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  <w:jc w:val="center"/>
      </w:pPr>
      <w:r>
        <w:rPr>
          <w:noProof/>
        </w:rPr>
        <w:drawing>
          <wp:inline distT="0" distB="0" distL="0" distR="0" wp14:anchorId="32FD23B7" wp14:editId="09E89218">
            <wp:extent cx="4450715" cy="2828925"/>
            <wp:effectExtent l="0" t="0" r="6985" b="952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F55" w:rsidRPr="00162857" w:rsidRDefault="00E04F55" w:rsidP="00637426">
      <w:pPr>
        <w:tabs>
          <w:tab w:val="clear" w:pos="567"/>
          <w:tab w:val="clear" w:pos="1134"/>
        </w:tabs>
        <w:outlineLvl w:val="0"/>
        <w:rPr>
          <w:b/>
          <w:bCs/>
          <w:i/>
          <w:iCs/>
          <w:color w:val="4F81BD" w:themeColor="accent1"/>
          <w:kern w:val="28"/>
          <w:sz w:val="22"/>
          <w:rtl/>
        </w:rPr>
      </w:pPr>
      <w:r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t>הערכת סיכון כוללת</w:t>
      </w:r>
    </w:p>
    <w:p w:rsidR="00E04F55" w:rsidRPr="003F026C" w:rsidRDefault="00E04F55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</w:pPr>
      <w:r w:rsidRPr="003F026C">
        <w:rPr>
          <w:rFonts w:hint="cs"/>
          <w:rtl/>
        </w:rPr>
        <w:t xml:space="preserve">ככלל, האשראי למימון </w:t>
      </w:r>
      <w:r w:rsidR="00284E2D">
        <w:rPr>
          <w:rFonts w:hint="cs"/>
          <w:rtl/>
        </w:rPr>
        <w:t>קרקעות</w:t>
      </w:r>
      <w:r w:rsidRPr="003F026C">
        <w:rPr>
          <w:rFonts w:hint="cs"/>
          <w:rtl/>
        </w:rPr>
        <w:t xml:space="preserve"> במערכת הבנקא</w:t>
      </w:r>
      <w:r w:rsidR="005B7E3F">
        <w:rPr>
          <w:rFonts w:hint="cs"/>
          <w:rtl/>
        </w:rPr>
        <w:t>ו</w:t>
      </w:r>
      <w:r w:rsidRPr="003F026C">
        <w:rPr>
          <w:rFonts w:hint="cs"/>
          <w:rtl/>
        </w:rPr>
        <w:t>ת מוערך על ידי הפיקוח על הבנקים ב</w:t>
      </w:r>
      <w:r w:rsidR="00CE658E">
        <w:rPr>
          <w:rFonts w:hint="cs"/>
          <w:rtl/>
        </w:rPr>
        <w:t xml:space="preserve">רמת </w:t>
      </w:r>
      <w:r w:rsidRPr="003F026C">
        <w:rPr>
          <w:rFonts w:hint="cs"/>
          <w:rtl/>
        </w:rPr>
        <w:t>סיכון בינוני</w:t>
      </w:r>
      <w:r w:rsidR="00CE658E">
        <w:rPr>
          <w:rFonts w:hint="cs"/>
          <w:rtl/>
        </w:rPr>
        <w:t>ת־</w:t>
      </w:r>
      <w:r w:rsidR="00CE658E" w:rsidRPr="003F026C">
        <w:rPr>
          <w:rFonts w:hint="cs"/>
          <w:rtl/>
        </w:rPr>
        <w:t>נמו</w:t>
      </w:r>
      <w:r w:rsidR="00CE658E">
        <w:rPr>
          <w:rFonts w:hint="cs"/>
          <w:rtl/>
        </w:rPr>
        <w:t>כה</w:t>
      </w:r>
      <w:r w:rsidR="003472C5">
        <w:rPr>
          <w:rFonts w:hint="cs"/>
          <w:rtl/>
        </w:rPr>
        <w:t xml:space="preserve"> וזה </w:t>
      </w:r>
      <w:r w:rsidRPr="003F026C">
        <w:rPr>
          <w:rFonts w:hint="cs"/>
          <w:rtl/>
        </w:rPr>
        <w:t xml:space="preserve">לנוכח העובדה </w:t>
      </w:r>
      <w:r w:rsidR="003472C5">
        <w:rPr>
          <w:rFonts w:hint="cs"/>
          <w:rtl/>
        </w:rPr>
        <w:t>ש</w:t>
      </w:r>
      <w:r w:rsidRPr="003F026C">
        <w:rPr>
          <w:rFonts w:hint="cs"/>
          <w:rtl/>
        </w:rPr>
        <w:t xml:space="preserve">עיקר המימון הוא באמצעות </w:t>
      </w:r>
      <w:r w:rsidR="00284E2D">
        <w:rPr>
          <w:rFonts w:hint="cs"/>
          <w:rtl/>
        </w:rPr>
        <w:t>קרקעות</w:t>
      </w:r>
      <w:r w:rsidR="00284E2D" w:rsidRPr="003F026C">
        <w:rPr>
          <w:rFonts w:hint="cs"/>
          <w:rtl/>
        </w:rPr>
        <w:t xml:space="preserve"> </w:t>
      </w:r>
      <w:r w:rsidRPr="003F026C">
        <w:rPr>
          <w:rFonts w:hint="cs"/>
          <w:rtl/>
        </w:rPr>
        <w:t xml:space="preserve">עם </w:t>
      </w:r>
      <w:r w:rsidR="003F026C" w:rsidRPr="003F026C">
        <w:rPr>
          <w:rFonts w:hint="cs"/>
          <w:rtl/>
        </w:rPr>
        <w:t>תכניות בנ</w:t>
      </w:r>
      <w:r w:rsidR="00510AA6">
        <w:rPr>
          <w:rFonts w:hint="cs"/>
          <w:rtl/>
        </w:rPr>
        <w:t>י</w:t>
      </w:r>
      <w:r w:rsidR="003F026C" w:rsidRPr="003F026C">
        <w:rPr>
          <w:rFonts w:hint="cs"/>
          <w:rtl/>
        </w:rPr>
        <w:t xml:space="preserve">יה עירוניות </w:t>
      </w:r>
      <w:r w:rsidR="006912C8">
        <w:rPr>
          <w:rFonts w:hint="cs"/>
          <w:rtl/>
        </w:rPr>
        <w:t>(תב"ע)</w:t>
      </w:r>
      <w:r w:rsidR="003F026C" w:rsidRPr="003F026C">
        <w:rPr>
          <w:rFonts w:hint="cs"/>
          <w:rtl/>
        </w:rPr>
        <w:t xml:space="preserve"> מאושר</w:t>
      </w:r>
      <w:r w:rsidR="003472C5">
        <w:rPr>
          <w:rFonts w:hint="cs"/>
          <w:rtl/>
        </w:rPr>
        <w:t>ו</w:t>
      </w:r>
      <w:r w:rsidR="003F026C" w:rsidRPr="003F026C">
        <w:rPr>
          <w:rFonts w:hint="cs"/>
          <w:rtl/>
        </w:rPr>
        <w:t xml:space="preserve">ת, </w:t>
      </w:r>
      <w:r w:rsidR="003472C5">
        <w:rPr>
          <w:rFonts w:hint="cs"/>
          <w:rtl/>
        </w:rPr>
        <w:t>ש</w:t>
      </w:r>
      <w:r w:rsidR="003472C5" w:rsidRPr="003F026C">
        <w:rPr>
          <w:rFonts w:hint="cs"/>
          <w:rtl/>
        </w:rPr>
        <w:t xml:space="preserve">מיועדות </w:t>
      </w:r>
      <w:r w:rsidRPr="003F026C">
        <w:rPr>
          <w:rFonts w:hint="cs"/>
          <w:rtl/>
        </w:rPr>
        <w:t xml:space="preserve">לבנייה </w:t>
      </w:r>
      <w:r w:rsidR="003F026C" w:rsidRPr="003F026C">
        <w:rPr>
          <w:rFonts w:hint="cs"/>
          <w:rtl/>
        </w:rPr>
        <w:t xml:space="preserve">במסגרת פרוייקטים </w:t>
      </w:r>
      <w:r w:rsidR="003472C5">
        <w:rPr>
          <w:rFonts w:hint="cs"/>
          <w:rtl/>
        </w:rPr>
        <w:t>ש</w:t>
      </w:r>
      <w:r w:rsidR="003472C5" w:rsidRPr="003F026C">
        <w:rPr>
          <w:rFonts w:hint="cs"/>
          <w:rtl/>
        </w:rPr>
        <w:t xml:space="preserve">מלווים </w:t>
      </w:r>
      <w:r w:rsidRPr="003F026C">
        <w:rPr>
          <w:rFonts w:hint="cs"/>
          <w:rtl/>
        </w:rPr>
        <w:t>ע</w:t>
      </w:r>
      <w:r w:rsidR="003472C5">
        <w:rPr>
          <w:rFonts w:hint="cs"/>
          <w:rtl/>
        </w:rPr>
        <w:t>ל ידי</w:t>
      </w:r>
      <w:r w:rsidRPr="003F026C">
        <w:rPr>
          <w:rFonts w:hint="cs"/>
          <w:rtl/>
        </w:rPr>
        <w:t xml:space="preserve"> </w:t>
      </w:r>
      <w:r w:rsidR="003F026C" w:rsidRPr="003F026C">
        <w:rPr>
          <w:rFonts w:hint="cs"/>
          <w:rtl/>
        </w:rPr>
        <w:t>מערכת הבנקא</w:t>
      </w:r>
      <w:r w:rsidR="005B7E3F">
        <w:rPr>
          <w:rFonts w:hint="cs"/>
          <w:rtl/>
        </w:rPr>
        <w:t>ו</w:t>
      </w:r>
      <w:r w:rsidR="003F026C" w:rsidRPr="003F026C">
        <w:rPr>
          <w:rFonts w:hint="cs"/>
          <w:rtl/>
        </w:rPr>
        <w:t xml:space="preserve">ת </w:t>
      </w:r>
      <w:r w:rsidRPr="003F026C">
        <w:rPr>
          <w:rFonts w:hint="cs"/>
          <w:rtl/>
        </w:rPr>
        <w:t>במימון סגור</w:t>
      </w:r>
      <w:r w:rsidR="003F026C">
        <w:rPr>
          <w:rFonts w:hint="cs"/>
          <w:rtl/>
        </w:rPr>
        <w:t xml:space="preserve"> </w:t>
      </w:r>
      <w:r w:rsidR="001C6E81">
        <w:rPr>
          <w:rFonts w:hint="cs"/>
          <w:rtl/>
        </w:rPr>
        <w:t>ו</w:t>
      </w:r>
      <w:r w:rsidR="003472C5">
        <w:rPr>
          <w:rFonts w:hint="cs"/>
          <w:rtl/>
        </w:rPr>
        <w:t>ש</w:t>
      </w:r>
      <w:r w:rsidR="003F026C">
        <w:rPr>
          <w:rFonts w:hint="cs"/>
          <w:rtl/>
        </w:rPr>
        <w:t>מוערכים על ידי</w:t>
      </w:r>
      <w:r w:rsidR="00DF5F96">
        <w:rPr>
          <w:rFonts w:hint="cs"/>
          <w:rtl/>
        </w:rPr>
        <w:t xml:space="preserve"> הפיקוח על הבנקים</w:t>
      </w:r>
      <w:r w:rsidR="003F026C">
        <w:rPr>
          <w:rFonts w:hint="cs"/>
          <w:rtl/>
        </w:rPr>
        <w:t xml:space="preserve"> ב</w:t>
      </w:r>
      <w:r w:rsidR="00CE658E">
        <w:rPr>
          <w:rFonts w:hint="cs"/>
          <w:rtl/>
        </w:rPr>
        <w:t xml:space="preserve">רמת </w:t>
      </w:r>
      <w:r w:rsidR="003F026C">
        <w:rPr>
          <w:rFonts w:hint="cs"/>
          <w:rtl/>
        </w:rPr>
        <w:t xml:space="preserve">סיכון </w:t>
      </w:r>
      <w:r w:rsidR="00CE658E">
        <w:rPr>
          <w:rFonts w:hint="cs"/>
          <w:rtl/>
        </w:rPr>
        <w:t>נמוכה</w:t>
      </w:r>
      <w:r w:rsidRPr="003F026C">
        <w:rPr>
          <w:rFonts w:hint="cs"/>
          <w:rtl/>
        </w:rPr>
        <w:t>.</w:t>
      </w:r>
    </w:p>
    <w:p w:rsidR="00DF5F96" w:rsidRPr="00DF5F96" w:rsidRDefault="00DF5F96" w:rsidP="00162857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</w:pPr>
      <w:r>
        <w:rPr>
          <w:rFonts w:hint="cs"/>
          <w:rtl/>
        </w:rPr>
        <w:t xml:space="preserve">מימון </w:t>
      </w:r>
      <w:r w:rsidR="00284E2D">
        <w:rPr>
          <w:rFonts w:hint="cs"/>
          <w:rtl/>
        </w:rPr>
        <w:t>קרקעות</w:t>
      </w:r>
      <w:r w:rsidR="00284E2D" w:rsidRPr="003F026C">
        <w:rPr>
          <w:rFonts w:hint="cs"/>
          <w:rtl/>
        </w:rPr>
        <w:t xml:space="preserve"> </w:t>
      </w:r>
      <w:r w:rsidR="003472C5">
        <w:rPr>
          <w:rFonts w:hint="cs"/>
          <w:rtl/>
        </w:rPr>
        <w:t xml:space="preserve">שמיועדות </w:t>
      </w:r>
      <w:r w:rsidR="00037BEF">
        <w:rPr>
          <w:rFonts w:hint="cs"/>
          <w:rtl/>
        </w:rPr>
        <w:t>לבניית נכסים מניב</w:t>
      </w:r>
      <w:r>
        <w:rPr>
          <w:rFonts w:hint="cs"/>
          <w:rtl/>
        </w:rPr>
        <w:t>ים</w:t>
      </w:r>
      <w:r w:rsidR="003472C5">
        <w:rPr>
          <w:rFonts w:hint="cs"/>
          <w:rtl/>
        </w:rPr>
        <w:t>,</w:t>
      </w:r>
      <w:r>
        <w:rPr>
          <w:rFonts w:hint="cs"/>
          <w:rtl/>
        </w:rPr>
        <w:t xml:space="preserve"> מוער</w:t>
      </w:r>
      <w:r w:rsidR="00037BEF">
        <w:rPr>
          <w:rFonts w:hint="cs"/>
          <w:rtl/>
        </w:rPr>
        <w:t>ך</w:t>
      </w:r>
      <w:r>
        <w:rPr>
          <w:rFonts w:hint="cs"/>
          <w:rtl/>
        </w:rPr>
        <w:t xml:space="preserve"> על ידי</w:t>
      </w:r>
      <w:r w:rsidR="00037BEF">
        <w:rPr>
          <w:rFonts w:hint="cs"/>
          <w:rtl/>
        </w:rPr>
        <w:t xml:space="preserve"> הפיקוח על הבנקים</w:t>
      </w:r>
      <w:r>
        <w:rPr>
          <w:rFonts w:hint="cs"/>
          <w:rtl/>
        </w:rPr>
        <w:t xml:space="preserve"> ב</w:t>
      </w:r>
      <w:r w:rsidR="00CE658E">
        <w:rPr>
          <w:rFonts w:hint="cs"/>
          <w:rtl/>
        </w:rPr>
        <w:t xml:space="preserve">רמת </w:t>
      </w:r>
      <w:r>
        <w:rPr>
          <w:rFonts w:hint="cs"/>
          <w:rtl/>
        </w:rPr>
        <w:t>סיכון בינוני</w:t>
      </w:r>
      <w:r w:rsidR="00CE658E">
        <w:rPr>
          <w:rFonts w:hint="cs"/>
          <w:rtl/>
        </w:rPr>
        <w:t>ת</w:t>
      </w:r>
      <w:r w:rsidR="003472C5">
        <w:rPr>
          <w:rFonts w:hint="cs"/>
          <w:rtl/>
        </w:rPr>
        <w:t xml:space="preserve"> וזה </w:t>
      </w:r>
      <w:r>
        <w:rPr>
          <w:rFonts w:hint="cs"/>
          <w:rtl/>
        </w:rPr>
        <w:t xml:space="preserve">לנוכח העובדה </w:t>
      </w:r>
      <w:r w:rsidR="003472C5">
        <w:rPr>
          <w:rFonts w:hint="cs"/>
          <w:rtl/>
        </w:rPr>
        <w:t>ש</w:t>
      </w:r>
      <w:r>
        <w:rPr>
          <w:rFonts w:hint="cs"/>
          <w:rtl/>
        </w:rPr>
        <w:t>גם כאן</w:t>
      </w:r>
      <w:r w:rsidR="003472C5">
        <w:rPr>
          <w:rFonts w:hint="cs"/>
          <w:rtl/>
        </w:rPr>
        <w:t>,</w:t>
      </w:r>
      <w:r>
        <w:rPr>
          <w:rFonts w:hint="cs"/>
          <w:rtl/>
        </w:rPr>
        <w:t xml:space="preserve"> ב</w:t>
      </w:r>
      <w:r w:rsidR="00977CC5">
        <w:rPr>
          <w:rFonts w:hint="cs"/>
          <w:rtl/>
        </w:rPr>
        <w:t>רוב</w:t>
      </w:r>
      <w:r>
        <w:rPr>
          <w:rFonts w:hint="cs"/>
          <w:rtl/>
        </w:rPr>
        <w:t xml:space="preserve"> המקרים, שלב הבנייה יתנהל </w:t>
      </w:r>
      <w:r w:rsidR="003472C5">
        <w:rPr>
          <w:rFonts w:hint="cs"/>
          <w:rtl/>
        </w:rPr>
        <w:t xml:space="preserve">כפרוייקט </w:t>
      </w:r>
      <w:r>
        <w:rPr>
          <w:rFonts w:hint="cs"/>
          <w:rtl/>
        </w:rPr>
        <w:t>סגור במערכת הבנקא</w:t>
      </w:r>
      <w:r w:rsidR="005B7E3F">
        <w:rPr>
          <w:rFonts w:hint="cs"/>
          <w:rtl/>
        </w:rPr>
        <w:t>ו</w:t>
      </w:r>
      <w:r>
        <w:rPr>
          <w:rFonts w:hint="cs"/>
          <w:rtl/>
        </w:rPr>
        <w:t xml:space="preserve">ת. עם </w:t>
      </w:r>
      <w:r w:rsidR="003472C5">
        <w:rPr>
          <w:rFonts w:hint="cs"/>
          <w:rtl/>
        </w:rPr>
        <w:t>זה,</w:t>
      </w:r>
      <w:r>
        <w:rPr>
          <w:rFonts w:hint="cs"/>
          <w:rtl/>
        </w:rPr>
        <w:t xml:space="preserve"> ההנבה מהנכס תגיע בשלב מאוחר יותר.</w:t>
      </w:r>
    </w:p>
    <w:p w:rsidR="0078266B" w:rsidRDefault="00DF5F96" w:rsidP="00B56556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</w:pPr>
      <w:r>
        <w:rPr>
          <w:rFonts w:hint="cs"/>
          <w:rtl/>
        </w:rPr>
        <w:t xml:space="preserve">מימון </w:t>
      </w:r>
      <w:r w:rsidR="00284E2D">
        <w:rPr>
          <w:rFonts w:hint="cs"/>
          <w:rtl/>
        </w:rPr>
        <w:t>קרקעות</w:t>
      </w:r>
      <w:r w:rsidR="00284E2D" w:rsidRPr="003F026C">
        <w:rPr>
          <w:rFonts w:hint="cs"/>
          <w:rtl/>
        </w:rPr>
        <w:t xml:space="preserve"> </w:t>
      </w:r>
      <w:r w:rsidR="003472C5">
        <w:rPr>
          <w:rFonts w:hint="cs"/>
          <w:rtl/>
        </w:rPr>
        <w:t xml:space="preserve">שלא </w:t>
      </w:r>
      <w:r>
        <w:rPr>
          <w:rFonts w:hint="cs"/>
          <w:rtl/>
        </w:rPr>
        <w:t>מיועדת לבנייה ואין לגביה</w:t>
      </w:r>
      <w:r w:rsidR="00284E2D">
        <w:rPr>
          <w:rFonts w:hint="cs"/>
          <w:rtl/>
        </w:rPr>
        <w:t>ן</w:t>
      </w:r>
      <w:r>
        <w:rPr>
          <w:rFonts w:hint="cs"/>
          <w:rtl/>
        </w:rPr>
        <w:t xml:space="preserve"> תב"ע </w:t>
      </w:r>
      <w:r w:rsidR="00B56556">
        <w:rPr>
          <w:rFonts w:hint="cs"/>
          <w:rtl/>
        </w:rPr>
        <w:t>מאושרת</w:t>
      </w:r>
      <w:r>
        <w:rPr>
          <w:rFonts w:hint="cs"/>
          <w:rtl/>
        </w:rPr>
        <w:t xml:space="preserve">, </w:t>
      </w:r>
      <w:r w:rsidR="003D09E2">
        <w:rPr>
          <w:rFonts w:hint="cs"/>
          <w:rtl/>
        </w:rPr>
        <w:t xml:space="preserve">שחלקן בתמהיל המימון </w:t>
      </w:r>
      <w:r w:rsidR="00B56556">
        <w:rPr>
          <w:rFonts w:hint="cs"/>
          <w:rtl/>
        </w:rPr>
        <w:t>לענף</w:t>
      </w:r>
      <w:r w:rsidR="003D09E2">
        <w:rPr>
          <w:rFonts w:hint="cs"/>
          <w:rtl/>
        </w:rPr>
        <w:t xml:space="preserve"> במערכת הבנקאית בישראל זניח, </w:t>
      </w:r>
      <w:r w:rsidR="00284E2D">
        <w:rPr>
          <w:rFonts w:hint="cs"/>
          <w:rtl/>
        </w:rPr>
        <w:t xml:space="preserve">מוערך </w:t>
      </w:r>
      <w:r>
        <w:rPr>
          <w:rFonts w:hint="cs"/>
          <w:rtl/>
        </w:rPr>
        <w:t>על ידי הפיקוח על הבנקים ב</w:t>
      </w:r>
      <w:r w:rsidR="00CE658E">
        <w:rPr>
          <w:rFonts w:hint="cs"/>
          <w:rtl/>
        </w:rPr>
        <w:t xml:space="preserve">רמת </w:t>
      </w:r>
      <w:r>
        <w:rPr>
          <w:rFonts w:hint="cs"/>
          <w:rtl/>
        </w:rPr>
        <w:t>סיכון גבוה</w:t>
      </w:r>
      <w:r w:rsidR="00CE658E">
        <w:rPr>
          <w:rFonts w:hint="cs"/>
          <w:rtl/>
        </w:rPr>
        <w:t>ה</w:t>
      </w:r>
      <w:r w:rsidR="00B56556">
        <w:rPr>
          <w:rFonts w:hint="cs"/>
          <w:rtl/>
        </w:rPr>
        <w:t xml:space="preserve"> מאוד,</w:t>
      </w:r>
      <w:r>
        <w:rPr>
          <w:rFonts w:hint="cs"/>
          <w:rtl/>
        </w:rPr>
        <w:t xml:space="preserve"> </w:t>
      </w:r>
      <w:r w:rsidR="00CE658E">
        <w:rPr>
          <w:rFonts w:hint="cs"/>
          <w:rtl/>
        </w:rPr>
        <w:t>וזה</w:t>
      </w:r>
      <w:r>
        <w:rPr>
          <w:rFonts w:hint="cs"/>
          <w:rtl/>
        </w:rPr>
        <w:t xml:space="preserve"> </w:t>
      </w:r>
      <w:r w:rsidR="00CE658E">
        <w:rPr>
          <w:rFonts w:hint="cs"/>
          <w:rtl/>
        </w:rPr>
        <w:t>מ</w:t>
      </w:r>
      <w:r>
        <w:rPr>
          <w:rFonts w:hint="cs"/>
          <w:rtl/>
        </w:rPr>
        <w:t xml:space="preserve">כיוון </w:t>
      </w:r>
      <w:r w:rsidR="00284E2D">
        <w:rPr>
          <w:rFonts w:hint="cs"/>
          <w:rtl/>
        </w:rPr>
        <w:t>שקרקע</w:t>
      </w:r>
      <w:r>
        <w:rPr>
          <w:rFonts w:hint="cs"/>
          <w:rtl/>
        </w:rPr>
        <w:t xml:space="preserve"> לא צפויה להניב הכנסות</w:t>
      </w:r>
      <w:r w:rsidR="005B7E3F">
        <w:rPr>
          <w:rFonts w:hint="cs"/>
          <w:rtl/>
        </w:rPr>
        <w:t xml:space="preserve"> ו</w:t>
      </w:r>
      <w:r>
        <w:rPr>
          <w:rFonts w:hint="cs"/>
          <w:rtl/>
        </w:rPr>
        <w:t>פירעון האשראי יב</w:t>
      </w:r>
      <w:r w:rsidR="003472C5">
        <w:rPr>
          <w:rFonts w:hint="cs"/>
          <w:rtl/>
        </w:rPr>
        <w:t>ו</w:t>
      </w:r>
      <w:r>
        <w:rPr>
          <w:rFonts w:hint="cs"/>
          <w:rtl/>
        </w:rPr>
        <w:t>צע ממכירתה במועד עתידי או ממקור החזר חיצוני אחר. התמורה מהמכירה העתידית הצפויה</w:t>
      </w:r>
      <w:r w:rsidR="003472C5">
        <w:rPr>
          <w:rFonts w:hint="cs"/>
          <w:rtl/>
        </w:rPr>
        <w:t>,</w:t>
      </w:r>
      <w:r>
        <w:rPr>
          <w:rFonts w:hint="cs"/>
          <w:rtl/>
        </w:rPr>
        <w:t xml:space="preserve"> חשופה לתנודתיות גבוהה במחירים בין מועד המימון ל</w:t>
      </w:r>
      <w:r w:rsidR="003472C5">
        <w:rPr>
          <w:rFonts w:hint="cs"/>
          <w:rtl/>
        </w:rPr>
        <w:t xml:space="preserve">בין </w:t>
      </w:r>
      <w:r>
        <w:rPr>
          <w:rFonts w:hint="cs"/>
          <w:rtl/>
        </w:rPr>
        <w:t>מועד המכירה, מבלי שלבנק או ללווה יש שליטה על כך</w:t>
      </w:r>
      <w:r w:rsidR="005B7E3F">
        <w:rPr>
          <w:rFonts w:hint="cs"/>
          <w:rtl/>
        </w:rPr>
        <w:t xml:space="preserve"> ו</w:t>
      </w:r>
      <w:r>
        <w:rPr>
          <w:rFonts w:hint="cs"/>
          <w:rtl/>
        </w:rPr>
        <w:t>לכן מדובר במימון ספקולטיבי. ככלל, מימון</w:t>
      </w:r>
      <w:r w:rsidR="003472C5">
        <w:rPr>
          <w:rFonts w:hint="cs"/>
          <w:rtl/>
        </w:rPr>
        <w:t xml:space="preserve"> </w:t>
      </w:r>
      <w:r w:rsidR="00381B61">
        <w:rPr>
          <w:rFonts w:hint="cs"/>
          <w:rtl/>
        </w:rPr>
        <w:t>ספקולטיבי</w:t>
      </w:r>
      <w:r w:rsidR="003472C5">
        <w:rPr>
          <w:rFonts w:hint="cs"/>
          <w:rtl/>
        </w:rPr>
        <w:t xml:space="preserve"> של</w:t>
      </w:r>
      <w:r>
        <w:rPr>
          <w:rFonts w:hint="cs"/>
          <w:rtl/>
        </w:rPr>
        <w:t xml:space="preserve"> </w:t>
      </w:r>
      <w:r w:rsidR="00284E2D">
        <w:rPr>
          <w:rFonts w:hint="cs"/>
          <w:rtl/>
        </w:rPr>
        <w:t>קרקע</w:t>
      </w:r>
      <w:r>
        <w:rPr>
          <w:rFonts w:hint="cs"/>
          <w:rtl/>
        </w:rPr>
        <w:t xml:space="preserve"> </w:t>
      </w:r>
      <w:r w:rsidR="0005064B">
        <w:rPr>
          <w:rFonts w:hint="cs"/>
          <w:rtl/>
        </w:rPr>
        <w:t xml:space="preserve">לא </w:t>
      </w:r>
      <w:r>
        <w:rPr>
          <w:rFonts w:hint="cs"/>
          <w:rtl/>
        </w:rPr>
        <w:t>כל</w:t>
      </w:r>
      <w:r w:rsidR="0005064B">
        <w:rPr>
          <w:rFonts w:hint="cs"/>
          <w:rtl/>
        </w:rPr>
        <w:t>ו</w:t>
      </w:r>
      <w:r>
        <w:rPr>
          <w:rFonts w:hint="cs"/>
          <w:rtl/>
        </w:rPr>
        <w:t>ל בת</w:t>
      </w:r>
      <w:r w:rsidR="0005064B">
        <w:rPr>
          <w:rFonts w:hint="cs"/>
          <w:rtl/>
        </w:rPr>
        <w:t>י</w:t>
      </w:r>
      <w:r>
        <w:rPr>
          <w:rFonts w:hint="cs"/>
          <w:rtl/>
        </w:rPr>
        <w:t>אבון הסיכון של מערכת הבנקא</w:t>
      </w:r>
      <w:r w:rsidR="005B7E3F">
        <w:rPr>
          <w:rFonts w:hint="cs"/>
          <w:rtl/>
        </w:rPr>
        <w:t>ו</w:t>
      </w:r>
      <w:r>
        <w:rPr>
          <w:rFonts w:hint="cs"/>
          <w:rtl/>
        </w:rPr>
        <w:t>ת</w:t>
      </w:r>
      <w:r w:rsidR="005B7E3F">
        <w:rPr>
          <w:rFonts w:hint="cs"/>
          <w:rtl/>
        </w:rPr>
        <w:t xml:space="preserve"> ו</w:t>
      </w:r>
      <w:r>
        <w:rPr>
          <w:rFonts w:hint="cs"/>
          <w:rtl/>
        </w:rPr>
        <w:t xml:space="preserve">לכן רק 5% </w:t>
      </w:r>
      <w:r w:rsidR="00284E2D">
        <w:rPr>
          <w:rFonts w:hint="cs"/>
          <w:rtl/>
        </w:rPr>
        <w:t>מהאשראי למימון קרקעות</w:t>
      </w:r>
      <w:r>
        <w:rPr>
          <w:rFonts w:hint="cs"/>
          <w:rtl/>
        </w:rPr>
        <w:t xml:space="preserve"> (בהיקף של 2 מיליארד </w:t>
      </w:r>
      <w:r w:rsidR="00977CC5">
        <w:rPr>
          <w:rFonts w:hint="cs"/>
          <w:rtl/>
        </w:rPr>
        <w:t>ש</w:t>
      </w:r>
      <w:r w:rsidR="0005064B">
        <w:rPr>
          <w:rFonts w:hint="cs"/>
          <w:rtl/>
        </w:rPr>
        <w:t>"</w:t>
      </w:r>
      <w:r w:rsidR="00977CC5">
        <w:rPr>
          <w:rFonts w:hint="cs"/>
          <w:rtl/>
        </w:rPr>
        <w:t>ח</w:t>
      </w:r>
      <w:r>
        <w:rPr>
          <w:rFonts w:hint="cs"/>
          <w:rtl/>
        </w:rPr>
        <w:t>)</w:t>
      </w:r>
      <w:r w:rsidR="0005064B">
        <w:rPr>
          <w:rFonts w:hint="cs"/>
          <w:rtl/>
        </w:rPr>
        <w:t>,</w:t>
      </w:r>
      <w:r>
        <w:rPr>
          <w:rFonts w:hint="cs"/>
          <w:rtl/>
        </w:rPr>
        <w:t xml:space="preserve"> מועמד ללא תב"ע </w:t>
      </w:r>
      <w:r w:rsidR="00B56556">
        <w:rPr>
          <w:rFonts w:hint="cs"/>
          <w:rtl/>
        </w:rPr>
        <w:t>לבנייה</w:t>
      </w:r>
      <w:r>
        <w:rPr>
          <w:rFonts w:hint="cs"/>
          <w:rtl/>
        </w:rPr>
        <w:t xml:space="preserve"> ומוער</w:t>
      </w:r>
      <w:r w:rsidR="00284E2D">
        <w:rPr>
          <w:rFonts w:hint="cs"/>
          <w:rtl/>
        </w:rPr>
        <w:t>ך</w:t>
      </w:r>
      <w:r>
        <w:rPr>
          <w:rFonts w:hint="cs"/>
          <w:rtl/>
        </w:rPr>
        <w:t xml:space="preserve"> ב</w:t>
      </w:r>
      <w:r w:rsidR="00F031FB">
        <w:rPr>
          <w:rFonts w:hint="cs"/>
          <w:rtl/>
        </w:rPr>
        <w:t xml:space="preserve">רמת </w:t>
      </w:r>
      <w:r>
        <w:rPr>
          <w:rFonts w:hint="cs"/>
          <w:rtl/>
        </w:rPr>
        <w:t>סיכון מוגבר</w:t>
      </w:r>
      <w:r w:rsidR="00F031FB">
        <w:rPr>
          <w:rFonts w:hint="cs"/>
          <w:rtl/>
        </w:rPr>
        <w:t>ת</w:t>
      </w:r>
      <w:r>
        <w:rPr>
          <w:rFonts w:hint="cs"/>
          <w:rtl/>
        </w:rPr>
        <w:t>. המימון לקרקע</w:t>
      </w:r>
      <w:r w:rsidR="00284E2D">
        <w:rPr>
          <w:rFonts w:hint="cs"/>
          <w:rtl/>
        </w:rPr>
        <w:t>ות</w:t>
      </w:r>
      <w:r>
        <w:rPr>
          <w:rFonts w:hint="cs"/>
          <w:rtl/>
        </w:rPr>
        <w:t xml:space="preserve"> </w:t>
      </w:r>
      <w:r w:rsidR="00F031FB">
        <w:rPr>
          <w:rFonts w:hint="cs"/>
          <w:rtl/>
        </w:rPr>
        <w:t xml:space="preserve">אלה </w:t>
      </w:r>
      <w:r>
        <w:rPr>
          <w:rFonts w:hint="cs"/>
          <w:rtl/>
        </w:rPr>
        <w:t>מועמד במקרים חריגים, בדרך כלל ללווים עם איתנות פיננסית גבוהה ולעיתים כנגד מקור החזר חיצוני אחר.</w:t>
      </w:r>
    </w:p>
    <w:p w:rsidR="0078266B" w:rsidRDefault="0078266B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kern w:val="28"/>
          <w:sz w:val="22"/>
        </w:rPr>
      </w:pPr>
      <w:r>
        <w:br w:type="page"/>
      </w:r>
    </w:p>
    <w:p w:rsidR="00BF5A01" w:rsidRDefault="00BF5A01" w:rsidP="00BF5A01">
      <w:pPr>
        <w:tabs>
          <w:tab w:val="clear" w:pos="567"/>
          <w:tab w:val="clear" w:pos="1134"/>
        </w:tabs>
        <w:outlineLvl w:val="0"/>
        <w:rPr>
          <w:b/>
          <w:bCs/>
          <w:i/>
          <w:iCs/>
          <w:color w:val="4F81BD" w:themeColor="accent1"/>
          <w:kern w:val="28"/>
          <w:sz w:val="22"/>
          <w:rtl/>
        </w:rPr>
      </w:pPr>
      <w:r w:rsidRPr="00162857">
        <w:rPr>
          <w:rFonts w:hint="cs"/>
          <w:b/>
          <w:bCs/>
          <w:i/>
          <w:iCs/>
          <w:color w:val="4F81BD" w:themeColor="accent1"/>
          <w:kern w:val="28"/>
          <w:sz w:val="22"/>
          <w:rtl/>
        </w:rPr>
        <w:lastRenderedPageBreak/>
        <w:t>מדדי סיכון נבחרים</w:t>
      </w:r>
    </w:p>
    <w:p w:rsidR="0032327B" w:rsidRPr="00921521" w:rsidRDefault="0032327B" w:rsidP="00921521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ind w:left="26"/>
        <w:jc w:val="center"/>
      </w:pPr>
      <w:r>
        <w:rPr>
          <w:rFonts w:hint="cs"/>
          <w:b/>
          <w:bCs/>
          <w:rtl/>
        </w:rPr>
        <w:t xml:space="preserve">לוח 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מדדי סיכון</w:t>
      </w:r>
      <w:r w:rsidR="00D91571">
        <w:rPr>
          <w:rFonts w:hint="cs"/>
          <w:b/>
          <w:bCs/>
          <w:rtl/>
        </w:rPr>
        <w:t xml:space="preserve"> נבחרים</w:t>
      </w:r>
      <w:r>
        <w:rPr>
          <w:rFonts w:hint="cs"/>
          <w:b/>
          <w:bCs/>
          <w:rtl/>
        </w:rPr>
        <w:t xml:space="preserve"> למימון </w:t>
      </w:r>
      <w:r w:rsidR="00D91571">
        <w:rPr>
          <w:rFonts w:hint="cs"/>
          <w:b/>
          <w:bCs/>
          <w:rtl/>
        </w:rPr>
        <w:t>קרקעות</w:t>
      </w:r>
    </w:p>
    <w:tbl>
      <w:tblPr>
        <w:tblStyle w:val="4-1"/>
        <w:tblpPr w:leftFromText="181" w:rightFromText="181" w:vertAnchor="text" w:horzAnchor="margin" w:tblpY="86"/>
        <w:bidiVisual/>
        <w:tblW w:w="8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2463"/>
        <w:gridCol w:w="2211"/>
        <w:gridCol w:w="1606"/>
        <w:gridCol w:w="2152"/>
      </w:tblGrid>
      <w:tr w:rsidR="00CE658E" w:rsidRPr="00A1644E" w:rsidTr="00921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9"/>
        </w:trPr>
        <w:tc>
          <w:tcPr>
            <w:tcW w:w="24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CE658E" w:rsidRPr="00BC69FF" w:rsidRDefault="00CE658E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</w:rPr>
            </w:pPr>
            <w:r w:rsidRPr="00BC69FF">
              <w:rPr>
                <w:rFonts w:ascii="David" w:hAnsi="David"/>
                <w:color w:val="FFFFFF"/>
                <w:kern w:val="24"/>
                <w:sz w:val="22"/>
                <w:szCs w:val="22"/>
                <w:rtl/>
              </w:rPr>
              <w:t>הרכיב</w:t>
            </w:r>
          </w:p>
        </w:tc>
        <w:tc>
          <w:tcPr>
            <w:tcW w:w="2211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CE658E" w:rsidRPr="00BC69FF" w:rsidRDefault="00CE658E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BC69FF">
              <w:rPr>
                <w:rFonts w:ascii="David" w:hAnsi="David"/>
                <w:color w:val="FFFFFF"/>
                <w:kern w:val="24"/>
                <w:sz w:val="22"/>
                <w:szCs w:val="22"/>
                <w:rtl/>
              </w:rPr>
              <w:t>ממוצע משוקלל</w:t>
            </w:r>
          </w:p>
        </w:tc>
        <w:tc>
          <w:tcPr>
            <w:tcW w:w="3758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  <w:hideMark/>
          </w:tcPr>
          <w:p w:rsidR="00CE658E" w:rsidRPr="00BC69FF" w:rsidRDefault="00CE658E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BC69FF">
              <w:rPr>
                <w:rFonts w:ascii="David" w:hAnsi="David"/>
                <w:color w:val="FFFFFF"/>
                <w:kern w:val="24"/>
                <w:sz w:val="22"/>
                <w:szCs w:val="22"/>
                <w:rtl/>
              </w:rPr>
              <w:t>סיכון מוגבר</w:t>
            </w:r>
          </w:p>
        </w:tc>
      </w:tr>
      <w:tr w:rsidR="00CE658E" w:rsidRPr="00A1644E" w:rsidTr="0092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246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4F81BD" w:themeFill="accent1"/>
            <w:noWrap/>
            <w:vAlign w:val="center"/>
            <w:hideMark/>
          </w:tcPr>
          <w:p w:rsidR="00CE658E" w:rsidRPr="00BC69FF" w:rsidRDefault="00CE658E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bidi w:val="0"/>
              <w:spacing w:line="240" w:lineRule="auto"/>
              <w:jc w:val="left"/>
              <w:rPr>
                <w:rFonts w:ascii="David" w:hAnsi="David"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4F81BD" w:themeFill="accent1"/>
            <w:noWrap/>
            <w:vAlign w:val="center"/>
            <w:hideMark/>
          </w:tcPr>
          <w:p w:rsidR="00CE658E" w:rsidRPr="00BC69FF" w:rsidRDefault="00CE658E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bidi w:val="0"/>
              <w:spacing w:line="240" w:lineRule="auto"/>
              <w:jc w:val="center"/>
              <w:rPr>
                <w:rFonts w:ascii="David" w:hAnsi="David"/>
                <w:color w:val="FFFFFF" w:themeColor="background1"/>
                <w:sz w:val="22"/>
                <w:szCs w:val="22"/>
              </w:rPr>
            </w:pPr>
            <w:r w:rsidRPr="00BC69FF"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>נתון</w:t>
            </w:r>
            <w:r w:rsidR="00CB71E6">
              <w:rPr>
                <w:rFonts w:ascii="David" w:hAnsi="David" w:hint="cs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 xml:space="preserve"> ליום 30.6.20</w:t>
            </w:r>
          </w:p>
        </w:tc>
        <w:tc>
          <w:tcPr>
            <w:tcW w:w="1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4F81BD" w:themeFill="accent1"/>
            <w:noWrap/>
            <w:vAlign w:val="center"/>
            <w:hideMark/>
          </w:tcPr>
          <w:p w:rsidR="00CE658E" w:rsidRPr="00BC69FF" w:rsidRDefault="00CE658E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FFFFFF" w:themeColor="background1"/>
                <w:sz w:val="22"/>
                <w:szCs w:val="22"/>
              </w:rPr>
            </w:pPr>
            <w:r w:rsidRPr="00BC69FF"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>מדד</w:t>
            </w:r>
          </w:p>
        </w:tc>
        <w:tc>
          <w:tcPr>
            <w:tcW w:w="21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CE658E" w:rsidRPr="00BC69FF" w:rsidRDefault="00CE658E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FFFFFF" w:themeColor="background1"/>
                <w:sz w:val="22"/>
                <w:szCs w:val="22"/>
                <w:rtl/>
              </w:rPr>
            </w:pPr>
            <w:r w:rsidRPr="00BC69FF">
              <w:rPr>
                <w:rFonts w:ascii="David" w:hAnsi="David"/>
                <w:b/>
                <w:bCs/>
                <w:color w:val="FFFFFF" w:themeColor="background1"/>
                <w:kern w:val="24"/>
                <w:sz w:val="22"/>
                <w:szCs w:val="22"/>
                <w:rtl/>
              </w:rPr>
              <w:t>שיעור חשיפה</w:t>
            </w:r>
          </w:p>
        </w:tc>
      </w:tr>
      <w:tr w:rsidR="00B7772B" w:rsidRPr="00A1644E" w:rsidTr="00921521">
        <w:trPr>
          <w:trHeight w:hRule="exact" w:val="279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B7772B" w:rsidRPr="00A1644E" w:rsidRDefault="00B7772B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1F497D" w:themeColor="text2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שיעור מימון (</w:t>
            </w: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</w:rPr>
              <w:t>LTV</w:t>
            </w: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)</w:t>
            </w:r>
          </w:p>
        </w:tc>
        <w:tc>
          <w:tcPr>
            <w:tcW w:w="22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B7772B" w:rsidRPr="00A1644E" w:rsidRDefault="00B7772B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1F497D" w:themeColor="text2"/>
                <w:sz w:val="22"/>
                <w:szCs w:val="22"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70%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B7772B" w:rsidRPr="00A1644E" w:rsidRDefault="00B7772B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1F497D" w:themeColor="text2"/>
                <w:kern w:val="24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&gt;</w:t>
            </w:r>
            <w:r w:rsidR="0005064B">
              <w:rPr>
                <w:rFonts w:ascii="David" w:hAnsi="David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70%</w:t>
            </w:r>
          </w:p>
        </w:tc>
        <w:tc>
          <w:tcPr>
            <w:tcW w:w="2152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:rsidR="00B7772B" w:rsidRPr="00A1644E" w:rsidRDefault="00B7772B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1F497D" w:themeColor="text2"/>
                <w:kern w:val="24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47%</w:t>
            </w:r>
          </w:p>
        </w:tc>
      </w:tr>
      <w:tr w:rsidR="00B7772B" w:rsidRPr="00A1644E" w:rsidTr="0092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2463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B7772B" w:rsidRPr="00A1644E" w:rsidRDefault="00B7772B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1F497D" w:themeColor="text2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גיל </w:t>
            </w:r>
            <w:r w:rsidR="0032040E">
              <w:rPr>
                <w:rFonts w:ascii="David" w:hAnsi="David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יחידת </w:t>
            </w: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הקרקע</w:t>
            </w:r>
          </w:p>
        </w:tc>
        <w:tc>
          <w:tcPr>
            <w:tcW w:w="221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B7772B" w:rsidRPr="00A1644E" w:rsidRDefault="00977CC5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color w:val="1F497D" w:themeColor="text2"/>
                <w:sz w:val="22"/>
                <w:szCs w:val="22"/>
              </w:rPr>
            </w:pPr>
            <w:r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כ-</w:t>
            </w:r>
            <w:r w:rsidR="00B7772B"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2.4</w:t>
            </w:r>
            <w:r w:rsidR="00A1644E">
              <w:rPr>
                <w:rFonts w:ascii="David" w:hAnsi="David" w:hint="cs"/>
                <w:color w:val="1F497D" w:themeColor="text2"/>
                <w:sz w:val="22"/>
                <w:szCs w:val="22"/>
                <w:rtl/>
              </w:rPr>
              <w:t xml:space="preserve"> </w:t>
            </w:r>
            <w:r w:rsidR="00A1644E" w:rsidRPr="00A1644E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שנים</w:t>
            </w:r>
          </w:p>
        </w:tc>
        <w:tc>
          <w:tcPr>
            <w:tcW w:w="1606" w:type="dxa"/>
            <w:tcBorders>
              <w:left w:val="single" w:sz="18" w:space="0" w:color="auto"/>
            </w:tcBorders>
            <w:noWrap/>
            <w:vAlign w:val="center"/>
          </w:tcPr>
          <w:p w:rsidR="00B7772B" w:rsidRPr="00A1644E" w:rsidRDefault="00B7772B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1F497D" w:themeColor="text2"/>
                <w:kern w:val="24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&gt; 3 שנים</w:t>
            </w:r>
          </w:p>
        </w:tc>
        <w:tc>
          <w:tcPr>
            <w:tcW w:w="2152" w:type="dxa"/>
            <w:tcBorders>
              <w:right w:val="single" w:sz="18" w:space="0" w:color="auto"/>
            </w:tcBorders>
            <w:noWrap/>
            <w:vAlign w:val="center"/>
          </w:tcPr>
          <w:p w:rsidR="00B7772B" w:rsidRPr="00A1644E" w:rsidRDefault="00B7772B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1F497D" w:themeColor="text2"/>
                <w:kern w:val="24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21%</w:t>
            </w:r>
          </w:p>
        </w:tc>
      </w:tr>
      <w:tr w:rsidR="00B7772B" w:rsidRPr="00A1644E" w:rsidTr="00921521">
        <w:trPr>
          <w:trHeight w:hRule="exact" w:val="892"/>
        </w:trPr>
        <w:tc>
          <w:tcPr>
            <w:tcW w:w="2463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B7772B" w:rsidRPr="00A1644E" w:rsidRDefault="00B7772B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ייעוד </w:t>
            </w:r>
            <w:r w:rsidR="0032040E">
              <w:rPr>
                <w:rFonts w:ascii="David" w:hAnsi="David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יחידת </w:t>
            </w: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הקרקע</w:t>
            </w:r>
          </w:p>
        </w:tc>
        <w:tc>
          <w:tcPr>
            <w:tcW w:w="2211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A1644E" w:rsidRPr="00A1644E" w:rsidRDefault="00A1644E" w:rsidP="00921521">
            <w:pPr>
              <w:pStyle w:val="aa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ind w:left="336" w:hanging="283"/>
              <w:jc w:val="center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למגורים (78%)</w:t>
            </w:r>
          </w:p>
          <w:p w:rsidR="00A1644E" w:rsidRPr="00A1644E" w:rsidRDefault="00A1644E" w:rsidP="00921521">
            <w:pPr>
              <w:pStyle w:val="aa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ind w:left="336" w:hanging="283"/>
              <w:jc w:val="center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למניבים (17%)</w:t>
            </w:r>
          </w:p>
          <w:p w:rsidR="00B7772B" w:rsidRPr="00A1644E" w:rsidRDefault="0005064B" w:rsidP="00921521">
            <w:pPr>
              <w:pStyle w:val="aa"/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ind w:left="336" w:hanging="283"/>
              <w:jc w:val="center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לא</w:t>
            </w:r>
            <w:r>
              <w:rPr>
                <w:rFonts w:ascii="David" w:hAnsi="David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־</w:t>
            </w:r>
            <w:r w:rsidR="00B7772B"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זמינות (5%)</w:t>
            </w:r>
          </w:p>
        </w:tc>
        <w:tc>
          <w:tcPr>
            <w:tcW w:w="1606" w:type="dxa"/>
            <w:tcBorders>
              <w:left w:val="single" w:sz="18" w:space="0" w:color="auto"/>
            </w:tcBorders>
            <w:noWrap/>
            <w:vAlign w:val="center"/>
          </w:tcPr>
          <w:p w:rsidR="00B7772B" w:rsidRPr="00A1644E" w:rsidRDefault="0005064B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לא</w:t>
            </w:r>
            <w:r>
              <w:rPr>
                <w:rFonts w:ascii="David" w:hAnsi="David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־</w:t>
            </w:r>
            <w:r w:rsidR="00B7772B"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זמינות</w:t>
            </w:r>
          </w:p>
        </w:tc>
        <w:tc>
          <w:tcPr>
            <w:tcW w:w="2152" w:type="dxa"/>
            <w:tcBorders>
              <w:right w:val="single" w:sz="18" w:space="0" w:color="auto"/>
            </w:tcBorders>
            <w:noWrap/>
            <w:vAlign w:val="center"/>
          </w:tcPr>
          <w:p w:rsidR="00B7772B" w:rsidRPr="00A1644E" w:rsidRDefault="00B7772B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jc w:val="center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A1644E"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  <w:t>5%</w:t>
            </w:r>
          </w:p>
        </w:tc>
      </w:tr>
      <w:tr w:rsidR="00284E2D" w:rsidRPr="00A1644E" w:rsidTr="0092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0"/>
        </w:trPr>
        <w:tc>
          <w:tcPr>
            <w:tcW w:w="843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84E2D" w:rsidRPr="00A1644E" w:rsidRDefault="00284E2D" w:rsidP="00921521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line="240" w:lineRule="auto"/>
              <w:rPr>
                <w:rFonts w:ascii="David" w:hAnsi="David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C53404">
              <w:rPr>
                <w:rFonts w:hint="cs"/>
                <w:b/>
                <w:bCs/>
                <w:sz w:val="20"/>
                <w:szCs w:val="20"/>
                <w:rtl/>
              </w:rPr>
              <w:t>מקור: דיווחי הבנקים ועיבודי הפיקוח על הבנקים</w:t>
            </w:r>
          </w:p>
        </w:tc>
      </w:tr>
    </w:tbl>
    <w:p w:rsidR="004D51F9" w:rsidRPr="00162857" w:rsidRDefault="004D51F9" w:rsidP="00B56556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 w:rsidRPr="00162857">
        <w:rPr>
          <w:rFonts w:hint="cs"/>
          <w:b/>
          <w:bCs/>
          <w:rtl/>
        </w:rPr>
        <w:t>שיעורי מימון (מינוף)</w:t>
      </w:r>
      <w:r w:rsidRPr="00162857">
        <w:rPr>
          <w:rFonts w:hint="cs"/>
          <w:rtl/>
        </w:rPr>
        <w:t xml:space="preserve"> - שיעור המימון המשוקלל למימון </w:t>
      </w:r>
      <w:r w:rsidR="00B56556">
        <w:rPr>
          <w:rFonts w:hint="cs"/>
          <w:rtl/>
        </w:rPr>
        <w:t>קרקע</w:t>
      </w:r>
      <w:r w:rsidRPr="00162857">
        <w:rPr>
          <w:rFonts w:hint="cs"/>
          <w:rtl/>
        </w:rPr>
        <w:t xml:space="preserve"> הוא גבוה יחסית ועומד על כ-70%. היקף לא</w:t>
      </w:r>
      <w:r w:rsidR="001C6E81" w:rsidRPr="00162857">
        <w:rPr>
          <w:rFonts w:hint="cs"/>
          <w:rtl/>
        </w:rPr>
        <w:t xml:space="preserve"> מבוטל מהאשראי למימון קרקע (כ</w:t>
      </w:r>
      <w:r w:rsidR="00F031FB" w:rsidRPr="00162857">
        <w:rPr>
          <w:rFonts w:hint="cs"/>
          <w:rtl/>
        </w:rPr>
        <w:t>-</w:t>
      </w:r>
      <w:r w:rsidR="001C6E81" w:rsidRPr="00162857">
        <w:rPr>
          <w:rFonts w:hint="cs"/>
          <w:rtl/>
        </w:rPr>
        <w:t>47% בהיקף של כ</w:t>
      </w:r>
      <w:r w:rsidR="00F031FB" w:rsidRPr="00162857">
        <w:rPr>
          <w:rFonts w:hint="cs"/>
          <w:rtl/>
        </w:rPr>
        <w:t>-</w:t>
      </w:r>
      <w:r w:rsidRPr="00162857">
        <w:rPr>
          <w:rFonts w:hint="cs"/>
          <w:rtl/>
        </w:rPr>
        <w:t xml:space="preserve">20 מיליארד </w:t>
      </w:r>
      <w:r w:rsidR="00977CC5" w:rsidRPr="00162857">
        <w:rPr>
          <w:rFonts w:hint="cs"/>
          <w:rtl/>
        </w:rPr>
        <w:t>ש</w:t>
      </w:r>
      <w:r w:rsidR="00F031FB" w:rsidRPr="00162857">
        <w:rPr>
          <w:rFonts w:hint="cs"/>
          <w:rtl/>
        </w:rPr>
        <w:t>"</w:t>
      </w:r>
      <w:r w:rsidR="00977CC5" w:rsidRPr="00162857">
        <w:rPr>
          <w:rFonts w:hint="cs"/>
          <w:rtl/>
        </w:rPr>
        <w:t>ח</w:t>
      </w:r>
      <w:r w:rsidRPr="00162857">
        <w:rPr>
          <w:rFonts w:hint="cs"/>
          <w:rtl/>
        </w:rPr>
        <w:t>)</w:t>
      </w:r>
      <w:r w:rsidR="0005064B" w:rsidRPr="00162857">
        <w:rPr>
          <w:rFonts w:hint="cs"/>
          <w:rtl/>
        </w:rPr>
        <w:t>,</w:t>
      </w:r>
      <w:r w:rsidRPr="00162857">
        <w:rPr>
          <w:rFonts w:hint="cs"/>
          <w:rtl/>
        </w:rPr>
        <w:t xml:space="preserve"> מועמד במינוף גבוה </w:t>
      </w:r>
      <w:r w:rsidR="00F031FB" w:rsidRPr="00162857">
        <w:rPr>
          <w:rFonts w:hint="cs"/>
          <w:rtl/>
        </w:rPr>
        <w:t xml:space="preserve">שעולה </w:t>
      </w:r>
      <w:r w:rsidRPr="00162857">
        <w:rPr>
          <w:rFonts w:hint="cs"/>
          <w:rtl/>
        </w:rPr>
        <w:t>על 70%.</w:t>
      </w:r>
    </w:p>
    <w:p w:rsidR="00040E89" w:rsidRDefault="00040E89" w:rsidP="0094042D">
      <w:pPr>
        <w:tabs>
          <w:tab w:val="clear" w:pos="567"/>
          <w:tab w:val="clear" w:pos="1814"/>
          <w:tab w:val="clear" w:pos="2665"/>
        </w:tabs>
        <w:ind w:left="452"/>
        <w:outlineLvl w:val="1"/>
      </w:pPr>
      <w:r w:rsidRPr="008813B3">
        <w:rPr>
          <w:rFonts w:hint="cs"/>
          <w:kern w:val="28"/>
          <w:sz w:val="22"/>
          <w:rtl/>
        </w:rPr>
        <w:t>מ</w:t>
      </w:r>
      <w:r w:rsidR="000226E9">
        <w:rPr>
          <w:rFonts w:hint="cs"/>
          <w:kern w:val="28"/>
          <w:sz w:val="22"/>
          <w:rtl/>
        </w:rPr>
        <w:t xml:space="preserve">פילוח </w:t>
      </w:r>
      <w:r w:rsidRPr="008813B3">
        <w:rPr>
          <w:rFonts w:hint="cs"/>
          <w:kern w:val="28"/>
          <w:sz w:val="22"/>
          <w:rtl/>
        </w:rPr>
        <w:t xml:space="preserve">הנתונים </w:t>
      </w:r>
      <w:r w:rsidR="000226E9">
        <w:rPr>
          <w:rFonts w:hint="cs"/>
          <w:kern w:val="28"/>
          <w:sz w:val="22"/>
          <w:rtl/>
        </w:rPr>
        <w:t xml:space="preserve">של </w:t>
      </w:r>
      <w:r w:rsidR="002A55D6">
        <w:rPr>
          <w:rFonts w:hint="cs"/>
          <w:kern w:val="28"/>
          <w:sz w:val="22"/>
          <w:rtl/>
        </w:rPr>
        <w:t xml:space="preserve">מימון </w:t>
      </w:r>
      <w:r w:rsidR="0094042D">
        <w:rPr>
          <w:rFonts w:hint="cs"/>
          <w:kern w:val="28"/>
          <w:sz w:val="22"/>
          <w:rtl/>
        </w:rPr>
        <w:t>קרקעות</w:t>
      </w:r>
      <w:r w:rsidR="000226E9">
        <w:rPr>
          <w:rFonts w:hint="cs"/>
          <w:kern w:val="28"/>
          <w:sz w:val="22"/>
          <w:rtl/>
        </w:rPr>
        <w:t xml:space="preserve"> במינוף גבוה</w:t>
      </w:r>
      <w:r w:rsidR="00340A25">
        <w:rPr>
          <w:rFonts w:hint="cs"/>
          <w:kern w:val="28"/>
          <w:sz w:val="22"/>
          <w:rtl/>
        </w:rPr>
        <w:t xml:space="preserve"> (מעל 70%)</w:t>
      </w:r>
      <w:r w:rsidR="000226E9">
        <w:rPr>
          <w:rFonts w:hint="cs"/>
          <w:kern w:val="28"/>
          <w:sz w:val="22"/>
          <w:rtl/>
        </w:rPr>
        <w:t xml:space="preserve">, </w:t>
      </w:r>
      <w:r w:rsidRPr="008813B3">
        <w:rPr>
          <w:rFonts w:hint="cs"/>
          <w:kern w:val="28"/>
          <w:sz w:val="22"/>
          <w:rtl/>
        </w:rPr>
        <w:t xml:space="preserve">עולה </w:t>
      </w:r>
      <w:r w:rsidR="0005064B">
        <w:rPr>
          <w:rFonts w:hint="cs"/>
          <w:kern w:val="28"/>
          <w:sz w:val="22"/>
          <w:rtl/>
        </w:rPr>
        <w:t>ש</w:t>
      </w:r>
      <w:r w:rsidR="00977CC5">
        <w:rPr>
          <w:rFonts w:hint="cs"/>
          <w:kern w:val="28"/>
          <w:sz w:val="22"/>
          <w:rtl/>
        </w:rPr>
        <w:t>רוב</w:t>
      </w:r>
      <w:r w:rsidR="002A55D6">
        <w:rPr>
          <w:rFonts w:hint="cs"/>
          <w:kern w:val="28"/>
          <w:sz w:val="22"/>
          <w:rtl/>
        </w:rPr>
        <w:t xml:space="preserve"> האשראי</w:t>
      </w:r>
      <w:r w:rsidR="001C6E81">
        <w:rPr>
          <w:rFonts w:hint="cs"/>
          <w:kern w:val="28"/>
          <w:sz w:val="22"/>
          <w:rtl/>
        </w:rPr>
        <w:t xml:space="preserve"> מועמד </w:t>
      </w:r>
      <w:r w:rsidR="002A55D6">
        <w:rPr>
          <w:rFonts w:hint="cs"/>
          <w:kern w:val="28"/>
          <w:sz w:val="22"/>
          <w:rtl/>
        </w:rPr>
        <w:t>לקרקע</w:t>
      </w:r>
      <w:r w:rsidR="0094042D">
        <w:rPr>
          <w:rFonts w:hint="cs"/>
          <w:kern w:val="28"/>
          <w:sz w:val="22"/>
          <w:rtl/>
        </w:rPr>
        <w:t>ות</w:t>
      </w:r>
      <w:r w:rsidR="002A55D6">
        <w:rPr>
          <w:rFonts w:hint="cs"/>
          <w:kern w:val="28"/>
          <w:sz w:val="22"/>
          <w:rtl/>
        </w:rPr>
        <w:t xml:space="preserve"> </w:t>
      </w:r>
      <w:r w:rsidR="0005064B">
        <w:rPr>
          <w:rFonts w:hint="cs"/>
          <w:kern w:val="28"/>
          <w:sz w:val="22"/>
          <w:rtl/>
        </w:rPr>
        <w:t xml:space="preserve">שמיועדות </w:t>
      </w:r>
      <w:r w:rsidRPr="008813B3">
        <w:rPr>
          <w:rFonts w:hint="cs"/>
          <w:kern w:val="28"/>
          <w:sz w:val="22"/>
          <w:rtl/>
        </w:rPr>
        <w:t>לבני</w:t>
      </w:r>
      <w:r w:rsidR="00340A25">
        <w:rPr>
          <w:rFonts w:hint="cs"/>
          <w:kern w:val="28"/>
          <w:sz w:val="22"/>
          <w:rtl/>
        </w:rPr>
        <w:t xml:space="preserve">ית פרוייקטים </w:t>
      </w:r>
      <w:r w:rsidRPr="008813B3">
        <w:rPr>
          <w:rFonts w:hint="cs"/>
          <w:kern w:val="28"/>
          <w:sz w:val="22"/>
          <w:rtl/>
        </w:rPr>
        <w:t>למגורים</w:t>
      </w:r>
      <w:r w:rsidR="002A55D6">
        <w:rPr>
          <w:rFonts w:hint="cs"/>
          <w:kern w:val="28"/>
          <w:sz w:val="22"/>
          <w:rtl/>
        </w:rPr>
        <w:t xml:space="preserve"> (84%) ו</w:t>
      </w:r>
      <w:r w:rsidR="0005064B">
        <w:rPr>
          <w:rFonts w:hint="cs"/>
          <w:kern w:val="28"/>
          <w:sz w:val="22"/>
          <w:rtl/>
        </w:rPr>
        <w:t>ש</w:t>
      </w:r>
      <w:r w:rsidR="002A55D6">
        <w:rPr>
          <w:rFonts w:hint="cs"/>
          <w:kern w:val="28"/>
          <w:sz w:val="22"/>
          <w:rtl/>
        </w:rPr>
        <w:t xml:space="preserve">מתוכן חלק משמעותי </w:t>
      </w:r>
      <w:r w:rsidR="0005064B">
        <w:rPr>
          <w:rFonts w:hint="cs"/>
          <w:kern w:val="28"/>
          <w:sz w:val="22"/>
          <w:rtl/>
        </w:rPr>
        <w:t xml:space="preserve">הוא </w:t>
      </w:r>
      <w:r w:rsidR="002A55D6">
        <w:rPr>
          <w:rFonts w:hint="cs"/>
          <w:kern w:val="28"/>
          <w:sz w:val="22"/>
          <w:rtl/>
        </w:rPr>
        <w:t xml:space="preserve">במסגרת </w:t>
      </w:r>
      <w:r w:rsidRPr="008813B3">
        <w:rPr>
          <w:rFonts w:hint="cs"/>
          <w:kern w:val="28"/>
          <w:sz w:val="22"/>
          <w:rtl/>
        </w:rPr>
        <w:t xml:space="preserve">פרוייקטים של </w:t>
      </w:r>
      <w:r w:rsidR="0005064B">
        <w:rPr>
          <w:rFonts w:hint="cs"/>
          <w:kern w:val="28"/>
          <w:sz w:val="22"/>
          <w:rtl/>
        </w:rPr>
        <w:t>"</w:t>
      </w:r>
      <w:r w:rsidRPr="008813B3">
        <w:rPr>
          <w:rFonts w:hint="cs"/>
          <w:kern w:val="28"/>
          <w:sz w:val="22"/>
          <w:rtl/>
        </w:rPr>
        <w:t>מחיר למשתכן</w:t>
      </w:r>
      <w:r w:rsidR="0005064B">
        <w:rPr>
          <w:rFonts w:hint="cs"/>
          <w:kern w:val="28"/>
          <w:sz w:val="22"/>
          <w:rtl/>
        </w:rPr>
        <w:t>"</w:t>
      </w:r>
      <w:r w:rsidR="002A55D6">
        <w:rPr>
          <w:rFonts w:hint="cs"/>
          <w:kern w:val="28"/>
          <w:sz w:val="22"/>
          <w:rtl/>
        </w:rPr>
        <w:t xml:space="preserve"> (47%)</w:t>
      </w:r>
      <w:r w:rsidR="00340A25">
        <w:rPr>
          <w:rFonts w:hint="cs"/>
          <w:kern w:val="28"/>
          <w:sz w:val="22"/>
          <w:rtl/>
        </w:rPr>
        <w:t>.</w:t>
      </w:r>
    </w:p>
    <w:p w:rsidR="00340A25" w:rsidRDefault="00921521" w:rsidP="00162857">
      <w:pPr>
        <w:pStyle w:val="1"/>
        <w:numPr>
          <w:ilvl w:val="0"/>
          <w:numId w:val="0"/>
        </w:numPr>
        <w:ind w:left="452"/>
        <w:rPr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259C2" wp14:editId="498319E0">
                <wp:simplePos x="0" y="0"/>
                <wp:positionH relativeFrom="margin">
                  <wp:posOffset>497840</wp:posOffset>
                </wp:positionH>
                <wp:positionV relativeFrom="paragraph">
                  <wp:posOffset>410845</wp:posOffset>
                </wp:positionV>
                <wp:extent cx="4438650" cy="457200"/>
                <wp:effectExtent l="0" t="0" r="19050" b="19050"/>
                <wp:wrapNone/>
                <wp:docPr id="39" name="מלב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572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521" w:rsidRDefault="00921521" w:rsidP="00CB71E6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כמחצית מהקרקעות הממונפות מיועדות לבניית פרוייקטים למגורים במסגרת "מחיר למשתכן" המפחית את רמת הסיכון. </w:t>
                            </w:r>
                          </w:p>
                          <w:p w:rsidR="00CB71E6" w:rsidRPr="00CB71E6" w:rsidRDefault="00CB71E6" w:rsidP="009215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6259C2" id="מלבן 39" o:spid="_x0000_s1033" style="position:absolute;left:0;text-align:left;margin-left:39.2pt;margin-top:32.35pt;width:349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" fillcolor="white [3201]" strokecolor="black [3213]" strokeweight=".25pt">
                <v:textbox>
                  <w:txbxContent>
                    <w:p w:rsidR="00921521" w:rsidRDefault="00921521" w:rsidP="00CB71E6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כמחצית מהקרקעות הממונפות מיועדות לבניית פרוייקטים למגורים במסגרת "מחיר למשתכן" המפחית את רמת הסיכון. </w:t>
                      </w:r>
                    </w:p>
                    <w:p w:rsidR="00CB71E6" w:rsidRPr="00CB71E6" w:rsidRDefault="00CB71E6" w:rsidP="009215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A55D6">
        <w:rPr>
          <w:rFonts w:hint="cs"/>
          <w:rtl/>
        </w:rPr>
        <w:t>בהקשר זה</w:t>
      </w:r>
      <w:r w:rsidR="00340A25">
        <w:rPr>
          <w:rFonts w:hint="cs"/>
          <w:rtl/>
        </w:rPr>
        <w:t xml:space="preserve"> נציין </w:t>
      </w:r>
      <w:r w:rsidR="0005064B">
        <w:rPr>
          <w:rFonts w:hint="cs"/>
          <w:rtl/>
        </w:rPr>
        <w:t>ש</w:t>
      </w:r>
      <w:r w:rsidR="00340A25">
        <w:rPr>
          <w:rFonts w:hint="cs"/>
          <w:rtl/>
        </w:rPr>
        <w:t>בפרוי</w:t>
      </w:r>
      <w:r w:rsidR="00A434E6">
        <w:rPr>
          <w:rFonts w:hint="cs"/>
          <w:rtl/>
        </w:rPr>
        <w:t>י</w:t>
      </w:r>
      <w:r w:rsidR="00340A25">
        <w:rPr>
          <w:rFonts w:hint="cs"/>
          <w:rtl/>
        </w:rPr>
        <w:t xml:space="preserve">קטים של </w:t>
      </w:r>
      <w:r w:rsidR="0005064B">
        <w:rPr>
          <w:rFonts w:hint="cs"/>
          <w:rtl/>
        </w:rPr>
        <w:t>"</w:t>
      </w:r>
      <w:r w:rsidR="00340A25">
        <w:rPr>
          <w:rFonts w:hint="cs"/>
          <w:rtl/>
        </w:rPr>
        <w:t>מחיר למשתכן</w:t>
      </w:r>
      <w:r w:rsidR="0005064B">
        <w:rPr>
          <w:rFonts w:hint="cs"/>
          <w:rtl/>
        </w:rPr>
        <w:t>"</w:t>
      </w:r>
      <w:r w:rsidR="00340A25">
        <w:rPr>
          <w:rFonts w:hint="cs"/>
          <w:rtl/>
        </w:rPr>
        <w:t xml:space="preserve">, </w:t>
      </w:r>
      <w:r w:rsidR="00977CC5">
        <w:rPr>
          <w:rFonts w:hint="cs"/>
          <w:rtl/>
        </w:rPr>
        <w:t>רוב</w:t>
      </w:r>
      <w:r w:rsidR="00340A25">
        <w:rPr>
          <w:rFonts w:hint="cs"/>
          <w:rtl/>
        </w:rPr>
        <w:t xml:space="preserve"> הדירות מכורות</w:t>
      </w:r>
      <w:r w:rsidR="0005064B">
        <w:rPr>
          <w:rFonts w:hint="cs"/>
          <w:rtl/>
        </w:rPr>
        <w:t xml:space="preserve"> בדרך כלל</w:t>
      </w:r>
      <w:r w:rsidR="00340A25">
        <w:rPr>
          <w:rFonts w:hint="cs"/>
          <w:rtl/>
        </w:rPr>
        <w:t xml:space="preserve"> מראש, מה שמפחית את </w:t>
      </w:r>
      <w:r w:rsidR="00CE658E">
        <w:rPr>
          <w:rFonts w:hint="cs"/>
          <w:rtl/>
        </w:rPr>
        <w:t xml:space="preserve">רמת </w:t>
      </w:r>
      <w:r w:rsidR="00340A25">
        <w:rPr>
          <w:rFonts w:hint="cs"/>
          <w:rtl/>
        </w:rPr>
        <w:t>הסיכון במימון הקרקע</w:t>
      </w:r>
      <w:r w:rsidR="002A55D6">
        <w:rPr>
          <w:rFonts w:hint="cs"/>
          <w:rtl/>
        </w:rPr>
        <w:t xml:space="preserve">, על אף </w:t>
      </w:r>
      <w:r w:rsidR="00340A25">
        <w:rPr>
          <w:rFonts w:hint="cs"/>
          <w:rtl/>
        </w:rPr>
        <w:t xml:space="preserve">שיעור </w:t>
      </w:r>
      <w:r w:rsidR="002A55D6">
        <w:rPr>
          <w:rFonts w:hint="cs"/>
          <w:rtl/>
        </w:rPr>
        <w:t>ה</w:t>
      </w:r>
      <w:r w:rsidR="00340A25">
        <w:rPr>
          <w:rFonts w:hint="cs"/>
          <w:rtl/>
        </w:rPr>
        <w:t xml:space="preserve">מימון </w:t>
      </w:r>
      <w:r w:rsidR="002A55D6">
        <w:rPr>
          <w:rFonts w:hint="cs"/>
          <w:rtl/>
        </w:rPr>
        <w:t>ה</w:t>
      </w:r>
      <w:r w:rsidR="00340A25">
        <w:rPr>
          <w:rFonts w:hint="cs"/>
          <w:rtl/>
        </w:rPr>
        <w:t>גבוה.</w:t>
      </w:r>
    </w:p>
    <w:p w:rsidR="00921521" w:rsidRDefault="00921521" w:rsidP="00162857">
      <w:pPr>
        <w:pStyle w:val="1"/>
        <w:numPr>
          <w:ilvl w:val="0"/>
          <w:numId w:val="0"/>
        </w:numPr>
        <w:ind w:left="452"/>
        <w:rPr>
          <w:rtl/>
        </w:rPr>
      </w:pPr>
    </w:p>
    <w:p w:rsidR="00921521" w:rsidRDefault="00921521" w:rsidP="00162857">
      <w:pPr>
        <w:pStyle w:val="1"/>
        <w:numPr>
          <w:ilvl w:val="0"/>
          <w:numId w:val="0"/>
        </w:numPr>
        <w:ind w:left="452"/>
        <w:rPr>
          <w:rtl/>
        </w:rPr>
      </w:pPr>
    </w:p>
    <w:p w:rsidR="00D72982" w:rsidRDefault="0010254E" w:rsidP="002A55D6">
      <w:pPr>
        <w:pStyle w:val="1"/>
        <w:numPr>
          <w:ilvl w:val="0"/>
          <w:numId w:val="0"/>
        </w:numPr>
        <w:ind w:left="1160"/>
        <w:rPr>
          <w:rtl/>
        </w:rPr>
      </w:pPr>
      <w:r>
        <w:rPr>
          <w:noProof/>
        </w:rPr>
        <w:drawing>
          <wp:inline distT="0" distB="0" distL="0" distR="0" wp14:anchorId="192DE361" wp14:editId="6704EBEB">
            <wp:extent cx="4468495" cy="2847340"/>
            <wp:effectExtent l="0" t="0" r="8255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820" w:rsidRPr="00162857" w:rsidRDefault="004D51F9" w:rsidP="00162857">
      <w:pPr>
        <w:pStyle w:val="2"/>
        <w:numPr>
          <w:ilvl w:val="1"/>
          <w:numId w:val="13"/>
        </w:numPr>
        <w:tabs>
          <w:tab w:val="clear" w:pos="1140"/>
          <w:tab w:val="clear" w:pos="5963"/>
          <w:tab w:val="num" w:pos="452"/>
        </w:tabs>
        <w:ind w:left="452" w:hanging="426"/>
      </w:pPr>
      <w:r w:rsidRPr="00162857">
        <w:rPr>
          <w:rFonts w:hint="cs"/>
          <w:b/>
          <w:bCs/>
          <w:rtl/>
        </w:rPr>
        <w:t>גיל הקרקע</w:t>
      </w:r>
      <w:r w:rsidRPr="00162857">
        <w:rPr>
          <w:rFonts w:hint="cs"/>
          <w:rtl/>
        </w:rPr>
        <w:t xml:space="preserve"> </w:t>
      </w:r>
      <w:r w:rsidR="002A55D6" w:rsidRPr="00162857">
        <w:rPr>
          <w:rtl/>
        </w:rPr>
        <w:t>–</w:t>
      </w:r>
      <w:r w:rsidRPr="00162857">
        <w:rPr>
          <w:rFonts w:hint="cs"/>
          <w:rtl/>
        </w:rPr>
        <w:t xml:space="preserve"> </w:t>
      </w:r>
      <w:r w:rsidR="0005064B" w:rsidRPr="00162857">
        <w:rPr>
          <w:rFonts w:hint="cs"/>
          <w:rtl/>
        </w:rPr>
        <w:t xml:space="preserve">הוא </w:t>
      </w:r>
      <w:r w:rsidR="002A55D6" w:rsidRPr="00162857">
        <w:rPr>
          <w:rFonts w:hint="cs"/>
          <w:rtl/>
        </w:rPr>
        <w:t>התקופה שבין רכישת הקרקע לפרוי</w:t>
      </w:r>
      <w:r w:rsidR="00A434E6" w:rsidRPr="00162857">
        <w:rPr>
          <w:rFonts w:hint="cs"/>
          <w:rtl/>
        </w:rPr>
        <w:t>י</w:t>
      </w:r>
      <w:r w:rsidR="002A55D6" w:rsidRPr="00162857">
        <w:rPr>
          <w:rFonts w:hint="cs"/>
          <w:rtl/>
        </w:rPr>
        <w:t xml:space="preserve">קט </w:t>
      </w:r>
      <w:r w:rsidR="0005064B" w:rsidRPr="00162857">
        <w:rPr>
          <w:rFonts w:hint="cs"/>
          <w:rtl/>
        </w:rPr>
        <w:t xml:space="preserve">לבין העמדת </w:t>
      </w:r>
      <w:r w:rsidR="002A55D6" w:rsidRPr="00162857">
        <w:rPr>
          <w:rFonts w:hint="cs"/>
          <w:rtl/>
        </w:rPr>
        <w:t xml:space="preserve">המימון </w:t>
      </w:r>
      <w:r w:rsidR="0005064B" w:rsidRPr="00162857">
        <w:rPr>
          <w:rFonts w:hint="cs"/>
          <w:rtl/>
        </w:rPr>
        <w:t>על ידי</w:t>
      </w:r>
      <w:r w:rsidR="002A55D6" w:rsidRPr="00162857">
        <w:rPr>
          <w:rFonts w:hint="cs"/>
          <w:rtl/>
        </w:rPr>
        <w:t xml:space="preserve"> הבנק ועד להתחלת הבנ</w:t>
      </w:r>
      <w:r w:rsidR="00510AA6" w:rsidRPr="00162857">
        <w:rPr>
          <w:rFonts w:hint="cs"/>
          <w:rtl/>
        </w:rPr>
        <w:t>י</w:t>
      </w:r>
      <w:r w:rsidR="002A55D6" w:rsidRPr="00162857">
        <w:rPr>
          <w:rFonts w:hint="cs"/>
          <w:rtl/>
        </w:rPr>
        <w:t>יה</w:t>
      </w:r>
      <w:r w:rsidR="00381B61" w:rsidRPr="00162857">
        <w:rPr>
          <w:rFonts w:hint="cs"/>
          <w:rtl/>
        </w:rPr>
        <w:t>. תקופה זו</w:t>
      </w:r>
      <w:r w:rsidR="002A55D6" w:rsidRPr="00162857">
        <w:rPr>
          <w:rFonts w:hint="cs"/>
          <w:rtl/>
        </w:rPr>
        <w:t xml:space="preserve">, משקפת את </w:t>
      </w:r>
      <w:r w:rsidR="00CE658E" w:rsidRPr="00162857">
        <w:rPr>
          <w:rFonts w:hint="cs"/>
          <w:rtl/>
        </w:rPr>
        <w:t xml:space="preserve">רמת </w:t>
      </w:r>
      <w:r w:rsidR="002A55D6" w:rsidRPr="00162857">
        <w:rPr>
          <w:rFonts w:hint="cs"/>
          <w:rtl/>
        </w:rPr>
        <w:t xml:space="preserve">הסיכון לכך שהאישורים </w:t>
      </w:r>
      <w:r w:rsidR="0005064B" w:rsidRPr="00162857">
        <w:rPr>
          <w:rFonts w:hint="cs"/>
          <w:rtl/>
        </w:rPr>
        <w:t xml:space="preserve">שנדרשים </w:t>
      </w:r>
      <w:r w:rsidR="002A55D6" w:rsidRPr="00162857">
        <w:rPr>
          <w:rFonts w:hint="cs"/>
          <w:rtl/>
        </w:rPr>
        <w:t>לא יתקבלו</w:t>
      </w:r>
      <w:r w:rsidR="00724820" w:rsidRPr="00162857">
        <w:rPr>
          <w:rFonts w:hint="cs"/>
          <w:rtl/>
        </w:rPr>
        <w:t xml:space="preserve"> ולא </w:t>
      </w:r>
      <w:r w:rsidR="0005064B" w:rsidRPr="00162857">
        <w:rPr>
          <w:rFonts w:hint="cs"/>
          <w:rtl/>
        </w:rPr>
        <w:t xml:space="preserve">יהיה </w:t>
      </w:r>
      <w:r w:rsidR="00724820" w:rsidRPr="00162857">
        <w:rPr>
          <w:rFonts w:hint="cs"/>
          <w:rtl/>
        </w:rPr>
        <w:t xml:space="preserve">ניתן לממש את הבנייה. תהליכי האישור בישראל לפרוייקטים שממומנים ע"י </w:t>
      </w:r>
      <w:r w:rsidR="00523ECA" w:rsidRPr="00162857">
        <w:rPr>
          <w:rFonts w:hint="cs"/>
          <w:rtl/>
        </w:rPr>
        <w:t>הבנקים הגדולים</w:t>
      </w:r>
      <w:r w:rsidR="00724820" w:rsidRPr="00162857">
        <w:rPr>
          <w:rFonts w:hint="cs"/>
          <w:rtl/>
        </w:rPr>
        <w:t xml:space="preserve"> נמשך כ-2.4 שנים בממוצע והוא תלוי בהליכי בירוקרטי</w:t>
      </w:r>
      <w:r w:rsidR="00381B61" w:rsidRPr="00162857">
        <w:rPr>
          <w:rFonts w:hint="cs"/>
          <w:rtl/>
        </w:rPr>
        <w:t>ה</w:t>
      </w:r>
      <w:r w:rsidR="00724820" w:rsidRPr="00162857">
        <w:rPr>
          <w:rFonts w:hint="cs"/>
          <w:rtl/>
        </w:rPr>
        <w:t xml:space="preserve"> במתן האישורים. ככל שהליכי האישור מתעכבים</w:t>
      </w:r>
      <w:r w:rsidR="0005064B" w:rsidRPr="00162857">
        <w:rPr>
          <w:rFonts w:hint="cs"/>
          <w:rtl/>
        </w:rPr>
        <w:t>,</w:t>
      </w:r>
      <w:r w:rsidR="00724820" w:rsidRPr="00162857">
        <w:rPr>
          <w:rFonts w:hint="cs"/>
          <w:rtl/>
        </w:rPr>
        <w:t xml:space="preserve"> גיל הקרקע עולה וכך גם </w:t>
      </w:r>
      <w:r w:rsidR="00CE658E" w:rsidRPr="00162857">
        <w:rPr>
          <w:rFonts w:hint="cs"/>
          <w:rtl/>
        </w:rPr>
        <w:t xml:space="preserve">רמת </w:t>
      </w:r>
      <w:r w:rsidR="00724820" w:rsidRPr="00162857">
        <w:rPr>
          <w:rFonts w:hint="cs"/>
          <w:rtl/>
        </w:rPr>
        <w:t>הסיכון לבנק.</w:t>
      </w:r>
      <w:r w:rsidR="0094042D" w:rsidRPr="0094042D">
        <w:rPr>
          <w:rFonts w:hint="cs"/>
          <w:rtl/>
        </w:rPr>
        <w:t xml:space="preserve"> </w:t>
      </w:r>
      <w:r w:rsidR="0094042D" w:rsidRPr="0005537D">
        <w:rPr>
          <w:rFonts w:hint="cs"/>
          <w:rtl/>
        </w:rPr>
        <w:t xml:space="preserve">בהקשר זה נציין </w:t>
      </w:r>
      <w:r w:rsidR="0094042D">
        <w:rPr>
          <w:rFonts w:hint="cs"/>
          <w:rtl/>
        </w:rPr>
        <w:t xml:space="preserve">שרמת </w:t>
      </w:r>
      <w:r w:rsidR="0094042D" w:rsidRPr="0005537D">
        <w:rPr>
          <w:rFonts w:hint="cs"/>
          <w:rtl/>
        </w:rPr>
        <w:t xml:space="preserve">סיכון האשראי </w:t>
      </w:r>
      <w:r w:rsidR="0094042D">
        <w:rPr>
          <w:rFonts w:hint="cs"/>
          <w:rtl/>
        </w:rPr>
        <w:t xml:space="preserve">נמצאת </w:t>
      </w:r>
      <w:r w:rsidR="0094042D" w:rsidRPr="0005537D">
        <w:rPr>
          <w:rFonts w:hint="cs"/>
          <w:rtl/>
        </w:rPr>
        <w:t>במגמת עלי</w:t>
      </w:r>
      <w:r w:rsidR="0094042D">
        <w:rPr>
          <w:rFonts w:hint="cs"/>
          <w:rtl/>
        </w:rPr>
        <w:t>י</w:t>
      </w:r>
      <w:r w:rsidR="0094042D" w:rsidRPr="0005537D">
        <w:rPr>
          <w:rFonts w:hint="cs"/>
          <w:rtl/>
        </w:rPr>
        <w:t xml:space="preserve">ה, בין היתר, </w:t>
      </w:r>
      <w:r w:rsidR="0094042D" w:rsidRPr="0005537D">
        <w:rPr>
          <w:rFonts w:hint="eastAsia"/>
          <w:rtl/>
        </w:rPr>
        <w:t>לנוכח</w:t>
      </w:r>
      <w:r w:rsidR="0094042D" w:rsidRPr="0005537D">
        <w:rPr>
          <w:rtl/>
        </w:rPr>
        <w:t xml:space="preserve"> </w:t>
      </w:r>
      <w:r w:rsidR="0094042D" w:rsidRPr="0005537D">
        <w:rPr>
          <w:rFonts w:hint="cs"/>
          <w:rtl/>
        </w:rPr>
        <w:t xml:space="preserve">התארכות </w:t>
      </w:r>
      <w:r w:rsidR="0094042D" w:rsidRPr="0005537D">
        <w:rPr>
          <w:rFonts w:hint="eastAsia"/>
          <w:rtl/>
        </w:rPr>
        <w:t>תהליכי</w:t>
      </w:r>
      <w:r w:rsidR="0094042D" w:rsidRPr="0005537D">
        <w:rPr>
          <w:rtl/>
        </w:rPr>
        <w:t xml:space="preserve"> </w:t>
      </w:r>
      <w:r w:rsidR="0094042D" w:rsidRPr="0005537D">
        <w:rPr>
          <w:rFonts w:hint="eastAsia"/>
          <w:rtl/>
        </w:rPr>
        <w:t>הבנ</w:t>
      </w:r>
      <w:r w:rsidR="0094042D">
        <w:rPr>
          <w:rFonts w:hint="cs"/>
          <w:rtl/>
        </w:rPr>
        <w:t>י</w:t>
      </w:r>
      <w:r w:rsidR="0094042D" w:rsidRPr="0005537D">
        <w:rPr>
          <w:rFonts w:hint="eastAsia"/>
          <w:rtl/>
        </w:rPr>
        <w:t>יה</w:t>
      </w:r>
      <w:r w:rsidR="0094042D" w:rsidRPr="0005537D">
        <w:rPr>
          <w:rtl/>
        </w:rPr>
        <w:t xml:space="preserve"> </w:t>
      </w:r>
      <w:r w:rsidR="0094042D" w:rsidRPr="0005537D">
        <w:rPr>
          <w:rFonts w:hint="eastAsia"/>
          <w:rtl/>
        </w:rPr>
        <w:t>והתכנון</w:t>
      </w:r>
      <w:r w:rsidR="0094042D" w:rsidRPr="0005537D">
        <w:rPr>
          <w:rFonts w:hint="cs"/>
          <w:rtl/>
        </w:rPr>
        <w:t xml:space="preserve"> בשנים האחרונות.</w:t>
      </w:r>
    </w:p>
    <w:p w:rsidR="004D51F9" w:rsidRDefault="00977CC5" w:rsidP="0094042D">
      <w:pPr>
        <w:pStyle w:val="2"/>
        <w:numPr>
          <w:ilvl w:val="0"/>
          <w:numId w:val="0"/>
        </w:numPr>
        <w:tabs>
          <w:tab w:val="clear" w:pos="1140"/>
        </w:tabs>
        <w:ind w:left="452"/>
        <w:rPr>
          <w:rtl/>
        </w:rPr>
      </w:pPr>
      <w:r>
        <w:rPr>
          <w:rFonts w:hint="cs"/>
          <w:rtl/>
        </w:rPr>
        <w:t>כ-</w:t>
      </w:r>
      <w:r w:rsidR="004D51F9" w:rsidRPr="0005537D">
        <w:rPr>
          <w:rFonts w:hint="cs"/>
          <w:rtl/>
        </w:rPr>
        <w:t>21% מהמימון ל</w:t>
      </w:r>
      <w:r w:rsidR="0094042D">
        <w:rPr>
          <w:rFonts w:hint="cs"/>
          <w:rtl/>
        </w:rPr>
        <w:t>קרקעות</w:t>
      </w:r>
      <w:r w:rsidR="004D51F9" w:rsidRPr="0005537D">
        <w:rPr>
          <w:rFonts w:hint="cs"/>
          <w:rtl/>
        </w:rPr>
        <w:t xml:space="preserve"> (בהיקף חשיפה של </w:t>
      </w:r>
      <w:r>
        <w:rPr>
          <w:rFonts w:hint="cs"/>
          <w:rtl/>
        </w:rPr>
        <w:t>כ-</w:t>
      </w:r>
      <w:r w:rsidR="004D51F9" w:rsidRPr="0005537D">
        <w:rPr>
          <w:rFonts w:hint="cs"/>
          <w:rtl/>
        </w:rPr>
        <w:t xml:space="preserve">9 מיליארד </w:t>
      </w:r>
      <w:r>
        <w:rPr>
          <w:rFonts w:hint="cs"/>
          <w:rtl/>
        </w:rPr>
        <w:t>ש</w:t>
      </w:r>
      <w:r w:rsidR="00866172">
        <w:rPr>
          <w:rFonts w:hint="cs"/>
          <w:rtl/>
        </w:rPr>
        <w:t>"</w:t>
      </w:r>
      <w:r>
        <w:rPr>
          <w:rFonts w:hint="cs"/>
          <w:rtl/>
        </w:rPr>
        <w:t>ח</w:t>
      </w:r>
      <w:r w:rsidR="004D51F9" w:rsidRPr="0005537D">
        <w:rPr>
          <w:rFonts w:hint="cs"/>
          <w:rtl/>
        </w:rPr>
        <w:t>)</w:t>
      </w:r>
      <w:r w:rsidR="0005064B">
        <w:rPr>
          <w:rFonts w:hint="cs"/>
          <w:rtl/>
        </w:rPr>
        <w:t>,</w:t>
      </w:r>
      <w:r w:rsidR="004D51F9" w:rsidRPr="0005537D">
        <w:rPr>
          <w:rFonts w:hint="cs"/>
          <w:rtl/>
        </w:rPr>
        <w:t xml:space="preserve"> מועמד ל</w:t>
      </w:r>
      <w:r w:rsidR="0094042D">
        <w:rPr>
          <w:rFonts w:hint="cs"/>
          <w:rtl/>
        </w:rPr>
        <w:t>קרקעות</w:t>
      </w:r>
      <w:r w:rsidR="004D51F9" w:rsidRPr="0005537D">
        <w:rPr>
          <w:rFonts w:hint="cs"/>
          <w:rtl/>
        </w:rPr>
        <w:t xml:space="preserve"> שגילן עולה על 3 שנים</w:t>
      </w:r>
      <w:r w:rsidR="0094042D">
        <w:rPr>
          <w:rFonts w:hint="cs"/>
          <w:rtl/>
        </w:rPr>
        <w:t xml:space="preserve"> (קרקעות וותיקו</w:t>
      </w:r>
      <w:r w:rsidR="0094042D">
        <w:rPr>
          <w:rFonts w:hint="eastAsia"/>
          <w:rtl/>
        </w:rPr>
        <w:t>ת</w:t>
      </w:r>
      <w:r w:rsidR="0094042D">
        <w:rPr>
          <w:rFonts w:hint="cs"/>
          <w:rtl/>
        </w:rPr>
        <w:t>)</w:t>
      </w:r>
      <w:r w:rsidR="004D51F9" w:rsidRPr="0005537D">
        <w:rPr>
          <w:rFonts w:hint="cs"/>
          <w:rtl/>
        </w:rPr>
        <w:t>.</w:t>
      </w:r>
      <w:r w:rsidR="0094042D">
        <w:rPr>
          <w:rFonts w:hint="cs"/>
          <w:rtl/>
        </w:rPr>
        <w:t xml:space="preserve"> </w:t>
      </w:r>
      <w:r>
        <w:rPr>
          <w:rFonts w:hint="cs"/>
          <w:rtl/>
        </w:rPr>
        <w:t>כ-</w:t>
      </w:r>
      <w:r w:rsidR="004D51F9" w:rsidRPr="0005537D">
        <w:rPr>
          <w:rFonts w:hint="cs"/>
          <w:rtl/>
        </w:rPr>
        <w:t xml:space="preserve">60% </w:t>
      </w:r>
      <w:r w:rsidR="0094042D">
        <w:rPr>
          <w:rFonts w:hint="cs"/>
          <w:rtl/>
        </w:rPr>
        <w:t>מהקרקעות הוותיקו</w:t>
      </w:r>
      <w:r w:rsidR="0094042D">
        <w:rPr>
          <w:rFonts w:hint="eastAsia"/>
          <w:rtl/>
        </w:rPr>
        <w:t>ת</w:t>
      </w:r>
      <w:r w:rsidR="0005064B">
        <w:rPr>
          <w:rFonts w:hint="cs"/>
          <w:rtl/>
        </w:rPr>
        <w:t>,</w:t>
      </w:r>
      <w:r w:rsidR="004D51F9" w:rsidRPr="0005537D">
        <w:rPr>
          <w:rFonts w:hint="cs"/>
          <w:rtl/>
        </w:rPr>
        <w:t xml:space="preserve"> מיועד</w:t>
      </w:r>
      <w:r w:rsidR="0005064B">
        <w:rPr>
          <w:rFonts w:hint="cs"/>
          <w:rtl/>
        </w:rPr>
        <w:t xml:space="preserve"> לפי האומדן</w:t>
      </w:r>
      <w:r w:rsidR="004D51F9" w:rsidRPr="0005537D">
        <w:rPr>
          <w:rFonts w:hint="cs"/>
          <w:rtl/>
        </w:rPr>
        <w:t xml:space="preserve"> למימון קרקע</w:t>
      </w:r>
      <w:r w:rsidR="0094042D">
        <w:rPr>
          <w:rFonts w:hint="cs"/>
          <w:rtl/>
        </w:rPr>
        <w:t>ות</w:t>
      </w:r>
      <w:r w:rsidR="004D51F9" w:rsidRPr="0005537D">
        <w:rPr>
          <w:rFonts w:hint="cs"/>
          <w:rtl/>
        </w:rPr>
        <w:t xml:space="preserve"> לפרוייקטים למגורים שאינם במסגרת תכנית </w:t>
      </w:r>
      <w:r w:rsidR="0005064B">
        <w:rPr>
          <w:rFonts w:hint="cs"/>
          <w:rtl/>
        </w:rPr>
        <w:t>"</w:t>
      </w:r>
      <w:r w:rsidR="004D51F9" w:rsidRPr="0005537D">
        <w:rPr>
          <w:rFonts w:hint="cs"/>
          <w:rtl/>
        </w:rPr>
        <w:t>מחיר למשתכן</w:t>
      </w:r>
      <w:r w:rsidR="0005064B">
        <w:rPr>
          <w:rFonts w:hint="cs"/>
          <w:rtl/>
        </w:rPr>
        <w:t>"</w:t>
      </w:r>
      <w:r w:rsidR="004D51F9" w:rsidRPr="0005537D">
        <w:rPr>
          <w:rFonts w:hint="cs"/>
          <w:rtl/>
        </w:rPr>
        <w:t xml:space="preserve">. </w:t>
      </w:r>
      <w:bookmarkEnd w:id="13"/>
      <w:bookmarkEnd w:id="14"/>
      <w:bookmarkEnd w:id="15"/>
    </w:p>
    <w:p w:rsidR="0078266B" w:rsidRPr="0078266B" w:rsidRDefault="0078266B">
      <w:pPr>
        <w:tabs>
          <w:tab w:val="clear" w:pos="567"/>
          <w:tab w:val="clear" w:pos="1134"/>
          <w:tab w:val="clear" w:pos="1814"/>
          <w:tab w:val="clear" w:pos="2665"/>
        </w:tabs>
        <w:bidi w:val="0"/>
        <w:spacing w:line="240" w:lineRule="auto"/>
        <w:jc w:val="left"/>
        <w:rPr>
          <w:color w:val="4F81BD" w:themeColor="accent1"/>
          <w:kern w:val="28"/>
          <w:sz w:val="26"/>
          <w:szCs w:val="26"/>
          <w:rtl/>
        </w:rPr>
      </w:pPr>
      <w:r w:rsidRPr="0078266B">
        <w:rPr>
          <w:color w:val="4F81BD" w:themeColor="accent1"/>
          <w:sz w:val="26"/>
          <w:szCs w:val="26"/>
          <w:rtl/>
        </w:rPr>
        <w:br w:type="page"/>
      </w:r>
    </w:p>
    <w:p w:rsidR="00A8399D" w:rsidRPr="00162857" w:rsidRDefault="00BF5A01" w:rsidP="00162857">
      <w:pPr>
        <w:pStyle w:val="2"/>
        <w:numPr>
          <w:ilvl w:val="0"/>
          <w:numId w:val="0"/>
        </w:numPr>
        <w:ind w:left="26"/>
        <w:jc w:val="left"/>
        <w:rPr>
          <w:b/>
          <w:bCs/>
          <w:color w:val="4F81BD" w:themeColor="accent1"/>
          <w:sz w:val="26"/>
          <w:szCs w:val="26"/>
          <w:u w:val="single"/>
          <w:rtl/>
        </w:rPr>
      </w:pPr>
      <w:r w:rsidRPr="00162857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lastRenderedPageBreak/>
        <w:t>אשראי שאינו</w:t>
      </w:r>
      <w:r w:rsidR="005B7E3F" w:rsidRPr="00162857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t xml:space="preserve"> </w:t>
      </w:r>
      <w:r w:rsidRPr="00162857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t xml:space="preserve">מיועד למימון נכסים </w:t>
      </w:r>
      <w:r w:rsidR="0005064B" w:rsidRPr="00162857">
        <w:rPr>
          <w:rFonts w:hint="cs"/>
          <w:b/>
          <w:bCs/>
          <w:color w:val="4F81BD" w:themeColor="accent1"/>
          <w:sz w:val="26"/>
          <w:szCs w:val="26"/>
          <w:u w:val="single"/>
          <w:rtl/>
        </w:rPr>
        <w:t>ייחודיים</w:t>
      </w:r>
    </w:p>
    <w:p w:rsidR="00A8399D" w:rsidRPr="0058348E" w:rsidRDefault="00523ECA" w:rsidP="0094042D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</w:pPr>
      <w:r w:rsidRPr="0058348E">
        <w:rPr>
          <w:rFonts w:hint="cs"/>
          <w:rtl/>
        </w:rPr>
        <w:t>כ</w:t>
      </w:r>
      <w:r w:rsidR="00977CC5">
        <w:rPr>
          <w:rFonts w:hint="cs"/>
          <w:rtl/>
        </w:rPr>
        <w:t>-</w:t>
      </w:r>
      <w:r w:rsidRPr="0058348E">
        <w:rPr>
          <w:rFonts w:hint="cs"/>
          <w:rtl/>
        </w:rPr>
        <w:t xml:space="preserve">40 מיליארד </w:t>
      </w:r>
      <w:r w:rsidR="00977CC5">
        <w:rPr>
          <w:rFonts w:hint="cs"/>
          <w:rtl/>
        </w:rPr>
        <w:t>ש"ח</w:t>
      </w:r>
      <w:r w:rsidR="00ED225F">
        <w:rPr>
          <w:rFonts w:hint="cs"/>
          <w:rtl/>
        </w:rPr>
        <w:t>,</w:t>
      </w:r>
      <w:r w:rsidRPr="0058348E">
        <w:rPr>
          <w:rFonts w:hint="cs"/>
          <w:rtl/>
        </w:rPr>
        <w:t xml:space="preserve"> </w:t>
      </w:r>
      <w:r w:rsidR="00977CC5">
        <w:rPr>
          <w:rFonts w:hint="cs"/>
          <w:rtl/>
        </w:rPr>
        <w:t>שהם</w:t>
      </w:r>
      <w:r w:rsidRPr="0058348E">
        <w:rPr>
          <w:rFonts w:hint="cs"/>
          <w:rtl/>
        </w:rPr>
        <w:t xml:space="preserve"> כ</w:t>
      </w:r>
      <w:r w:rsidR="00977CC5">
        <w:rPr>
          <w:rFonts w:hint="cs"/>
          <w:rtl/>
        </w:rPr>
        <w:t>-</w:t>
      </w:r>
      <w:r w:rsidR="00A8399D" w:rsidRPr="0058348E">
        <w:rPr>
          <w:rFonts w:hint="cs"/>
          <w:rtl/>
        </w:rPr>
        <w:t>13% מהאשראי שנבחן</w:t>
      </w:r>
      <w:r w:rsidR="00ED225F">
        <w:rPr>
          <w:rFonts w:hint="cs"/>
          <w:rtl/>
        </w:rPr>
        <w:t>,</w:t>
      </w:r>
      <w:r w:rsidR="00A8399D" w:rsidRPr="0058348E">
        <w:rPr>
          <w:rFonts w:hint="cs"/>
          <w:rtl/>
        </w:rPr>
        <w:t xml:space="preserve"> </w:t>
      </w:r>
      <w:r w:rsidR="00ED225F" w:rsidRPr="0058348E">
        <w:rPr>
          <w:rFonts w:hint="cs"/>
          <w:rtl/>
        </w:rPr>
        <w:t>ה</w:t>
      </w:r>
      <w:r w:rsidR="00381B61">
        <w:rPr>
          <w:rFonts w:hint="cs"/>
          <w:rtl/>
        </w:rPr>
        <w:t>ם</w:t>
      </w:r>
      <w:r w:rsidR="00ED225F" w:rsidRPr="0058348E">
        <w:rPr>
          <w:rFonts w:hint="cs"/>
          <w:rtl/>
        </w:rPr>
        <w:t xml:space="preserve"> </w:t>
      </w:r>
      <w:r w:rsidR="00A8399D" w:rsidRPr="0058348E">
        <w:rPr>
          <w:rFonts w:hint="cs"/>
          <w:rtl/>
        </w:rPr>
        <w:t xml:space="preserve">אשראי </w:t>
      </w:r>
      <w:r w:rsidR="00ED225F" w:rsidRPr="0058348E">
        <w:rPr>
          <w:rFonts w:hint="cs"/>
          <w:rtl/>
        </w:rPr>
        <w:t>ש</w:t>
      </w:r>
      <w:r w:rsidR="00ED225F">
        <w:rPr>
          <w:rFonts w:hint="cs"/>
          <w:rtl/>
        </w:rPr>
        <w:t>לא</w:t>
      </w:r>
      <w:r w:rsidR="00ED225F" w:rsidRPr="0058348E">
        <w:rPr>
          <w:rFonts w:hint="cs"/>
          <w:rtl/>
        </w:rPr>
        <w:t xml:space="preserve"> </w:t>
      </w:r>
      <w:r w:rsidR="00A8399D" w:rsidRPr="0058348E">
        <w:rPr>
          <w:rFonts w:hint="cs"/>
          <w:rtl/>
        </w:rPr>
        <w:t>ניתן למימון פרו</w:t>
      </w:r>
      <w:r w:rsidR="00A434E6">
        <w:rPr>
          <w:rFonts w:hint="cs"/>
          <w:rtl/>
        </w:rPr>
        <w:t>י</w:t>
      </w:r>
      <w:r w:rsidR="00A8399D" w:rsidRPr="0058348E">
        <w:rPr>
          <w:rFonts w:hint="cs"/>
          <w:rtl/>
        </w:rPr>
        <w:t xml:space="preserve">יקט מסוים או נכס </w:t>
      </w:r>
      <w:r w:rsidR="00ED225F">
        <w:rPr>
          <w:rFonts w:hint="cs"/>
          <w:rtl/>
        </w:rPr>
        <w:t>ייחודי</w:t>
      </w:r>
      <w:r w:rsidR="00A8399D" w:rsidRPr="0058348E">
        <w:rPr>
          <w:rFonts w:hint="cs"/>
          <w:rtl/>
        </w:rPr>
        <w:t xml:space="preserve">, כך שמקור ההחזר שלו </w:t>
      </w:r>
      <w:r w:rsidR="00ED225F">
        <w:rPr>
          <w:rFonts w:hint="cs"/>
          <w:rtl/>
        </w:rPr>
        <w:t>הוא לרוב לא</w:t>
      </w:r>
      <w:r w:rsidR="00A8399D" w:rsidRPr="0058348E">
        <w:rPr>
          <w:rFonts w:hint="cs"/>
          <w:rtl/>
        </w:rPr>
        <w:t xml:space="preserve"> </w:t>
      </w:r>
      <w:r w:rsidR="00ED225F">
        <w:rPr>
          <w:rFonts w:hint="cs"/>
          <w:rtl/>
        </w:rPr>
        <w:t>משוריין (</w:t>
      </w:r>
      <w:r w:rsidR="00A8399D" w:rsidRPr="0058348E">
        <w:rPr>
          <w:rFonts w:hint="cs"/>
          <w:rtl/>
        </w:rPr>
        <w:t>"צבוע"</w:t>
      </w:r>
      <w:r w:rsidR="00ED225F">
        <w:rPr>
          <w:rFonts w:hint="cs"/>
          <w:rtl/>
        </w:rPr>
        <w:t>)</w:t>
      </w:r>
      <w:r w:rsidR="00A8399D" w:rsidRPr="0058348E">
        <w:rPr>
          <w:rFonts w:hint="cs"/>
          <w:rtl/>
        </w:rPr>
        <w:t xml:space="preserve"> ולכן רמת הסיכון שלו גבוהה. אשראי זה כולל גם מימון לקבלני ביצוע לרכישת ציוד הנדסי כבד וכן לערבויות ביצוע לפרוייקטים, שאף הוא ברמת סיכון גבוהה.</w:t>
      </w:r>
      <w:r w:rsidR="007114B1">
        <w:rPr>
          <w:rFonts w:hint="cs"/>
          <w:rtl/>
        </w:rPr>
        <w:t xml:space="preserve"> </w:t>
      </w:r>
      <w:r w:rsidR="0094042D">
        <w:rPr>
          <w:rFonts w:hint="cs"/>
          <w:sz w:val="24"/>
          <w:rtl/>
        </w:rPr>
        <w:t>ע"פ אומדן משוער קיים כיסוי בטחונות ל</w:t>
      </w:r>
      <w:r w:rsidR="0094042D" w:rsidRPr="00F92616">
        <w:rPr>
          <w:rFonts w:hint="cs"/>
          <w:sz w:val="24"/>
          <w:rtl/>
        </w:rPr>
        <w:t>כ</w:t>
      </w:r>
      <w:r w:rsidR="0094042D">
        <w:rPr>
          <w:rFonts w:hint="cs"/>
          <w:sz w:val="24"/>
          <w:rtl/>
        </w:rPr>
        <w:t>-50%</w:t>
      </w:r>
      <w:r w:rsidR="0094042D" w:rsidRPr="00F92616">
        <w:rPr>
          <w:rFonts w:hint="cs"/>
          <w:sz w:val="24"/>
          <w:rtl/>
        </w:rPr>
        <w:t xml:space="preserve"> </w:t>
      </w:r>
      <w:r w:rsidR="0094042D">
        <w:rPr>
          <w:rFonts w:hint="cs"/>
          <w:sz w:val="24"/>
          <w:rtl/>
        </w:rPr>
        <w:t>מאשראי זה</w:t>
      </w:r>
      <w:r w:rsidR="0094042D">
        <w:rPr>
          <w:rFonts w:hint="cs"/>
          <w:rtl/>
        </w:rPr>
        <w:t xml:space="preserve"> </w:t>
      </w:r>
      <w:r w:rsidR="007114B1">
        <w:rPr>
          <w:rFonts w:hint="cs"/>
          <w:rtl/>
        </w:rPr>
        <w:t xml:space="preserve">בהיקף של כ </w:t>
      </w:r>
      <w:r w:rsidR="007114B1">
        <w:rPr>
          <w:rtl/>
        </w:rPr>
        <w:t>–</w:t>
      </w:r>
      <w:r w:rsidR="007114B1">
        <w:rPr>
          <w:rFonts w:hint="cs"/>
          <w:rtl/>
        </w:rPr>
        <w:t xml:space="preserve"> 20 מיליארד ₪</w:t>
      </w:r>
      <w:r w:rsidR="0094042D">
        <w:rPr>
          <w:rFonts w:hint="cs"/>
          <w:rtl/>
        </w:rPr>
        <w:t>.</w:t>
      </w:r>
    </w:p>
    <w:p w:rsidR="00BF5A01" w:rsidRPr="0005537D" w:rsidRDefault="00A8399D" w:rsidP="0032327B">
      <w:pPr>
        <w:pStyle w:val="1"/>
        <w:numPr>
          <w:ilvl w:val="0"/>
          <w:numId w:val="0"/>
        </w:numPr>
        <w:tabs>
          <w:tab w:val="clear" w:pos="1814"/>
          <w:tab w:val="clear" w:pos="2665"/>
        </w:tabs>
        <w:spacing w:after="240"/>
        <w:ind w:left="26"/>
        <w:rPr>
          <w:rtl/>
        </w:rPr>
      </w:pPr>
      <w:r w:rsidRPr="0005537D">
        <w:rPr>
          <w:rFonts w:hint="cs"/>
          <w:rtl/>
        </w:rPr>
        <w:t xml:space="preserve">עם </w:t>
      </w:r>
      <w:r w:rsidR="00ED225F" w:rsidRPr="0005537D">
        <w:rPr>
          <w:rFonts w:hint="cs"/>
          <w:rtl/>
        </w:rPr>
        <w:t>ז</w:t>
      </w:r>
      <w:r w:rsidR="00ED225F">
        <w:rPr>
          <w:rFonts w:hint="cs"/>
          <w:rtl/>
        </w:rPr>
        <w:t>ה</w:t>
      </w:r>
      <w:r w:rsidRPr="0005537D">
        <w:rPr>
          <w:rFonts w:hint="cs"/>
          <w:rtl/>
        </w:rPr>
        <w:t xml:space="preserve">, מבדיקה </w:t>
      </w:r>
      <w:r w:rsidR="00523ECA">
        <w:rPr>
          <w:rFonts w:hint="cs"/>
          <w:rtl/>
        </w:rPr>
        <w:t>שנערכה</w:t>
      </w:r>
      <w:r w:rsidRPr="0005537D">
        <w:rPr>
          <w:rFonts w:hint="cs"/>
          <w:rtl/>
        </w:rPr>
        <w:t xml:space="preserve"> לגבי </w:t>
      </w:r>
      <w:r w:rsidR="00ED225F">
        <w:rPr>
          <w:rFonts w:hint="cs"/>
          <w:rtl/>
        </w:rPr>
        <w:t>חיתוך</w:t>
      </w:r>
      <w:r w:rsidR="00ED225F" w:rsidRPr="0005537D">
        <w:rPr>
          <w:rFonts w:hint="cs"/>
          <w:rtl/>
        </w:rPr>
        <w:t xml:space="preserve"> </w:t>
      </w:r>
      <w:r w:rsidRPr="0005537D">
        <w:rPr>
          <w:rFonts w:hint="cs"/>
          <w:rtl/>
        </w:rPr>
        <w:t>האשראי</w:t>
      </w:r>
      <w:r w:rsidR="00523ECA">
        <w:rPr>
          <w:rFonts w:hint="cs"/>
          <w:rtl/>
        </w:rPr>
        <w:t>,</w:t>
      </w:r>
      <w:r w:rsidRPr="0005537D">
        <w:rPr>
          <w:rFonts w:hint="cs"/>
          <w:rtl/>
        </w:rPr>
        <w:t xml:space="preserve"> עולה </w:t>
      </w:r>
      <w:r w:rsidR="00ED225F">
        <w:rPr>
          <w:rFonts w:hint="cs"/>
          <w:rtl/>
        </w:rPr>
        <w:t>ש</w:t>
      </w:r>
      <w:r w:rsidRPr="0005537D">
        <w:rPr>
          <w:rFonts w:hint="cs"/>
          <w:rtl/>
        </w:rPr>
        <w:t>בקבוצה זו כל</w:t>
      </w:r>
      <w:r w:rsidR="00ED225F">
        <w:rPr>
          <w:rFonts w:hint="cs"/>
          <w:rtl/>
        </w:rPr>
        <w:t>ו</w:t>
      </w:r>
      <w:r w:rsidRPr="0005537D">
        <w:rPr>
          <w:rFonts w:hint="cs"/>
          <w:rtl/>
        </w:rPr>
        <w:t>לים גם אשראים ברמות סיכון מתונות יותר</w:t>
      </w:r>
      <w:r w:rsidR="00ED225F">
        <w:rPr>
          <w:rFonts w:hint="cs"/>
          <w:rtl/>
        </w:rPr>
        <w:t>,</w:t>
      </w:r>
      <w:r w:rsidRPr="0005537D">
        <w:rPr>
          <w:rFonts w:hint="cs"/>
          <w:rtl/>
        </w:rPr>
        <w:t xml:space="preserve"> כגון: ערבויות במסגרת מימון פרוייקטים של תמ"א</w:t>
      </w:r>
      <w:r w:rsidR="00ED225F">
        <w:rPr>
          <w:rFonts w:hint="cs"/>
          <w:rtl/>
        </w:rPr>
        <w:t>;</w:t>
      </w:r>
      <w:r w:rsidR="00ED225F" w:rsidRPr="0005537D">
        <w:rPr>
          <w:rFonts w:hint="cs"/>
          <w:rtl/>
        </w:rPr>
        <w:t xml:space="preserve"> </w:t>
      </w:r>
      <w:r w:rsidRPr="0005537D">
        <w:rPr>
          <w:rFonts w:hint="cs"/>
          <w:rtl/>
        </w:rPr>
        <w:t xml:space="preserve">אשראי לערבויות ביצוע </w:t>
      </w:r>
      <w:r w:rsidR="00ED225F">
        <w:rPr>
          <w:rFonts w:hint="cs"/>
          <w:rtl/>
        </w:rPr>
        <w:t>ש</w:t>
      </w:r>
      <w:r w:rsidR="00ED225F" w:rsidRPr="0005537D">
        <w:rPr>
          <w:rFonts w:hint="cs"/>
          <w:rtl/>
        </w:rPr>
        <w:t>מגובה</w:t>
      </w:r>
      <w:r w:rsidR="00ED225F">
        <w:rPr>
          <w:rFonts w:hint="cs"/>
          <w:rtl/>
        </w:rPr>
        <w:t xml:space="preserve"> </w:t>
      </w:r>
      <w:r w:rsidR="00BF5A01">
        <w:rPr>
          <w:rFonts w:hint="cs"/>
          <w:rtl/>
        </w:rPr>
        <w:t>בב</w:t>
      </w:r>
      <w:r w:rsidR="00D72982">
        <w:rPr>
          <w:rFonts w:hint="cs"/>
          <w:rtl/>
        </w:rPr>
        <w:t>י</w:t>
      </w:r>
      <w:r w:rsidR="00BF5A01">
        <w:rPr>
          <w:rFonts w:hint="cs"/>
          <w:rtl/>
        </w:rPr>
        <w:t>טחונות אקסוגניים.</w:t>
      </w:r>
    </w:p>
    <w:sectPr w:rsidR="00BF5A01" w:rsidRPr="0005537D" w:rsidSect="008B556B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endnotePr>
        <w:numFmt w:val="lowerLetter"/>
      </w:endnotePr>
      <w:pgSz w:w="11906" w:h="16838" w:code="9"/>
      <w:pgMar w:top="284" w:right="1588" w:bottom="284" w:left="1361" w:header="1077" w:footer="561" w:gutter="0"/>
      <w:cols w:space="720"/>
      <w:titlePg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3C" w:rsidRDefault="004D113C">
      <w:r>
        <w:separator/>
      </w:r>
    </w:p>
  </w:endnote>
  <w:endnote w:type="continuationSeparator" w:id="0">
    <w:p w:rsidR="004D113C" w:rsidRDefault="004D113C">
      <w:r>
        <w:continuationSeparator/>
      </w:r>
    </w:p>
  </w:endnote>
  <w:endnote w:type="continuationNotice" w:id="1">
    <w:p w:rsidR="004D113C" w:rsidRDefault="004D11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7B" w:rsidRDefault="0032327B" w:rsidP="0064358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32327B" w:rsidRDefault="003232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7B" w:rsidRPr="00D340F3" w:rsidRDefault="0032327B" w:rsidP="00EF237D">
    <w:pPr>
      <w:jc w:val="center"/>
      <w:rPr>
        <w:color w:val="FFFFFF"/>
        <w:sz w:val="2"/>
        <w:szCs w:val="2"/>
        <w:rtl/>
      </w:rPr>
    </w:pPr>
    <w:bookmarkStart w:id="16" w:name="DocOpen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3C" w:rsidRDefault="004D113C">
      <w:r>
        <w:separator/>
      </w:r>
    </w:p>
  </w:footnote>
  <w:footnote w:type="continuationSeparator" w:id="0">
    <w:p w:rsidR="004D113C" w:rsidRDefault="004D113C">
      <w:r>
        <w:continuationSeparator/>
      </w:r>
    </w:p>
  </w:footnote>
  <w:footnote w:type="continuationNotice" w:id="1">
    <w:p w:rsidR="004D113C" w:rsidRDefault="004D113C">
      <w:pPr>
        <w:spacing w:line="240" w:lineRule="auto"/>
      </w:pPr>
    </w:p>
  </w:footnote>
  <w:footnote w:id="2">
    <w:p w:rsidR="00B55B40" w:rsidRDefault="00B55B40" w:rsidP="00FF6E24">
      <w:pPr>
        <w:pStyle w:val="a7"/>
        <w:spacing w:line="240" w:lineRule="auto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"האשראי שנבחן" מתבסס על נתונים ייעודיי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שהתקבלו מחמשת הבנקים הגדולים לגבי החשיפה לענף הבינוי והנדל"ן בישראל ליום 30 ביוני. </w:t>
      </w:r>
      <w:r w:rsidR="00FF6E24">
        <w:rPr>
          <w:rFonts w:hint="cs"/>
          <w:rtl/>
        </w:rPr>
        <w:t xml:space="preserve">הנתונים אינם זהים לסיכון האשראי הכולל (מאזני וחוץ מאזני) בענף, אלא </w:t>
      </w:r>
      <w:r>
        <w:rPr>
          <w:rFonts w:hint="cs"/>
          <w:rtl/>
        </w:rPr>
        <w:t>מתייחסים למסגרות האשראי ולערבויות (</w:t>
      </w:r>
      <w:r w:rsidRPr="00B55B40">
        <w:rPr>
          <w:rFonts w:hint="cs"/>
          <w:b/>
          <w:bCs/>
          <w:rtl/>
        </w:rPr>
        <w:t>ללא שקלול נכסי סיכון</w:t>
      </w:r>
      <w:r>
        <w:rPr>
          <w:rFonts w:hint="cs"/>
          <w:rtl/>
        </w:rPr>
        <w:t xml:space="preserve">) מעל סף מסוים </w:t>
      </w:r>
      <w:r w:rsidR="00FF6E24">
        <w:rPr>
          <w:rFonts w:hint="cs"/>
          <w:rtl/>
        </w:rPr>
        <w:t xml:space="preserve">כפי שהוגדר </w:t>
      </w:r>
      <w:r>
        <w:rPr>
          <w:rFonts w:hint="cs"/>
          <w:rtl/>
        </w:rPr>
        <w:t>בכל בנק</w:t>
      </w:r>
      <w:r w:rsidR="00FF6E24">
        <w:rPr>
          <w:rFonts w:hint="cs"/>
          <w:rtl/>
        </w:rPr>
        <w:t xml:space="preserve">. </w:t>
      </w:r>
      <w:r>
        <w:rPr>
          <w:rFonts w:hint="cs"/>
          <w:rtl/>
        </w:rPr>
        <w:t xml:space="preserve">ע"פ אומדן </w:t>
      </w:r>
      <w:r w:rsidR="00FF6E24">
        <w:rPr>
          <w:rFonts w:hint="cs"/>
          <w:rtl/>
        </w:rPr>
        <w:t xml:space="preserve">נתונים אלו </w:t>
      </w:r>
      <w:r>
        <w:rPr>
          <w:rFonts w:hint="cs"/>
          <w:rtl/>
        </w:rPr>
        <w:t>מהווים אינדיקציה לגבי כ-85%-90% מתיק האשראי לענף. במקרים שבהם היו חסרים נתונים בחיתוך הנדרש, בוצעו אומדנים משלימים.</w:t>
      </w:r>
    </w:p>
    <w:p w:rsidR="00B55B40" w:rsidRPr="00FF6E24" w:rsidRDefault="00B55B40" w:rsidP="00FF6E24">
      <w:pPr>
        <w:pStyle w:val="a7"/>
        <w:spacing w:line="240" w:lineRule="auto"/>
        <w:rPr>
          <w:sz w:val="16"/>
          <w:szCs w:val="16"/>
        </w:rPr>
      </w:pPr>
    </w:p>
  </w:footnote>
  <w:footnote w:id="3">
    <w:p w:rsidR="0032327B" w:rsidRDefault="0032327B" w:rsidP="00FF6E24">
      <w:pPr>
        <w:pStyle w:val="a7"/>
        <w:spacing w:line="240" w:lineRule="auto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רמת הסיכון המוגברת, משקפת רכיב אשראי עם מדדי סיכון גבוהים </w:t>
      </w:r>
      <w:r w:rsidRPr="0023441F">
        <w:rPr>
          <w:rFonts w:hint="cs"/>
          <w:b/>
          <w:bCs/>
          <w:rtl/>
        </w:rPr>
        <w:t>באופן יחסי</w:t>
      </w:r>
      <w:r>
        <w:rPr>
          <w:rFonts w:hint="cs"/>
          <w:rtl/>
        </w:rPr>
        <w:t xml:space="preserve"> בכל פלח (ה"זנב" של התפלגות מדדי הסיכון שהוגדרו באותו פלח) ואינה משקפת בהכרח רמת סיכון גבוהה באופן מוחלט </w:t>
      </w:r>
      <w:r>
        <w:rPr>
          <w:rtl/>
        </w:rPr>
        <w:t>–</w:t>
      </w:r>
      <w:r>
        <w:rPr>
          <w:rFonts w:hint="cs"/>
          <w:rtl/>
        </w:rPr>
        <w:t xml:space="preserve"> ראה איור </w:t>
      </w:r>
      <w:r w:rsidRPr="00A51B14">
        <w:rPr>
          <w:rFonts w:hint="cs"/>
          <w:rtl/>
        </w:rPr>
        <w:t>1</w:t>
      </w:r>
    </w:p>
  </w:footnote>
  <w:footnote w:id="4">
    <w:p w:rsidR="0032327B" w:rsidRDefault="0032327B" w:rsidP="00B55B40">
      <w:pPr>
        <w:pStyle w:val="a7"/>
        <w:spacing w:line="240" w:lineRule="auto"/>
        <w:ind w:left="137" w:hanging="137"/>
      </w:pPr>
      <w:r>
        <w:rPr>
          <w:rStyle w:val="a9"/>
        </w:rPr>
        <w:footnoteRef/>
      </w:r>
      <w:r>
        <w:rPr>
          <w:rtl/>
        </w:rPr>
        <w:t xml:space="preserve"> </w:t>
      </w:r>
      <w:r w:rsidR="00B55B40">
        <w:rPr>
          <w:rFonts w:hint="cs"/>
          <w:rtl/>
        </w:rPr>
        <w:t>ראה הערת שוליים 1</w:t>
      </w:r>
      <w:r>
        <w:rPr>
          <w:rFonts w:hint="cs"/>
          <w:rtl/>
        </w:rPr>
        <w:t>.</w:t>
      </w:r>
    </w:p>
  </w:footnote>
  <w:footnote w:id="5">
    <w:p w:rsidR="0032327B" w:rsidRDefault="0032327B" w:rsidP="003C7CF0">
      <w:pPr>
        <w:pStyle w:val="a7"/>
        <w:spacing w:line="240" w:lineRule="auto"/>
        <w:ind w:left="137" w:hanging="13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E62C09">
        <w:rPr>
          <w:rFonts w:hint="cs"/>
          <w:rtl/>
        </w:rPr>
        <w:t xml:space="preserve">כך למשל, </w:t>
      </w:r>
      <w:r>
        <w:rPr>
          <w:rFonts w:hint="cs"/>
          <w:rtl/>
        </w:rPr>
        <w:t xml:space="preserve">בסקירה זו, </w:t>
      </w:r>
      <w:r w:rsidRPr="00E62C09">
        <w:rPr>
          <w:rFonts w:hint="cs"/>
          <w:rtl/>
        </w:rPr>
        <w:t xml:space="preserve">ערבות חוק מכר </w:t>
      </w:r>
      <w:r>
        <w:rPr>
          <w:rFonts w:hint="cs"/>
          <w:rtl/>
        </w:rPr>
        <w:t xml:space="preserve">כלולה בסכום הערבות המלא (1 ₪ ערבות = 1 ₪ אשראי) ולא </w:t>
      </w:r>
      <w:r w:rsidRPr="001213A5">
        <w:rPr>
          <w:rFonts w:hint="cs"/>
          <w:b/>
          <w:bCs/>
          <w:rtl/>
        </w:rPr>
        <w:t>לאחר</w:t>
      </w:r>
      <w:r>
        <w:rPr>
          <w:rFonts w:hint="cs"/>
          <w:rtl/>
        </w:rPr>
        <w:t xml:space="preserve"> שקלול נכסי סיכון </w:t>
      </w:r>
      <w:r w:rsidR="00FF6E24">
        <w:rPr>
          <w:rFonts w:hint="cs"/>
          <w:rtl/>
        </w:rPr>
        <w:t xml:space="preserve">כפי שנכלל </w:t>
      </w:r>
      <w:r>
        <w:rPr>
          <w:rFonts w:hint="cs"/>
          <w:rtl/>
        </w:rPr>
        <w:t>לצורך חישוב החבות (דהיינו שקלול לפי הסתברות המימוש של הערבות בשיעורים שבין</w:t>
      </w:r>
      <w:r w:rsidRPr="00E62C09">
        <w:rPr>
          <w:rFonts w:hint="cs"/>
          <w:rtl/>
        </w:rPr>
        <w:t xml:space="preserve"> 10%-30%</w:t>
      </w:r>
      <w:r>
        <w:rPr>
          <w:rFonts w:hint="cs"/>
          <w:rtl/>
        </w:rPr>
        <w:t>,</w:t>
      </w:r>
      <w:r w:rsidRPr="00E62C09">
        <w:rPr>
          <w:rFonts w:hint="cs"/>
          <w:rtl/>
        </w:rPr>
        <w:t xml:space="preserve"> כתלות בשלב </w:t>
      </w:r>
      <w:r>
        <w:rPr>
          <w:rFonts w:hint="cs"/>
          <w:rtl/>
        </w:rPr>
        <w:t>ש</w:t>
      </w:r>
      <w:r w:rsidRPr="00E62C09">
        <w:rPr>
          <w:rFonts w:hint="cs"/>
          <w:rtl/>
        </w:rPr>
        <w:t>בו נמסרות הדירות בפרוי</w:t>
      </w:r>
      <w:r>
        <w:rPr>
          <w:rFonts w:hint="cs"/>
          <w:rtl/>
        </w:rPr>
        <w:t>י</w:t>
      </w:r>
      <w:r w:rsidRPr="00E62C09">
        <w:rPr>
          <w:rFonts w:hint="cs"/>
          <w:rtl/>
        </w:rPr>
        <w:t>קט</w:t>
      </w:r>
      <w:r>
        <w:rPr>
          <w:rFonts w:hint="cs"/>
          <w:rtl/>
        </w:rPr>
        <w:t>).</w:t>
      </w:r>
    </w:p>
  </w:footnote>
  <w:footnote w:id="6">
    <w:p w:rsidR="0032327B" w:rsidRDefault="0032327B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סולם הערכת הסיכון:</w:t>
      </w:r>
    </w:p>
    <w:tbl>
      <w:tblPr>
        <w:tblStyle w:val="af0"/>
        <w:bidiVisual/>
        <w:tblW w:w="0" w:type="auto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90"/>
        <w:gridCol w:w="1790"/>
      </w:tblGrid>
      <w:tr w:rsidR="0032327B" w:rsidTr="00E752C3">
        <w:trPr>
          <w:trHeight w:val="133"/>
        </w:trPr>
        <w:tc>
          <w:tcPr>
            <w:tcW w:w="1789" w:type="dxa"/>
            <w:shd w:val="clear" w:color="auto" w:fill="92D050"/>
          </w:tcPr>
          <w:p w:rsidR="0032327B" w:rsidRPr="00E752C3" w:rsidRDefault="0032327B" w:rsidP="00E752C3">
            <w:pPr>
              <w:pStyle w:val="a7"/>
              <w:jc w:val="center"/>
              <w:rPr>
                <w:b/>
                <w:bCs/>
                <w:rtl/>
              </w:rPr>
            </w:pPr>
            <w:r w:rsidRPr="00E752C3">
              <w:rPr>
                <w:rFonts w:hint="cs"/>
                <w:b/>
                <w:bCs/>
                <w:rtl/>
              </w:rPr>
              <w:t>נמוך</w:t>
            </w:r>
          </w:p>
        </w:tc>
        <w:tc>
          <w:tcPr>
            <w:tcW w:w="1789" w:type="dxa"/>
            <w:shd w:val="clear" w:color="auto" w:fill="FFFF00"/>
          </w:tcPr>
          <w:p w:rsidR="0032327B" w:rsidRPr="00E752C3" w:rsidRDefault="0032327B" w:rsidP="00E752C3">
            <w:pPr>
              <w:pStyle w:val="a7"/>
              <w:jc w:val="center"/>
              <w:rPr>
                <w:b/>
                <w:bCs/>
                <w:rtl/>
              </w:rPr>
            </w:pPr>
            <w:r w:rsidRPr="00E752C3">
              <w:rPr>
                <w:rFonts w:hint="cs"/>
                <w:b/>
                <w:bCs/>
                <w:rtl/>
              </w:rPr>
              <w:t>נמוך- בינוני</w:t>
            </w:r>
          </w:p>
        </w:tc>
        <w:tc>
          <w:tcPr>
            <w:tcW w:w="1789" w:type="dxa"/>
            <w:shd w:val="clear" w:color="auto" w:fill="F8B278"/>
          </w:tcPr>
          <w:p w:rsidR="0032327B" w:rsidRPr="00E752C3" w:rsidRDefault="0032327B" w:rsidP="00E752C3">
            <w:pPr>
              <w:pStyle w:val="a7"/>
              <w:jc w:val="center"/>
              <w:rPr>
                <w:b/>
                <w:bCs/>
                <w:rtl/>
              </w:rPr>
            </w:pPr>
            <w:r w:rsidRPr="00E752C3">
              <w:rPr>
                <w:rFonts w:hint="cs"/>
                <w:b/>
                <w:bCs/>
                <w:rtl/>
              </w:rPr>
              <w:t>בינוני</w:t>
            </w:r>
          </w:p>
        </w:tc>
        <w:tc>
          <w:tcPr>
            <w:tcW w:w="1790" w:type="dxa"/>
            <w:shd w:val="clear" w:color="auto" w:fill="FFC000"/>
          </w:tcPr>
          <w:p w:rsidR="0032327B" w:rsidRPr="00E752C3" w:rsidRDefault="0032327B" w:rsidP="00E752C3">
            <w:pPr>
              <w:pStyle w:val="a7"/>
              <w:jc w:val="center"/>
              <w:rPr>
                <w:b/>
                <w:bCs/>
                <w:rtl/>
              </w:rPr>
            </w:pPr>
            <w:r w:rsidRPr="00E752C3">
              <w:rPr>
                <w:rFonts w:hint="cs"/>
                <w:b/>
                <w:bCs/>
                <w:rtl/>
              </w:rPr>
              <w:t>בינוני - גבוה</w:t>
            </w:r>
          </w:p>
        </w:tc>
        <w:tc>
          <w:tcPr>
            <w:tcW w:w="1790" w:type="dxa"/>
            <w:shd w:val="clear" w:color="auto" w:fill="FF0000"/>
          </w:tcPr>
          <w:p w:rsidR="0032327B" w:rsidRPr="00E752C3" w:rsidRDefault="0032327B" w:rsidP="00E752C3">
            <w:pPr>
              <w:pStyle w:val="a7"/>
              <w:jc w:val="center"/>
              <w:rPr>
                <w:b/>
                <w:bCs/>
                <w:rtl/>
              </w:rPr>
            </w:pPr>
            <w:r w:rsidRPr="00E752C3">
              <w:rPr>
                <w:rFonts w:hint="cs"/>
                <w:b/>
                <w:bCs/>
                <w:rtl/>
              </w:rPr>
              <w:t>גבוה</w:t>
            </w:r>
          </w:p>
        </w:tc>
      </w:tr>
    </w:tbl>
    <w:p w:rsidR="0032327B" w:rsidRDefault="0032327B">
      <w:pPr>
        <w:pStyle w:val="a7"/>
        <w:rPr>
          <w:rtl/>
        </w:rPr>
      </w:pPr>
    </w:p>
    <w:p w:rsidR="0032327B" w:rsidRDefault="0032327B">
      <w:pPr>
        <w:pStyle w:val="a7"/>
      </w:pPr>
    </w:p>
  </w:footnote>
  <w:footnote w:id="7">
    <w:p w:rsidR="0032327B" w:rsidRDefault="0032327B" w:rsidP="009132B6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הגירעון מחושב לאחר יישומן של מקדמי בטחון מחמירים, כשלפני יישום מקדמי הביטחון קיים עודף.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7B" w:rsidRDefault="0032327B" w:rsidP="0028590F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2327B" w:rsidRDefault="003232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7B" w:rsidRDefault="0032327B" w:rsidP="0028590F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5871A5">
      <w:rPr>
        <w:rStyle w:val="a4"/>
        <w:noProof/>
        <w:rtl/>
      </w:rPr>
      <w:t>12</w:t>
    </w:r>
    <w:r>
      <w:rPr>
        <w:rStyle w:val="a4"/>
        <w:rtl/>
      </w:rPr>
      <w:fldChar w:fldCharType="end"/>
    </w:r>
  </w:p>
  <w:p w:rsidR="0032327B" w:rsidRDefault="003232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7B" w:rsidRDefault="0032327B" w:rsidP="00BF3957">
    <w:pPr>
      <w:pStyle w:val="a5"/>
      <w:rPr>
        <w:noProof/>
      </w:rPr>
    </w:pPr>
  </w:p>
  <w:p w:rsidR="0032327B" w:rsidRPr="00FF5943" w:rsidRDefault="0032327B" w:rsidP="00BF3957">
    <w:pPr>
      <w:pStyle w:val="a5"/>
      <w:spacing w:before="120"/>
      <w:jc w:val="center"/>
      <w:rPr>
        <w:rFonts w:asciiTheme="minorBidi" w:hAnsiTheme="minorBidi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B73"/>
    <w:multiLevelType w:val="hybridMultilevel"/>
    <w:tmpl w:val="0FD84060"/>
    <w:lvl w:ilvl="0" w:tplc="4CFAA6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02F6340A"/>
    <w:multiLevelType w:val="hybridMultilevel"/>
    <w:tmpl w:val="633C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3AE1"/>
    <w:multiLevelType w:val="hybridMultilevel"/>
    <w:tmpl w:val="0E98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6901"/>
    <w:multiLevelType w:val="hybridMultilevel"/>
    <w:tmpl w:val="E28CA8C8"/>
    <w:lvl w:ilvl="0" w:tplc="A2866E8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  <w:color w:val="4F81BD" w:themeColor="accent1"/>
        <w:sz w:val="32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07851"/>
    <w:multiLevelType w:val="multilevel"/>
    <w:tmpl w:val="B8702F98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963"/>
        </w:tabs>
        <w:ind w:left="5963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5" w15:restartNumberingAfterBreak="0">
    <w:nsid w:val="6D4073C8"/>
    <w:multiLevelType w:val="hybridMultilevel"/>
    <w:tmpl w:val="E28CA8C8"/>
    <w:lvl w:ilvl="0" w:tplc="A2866E8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  <w:color w:val="4F81BD" w:themeColor="accent1"/>
        <w:sz w:val="32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C5954"/>
    <w:multiLevelType w:val="multilevel"/>
    <w:tmpl w:val="5BE8377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963"/>
        </w:tabs>
        <w:ind w:left="5963" w:hanging="576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4"/>
  </w:num>
  <w:num w:numId="7">
    <w:abstractNumId w:val="4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6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 w:numId="5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F9"/>
    <w:rsid w:val="000009F1"/>
    <w:rsid w:val="00006B9E"/>
    <w:rsid w:val="00007B3A"/>
    <w:rsid w:val="00007C4B"/>
    <w:rsid w:val="0001164B"/>
    <w:rsid w:val="00013569"/>
    <w:rsid w:val="000138B6"/>
    <w:rsid w:val="00013C79"/>
    <w:rsid w:val="000141C0"/>
    <w:rsid w:val="00014CA8"/>
    <w:rsid w:val="00017BCB"/>
    <w:rsid w:val="000226E9"/>
    <w:rsid w:val="00025E25"/>
    <w:rsid w:val="000260BF"/>
    <w:rsid w:val="0003253E"/>
    <w:rsid w:val="00033E42"/>
    <w:rsid w:val="00035F57"/>
    <w:rsid w:val="00037BEF"/>
    <w:rsid w:val="00040E89"/>
    <w:rsid w:val="00041900"/>
    <w:rsid w:val="00041E80"/>
    <w:rsid w:val="0004368E"/>
    <w:rsid w:val="0004453D"/>
    <w:rsid w:val="000454F4"/>
    <w:rsid w:val="000458B3"/>
    <w:rsid w:val="00045FE5"/>
    <w:rsid w:val="0005064B"/>
    <w:rsid w:val="0005118E"/>
    <w:rsid w:val="0005120D"/>
    <w:rsid w:val="00051754"/>
    <w:rsid w:val="0005537D"/>
    <w:rsid w:val="00057218"/>
    <w:rsid w:val="00061A73"/>
    <w:rsid w:val="00062164"/>
    <w:rsid w:val="0006325B"/>
    <w:rsid w:val="00073855"/>
    <w:rsid w:val="00074D82"/>
    <w:rsid w:val="00075CC3"/>
    <w:rsid w:val="0007611F"/>
    <w:rsid w:val="00080F31"/>
    <w:rsid w:val="00081137"/>
    <w:rsid w:val="000815F7"/>
    <w:rsid w:val="000817AA"/>
    <w:rsid w:val="000821B2"/>
    <w:rsid w:val="000845B5"/>
    <w:rsid w:val="00084E9A"/>
    <w:rsid w:val="00084FED"/>
    <w:rsid w:val="000861D4"/>
    <w:rsid w:val="00086394"/>
    <w:rsid w:val="00086CA6"/>
    <w:rsid w:val="0008722A"/>
    <w:rsid w:val="00087C8A"/>
    <w:rsid w:val="00094BA3"/>
    <w:rsid w:val="00094ED9"/>
    <w:rsid w:val="00095E0A"/>
    <w:rsid w:val="00096D9E"/>
    <w:rsid w:val="000976BD"/>
    <w:rsid w:val="000A0190"/>
    <w:rsid w:val="000A2739"/>
    <w:rsid w:val="000A3E35"/>
    <w:rsid w:val="000A4BD1"/>
    <w:rsid w:val="000A5714"/>
    <w:rsid w:val="000A7D1A"/>
    <w:rsid w:val="000B4065"/>
    <w:rsid w:val="000B46DD"/>
    <w:rsid w:val="000B47D0"/>
    <w:rsid w:val="000C2E48"/>
    <w:rsid w:val="000C3299"/>
    <w:rsid w:val="000C491E"/>
    <w:rsid w:val="000C72E2"/>
    <w:rsid w:val="000D0E49"/>
    <w:rsid w:val="000D197F"/>
    <w:rsid w:val="000D68C4"/>
    <w:rsid w:val="000D75A7"/>
    <w:rsid w:val="000E10AE"/>
    <w:rsid w:val="000E4353"/>
    <w:rsid w:val="000E5C33"/>
    <w:rsid w:val="000E655A"/>
    <w:rsid w:val="000E7A76"/>
    <w:rsid w:val="000F4ABC"/>
    <w:rsid w:val="000F6C4F"/>
    <w:rsid w:val="000F6FB6"/>
    <w:rsid w:val="000F785B"/>
    <w:rsid w:val="00100AC3"/>
    <w:rsid w:val="00101288"/>
    <w:rsid w:val="00102044"/>
    <w:rsid w:val="0010254E"/>
    <w:rsid w:val="00103060"/>
    <w:rsid w:val="00105D15"/>
    <w:rsid w:val="00110CC5"/>
    <w:rsid w:val="00111567"/>
    <w:rsid w:val="00111F7E"/>
    <w:rsid w:val="00113229"/>
    <w:rsid w:val="00114069"/>
    <w:rsid w:val="00115537"/>
    <w:rsid w:val="00116D08"/>
    <w:rsid w:val="001171D2"/>
    <w:rsid w:val="00120060"/>
    <w:rsid w:val="001211C1"/>
    <w:rsid w:val="001213A5"/>
    <w:rsid w:val="00121A3C"/>
    <w:rsid w:val="0012372B"/>
    <w:rsid w:val="00125020"/>
    <w:rsid w:val="00125824"/>
    <w:rsid w:val="001265D0"/>
    <w:rsid w:val="00126797"/>
    <w:rsid w:val="001272AD"/>
    <w:rsid w:val="001275DC"/>
    <w:rsid w:val="00127926"/>
    <w:rsid w:val="0013062D"/>
    <w:rsid w:val="00130B12"/>
    <w:rsid w:val="00130F2D"/>
    <w:rsid w:val="00131FFE"/>
    <w:rsid w:val="00133B30"/>
    <w:rsid w:val="00133D36"/>
    <w:rsid w:val="00135649"/>
    <w:rsid w:val="00137FE4"/>
    <w:rsid w:val="001400AD"/>
    <w:rsid w:val="00140C61"/>
    <w:rsid w:val="00142AF8"/>
    <w:rsid w:val="0014538D"/>
    <w:rsid w:val="00146716"/>
    <w:rsid w:val="00146D0A"/>
    <w:rsid w:val="00147470"/>
    <w:rsid w:val="0015033E"/>
    <w:rsid w:val="00153BB6"/>
    <w:rsid w:val="00153CF0"/>
    <w:rsid w:val="00155830"/>
    <w:rsid w:val="00155A8A"/>
    <w:rsid w:val="00156ADC"/>
    <w:rsid w:val="00156C1B"/>
    <w:rsid w:val="00156EA2"/>
    <w:rsid w:val="00162857"/>
    <w:rsid w:val="00163AF9"/>
    <w:rsid w:val="00164DB6"/>
    <w:rsid w:val="00167A84"/>
    <w:rsid w:val="00170266"/>
    <w:rsid w:val="00175CCB"/>
    <w:rsid w:val="00180258"/>
    <w:rsid w:val="00184124"/>
    <w:rsid w:val="00184A03"/>
    <w:rsid w:val="00184D7A"/>
    <w:rsid w:val="00186466"/>
    <w:rsid w:val="001873F5"/>
    <w:rsid w:val="001906A9"/>
    <w:rsid w:val="00190E2C"/>
    <w:rsid w:val="00193333"/>
    <w:rsid w:val="00194486"/>
    <w:rsid w:val="001945A5"/>
    <w:rsid w:val="00194701"/>
    <w:rsid w:val="0019495D"/>
    <w:rsid w:val="00194AD9"/>
    <w:rsid w:val="00194B92"/>
    <w:rsid w:val="00194FBC"/>
    <w:rsid w:val="001961BA"/>
    <w:rsid w:val="001A01E9"/>
    <w:rsid w:val="001A03E1"/>
    <w:rsid w:val="001A243E"/>
    <w:rsid w:val="001A405F"/>
    <w:rsid w:val="001A4876"/>
    <w:rsid w:val="001B0BC5"/>
    <w:rsid w:val="001B11F8"/>
    <w:rsid w:val="001B372B"/>
    <w:rsid w:val="001B3B3F"/>
    <w:rsid w:val="001C295C"/>
    <w:rsid w:val="001C41F3"/>
    <w:rsid w:val="001C59F2"/>
    <w:rsid w:val="001C6957"/>
    <w:rsid w:val="001C6A20"/>
    <w:rsid w:val="001C6E81"/>
    <w:rsid w:val="001D04DF"/>
    <w:rsid w:val="001D1534"/>
    <w:rsid w:val="001D2862"/>
    <w:rsid w:val="001D6939"/>
    <w:rsid w:val="001D7BB1"/>
    <w:rsid w:val="001E0E86"/>
    <w:rsid w:val="001E1307"/>
    <w:rsid w:val="001E7C4C"/>
    <w:rsid w:val="001F044E"/>
    <w:rsid w:val="001F23C8"/>
    <w:rsid w:val="001F2577"/>
    <w:rsid w:val="001F2658"/>
    <w:rsid w:val="001F39DA"/>
    <w:rsid w:val="001F4677"/>
    <w:rsid w:val="001F59E8"/>
    <w:rsid w:val="001F6533"/>
    <w:rsid w:val="002002F9"/>
    <w:rsid w:val="002007C5"/>
    <w:rsid w:val="00205AF3"/>
    <w:rsid w:val="00211747"/>
    <w:rsid w:val="002118A7"/>
    <w:rsid w:val="00212D83"/>
    <w:rsid w:val="00213AC8"/>
    <w:rsid w:val="002150F7"/>
    <w:rsid w:val="00220F3F"/>
    <w:rsid w:val="00221338"/>
    <w:rsid w:val="00221541"/>
    <w:rsid w:val="0022198F"/>
    <w:rsid w:val="00221F62"/>
    <w:rsid w:val="002238C8"/>
    <w:rsid w:val="002246EF"/>
    <w:rsid w:val="00225D41"/>
    <w:rsid w:val="00225E92"/>
    <w:rsid w:val="00225F5D"/>
    <w:rsid w:val="00227159"/>
    <w:rsid w:val="00227BA9"/>
    <w:rsid w:val="00230F1D"/>
    <w:rsid w:val="002316B8"/>
    <w:rsid w:val="002316E4"/>
    <w:rsid w:val="00232400"/>
    <w:rsid w:val="0023441F"/>
    <w:rsid w:val="0023546C"/>
    <w:rsid w:val="00237F78"/>
    <w:rsid w:val="00240019"/>
    <w:rsid w:val="00240BD7"/>
    <w:rsid w:val="00243271"/>
    <w:rsid w:val="002435F5"/>
    <w:rsid w:val="002437D9"/>
    <w:rsid w:val="00244D5E"/>
    <w:rsid w:val="00245E9F"/>
    <w:rsid w:val="00246763"/>
    <w:rsid w:val="00247BBC"/>
    <w:rsid w:val="00250E6D"/>
    <w:rsid w:val="00252D1D"/>
    <w:rsid w:val="0025451F"/>
    <w:rsid w:val="00254AF8"/>
    <w:rsid w:val="00254E88"/>
    <w:rsid w:val="00255A65"/>
    <w:rsid w:val="0026343B"/>
    <w:rsid w:val="00267A72"/>
    <w:rsid w:val="0027009D"/>
    <w:rsid w:val="00270428"/>
    <w:rsid w:val="002709CC"/>
    <w:rsid w:val="0027211B"/>
    <w:rsid w:val="002724DF"/>
    <w:rsid w:val="002755BE"/>
    <w:rsid w:val="00280677"/>
    <w:rsid w:val="00280A4A"/>
    <w:rsid w:val="00281822"/>
    <w:rsid w:val="00282DF6"/>
    <w:rsid w:val="00283A15"/>
    <w:rsid w:val="002847A7"/>
    <w:rsid w:val="00284E2D"/>
    <w:rsid w:val="0028590F"/>
    <w:rsid w:val="0028765A"/>
    <w:rsid w:val="002908F2"/>
    <w:rsid w:val="002931D6"/>
    <w:rsid w:val="0029435A"/>
    <w:rsid w:val="00294F93"/>
    <w:rsid w:val="00296CB4"/>
    <w:rsid w:val="002A05C1"/>
    <w:rsid w:val="002A27A9"/>
    <w:rsid w:val="002A2ACB"/>
    <w:rsid w:val="002A55D6"/>
    <w:rsid w:val="002A6731"/>
    <w:rsid w:val="002A6CA2"/>
    <w:rsid w:val="002A6FAD"/>
    <w:rsid w:val="002B02BE"/>
    <w:rsid w:val="002B1970"/>
    <w:rsid w:val="002B2743"/>
    <w:rsid w:val="002B4577"/>
    <w:rsid w:val="002B5941"/>
    <w:rsid w:val="002B5A3C"/>
    <w:rsid w:val="002B65BC"/>
    <w:rsid w:val="002B7502"/>
    <w:rsid w:val="002B7766"/>
    <w:rsid w:val="002B7DA2"/>
    <w:rsid w:val="002C0146"/>
    <w:rsid w:val="002C0546"/>
    <w:rsid w:val="002C130F"/>
    <w:rsid w:val="002C149B"/>
    <w:rsid w:val="002C1BBC"/>
    <w:rsid w:val="002C5CF2"/>
    <w:rsid w:val="002C70F9"/>
    <w:rsid w:val="002C72C8"/>
    <w:rsid w:val="002C7339"/>
    <w:rsid w:val="002C7A75"/>
    <w:rsid w:val="002D2E71"/>
    <w:rsid w:val="002D31A3"/>
    <w:rsid w:val="002D3AAD"/>
    <w:rsid w:val="002D3C78"/>
    <w:rsid w:val="002D3F47"/>
    <w:rsid w:val="002D4F2D"/>
    <w:rsid w:val="002E1502"/>
    <w:rsid w:val="002E16C1"/>
    <w:rsid w:val="002E3338"/>
    <w:rsid w:val="002E4247"/>
    <w:rsid w:val="002E7DBA"/>
    <w:rsid w:val="002F12D8"/>
    <w:rsid w:val="002F1BFD"/>
    <w:rsid w:val="002F28BA"/>
    <w:rsid w:val="002F3553"/>
    <w:rsid w:val="002F51B5"/>
    <w:rsid w:val="002F7A8C"/>
    <w:rsid w:val="003000B6"/>
    <w:rsid w:val="00300F86"/>
    <w:rsid w:val="00300FF0"/>
    <w:rsid w:val="003011E4"/>
    <w:rsid w:val="00301B09"/>
    <w:rsid w:val="00302FAF"/>
    <w:rsid w:val="00303455"/>
    <w:rsid w:val="00303734"/>
    <w:rsid w:val="003051CB"/>
    <w:rsid w:val="00306D35"/>
    <w:rsid w:val="00310795"/>
    <w:rsid w:val="0031140D"/>
    <w:rsid w:val="00315A0A"/>
    <w:rsid w:val="0032040E"/>
    <w:rsid w:val="00321406"/>
    <w:rsid w:val="003216D2"/>
    <w:rsid w:val="0032327B"/>
    <w:rsid w:val="003254C8"/>
    <w:rsid w:val="00327890"/>
    <w:rsid w:val="00327B85"/>
    <w:rsid w:val="00334DFD"/>
    <w:rsid w:val="00336128"/>
    <w:rsid w:val="00337B6B"/>
    <w:rsid w:val="0034037E"/>
    <w:rsid w:val="00340A25"/>
    <w:rsid w:val="00343299"/>
    <w:rsid w:val="00343BA0"/>
    <w:rsid w:val="00345A0C"/>
    <w:rsid w:val="00345E99"/>
    <w:rsid w:val="00346469"/>
    <w:rsid w:val="003472C5"/>
    <w:rsid w:val="00347CE0"/>
    <w:rsid w:val="0035068E"/>
    <w:rsid w:val="0035223E"/>
    <w:rsid w:val="00352C2B"/>
    <w:rsid w:val="00353B74"/>
    <w:rsid w:val="00353F91"/>
    <w:rsid w:val="00355E0B"/>
    <w:rsid w:val="003564D2"/>
    <w:rsid w:val="00357BAA"/>
    <w:rsid w:val="00361EC9"/>
    <w:rsid w:val="003622AC"/>
    <w:rsid w:val="00362C64"/>
    <w:rsid w:val="00363249"/>
    <w:rsid w:val="00365066"/>
    <w:rsid w:val="003652B5"/>
    <w:rsid w:val="00365496"/>
    <w:rsid w:val="00365721"/>
    <w:rsid w:val="00366697"/>
    <w:rsid w:val="00366AEF"/>
    <w:rsid w:val="00370684"/>
    <w:rsid w:val="003713AF"/>
    <w:rsid w:val="00372AD5"/>
    <w:rsid w:val="003734F3"/>
    <w:rsid w:val="00374FB0"/>
    <w:rsid w:val="003759F0"/>
    <w:rsid w:val="00377BCC"/>
    <w:rsid w:val="00381B61"/>
    <w:rsid w:val="003823E8"/>
    <w:rsid w:val="00383897"/>
    <w:rsid w:val="00390FDD"/>
    <w:rsid w:val="00391492"/>
    <w:rsid w:val="00391905"/>
    <w:rsid w:val="00391E19"/>
    <w:rsid w:val="00392580"/>
    <w:rsid w:val="0039381A"/>
    <w:rsid w:val="00393C13"/>
    <w:rsid w:val="00393D99"/>
    <w:rsid w:val="00395D98"/>
    <w:rsid w:val="003960D3"/>
    <w:rsid w:val="00397ABD"/>
    <w:rsid w:val="003A1AC9"/>
    <w:rsid w:val="003A26CA"/>
    <w:rsid w:val="003A3260"/>
    <w:rsid w:val="003A4C76"/>
    <w:rsid w:val="003A58D7"/>
    <w:rsid w:val="003A62DF"/>
    <w:rsid w:val="003A7B82"/>
    <w:rsid w:val="003B1566"/>
    <w:rsid w:val="003B1712"/>
    <w:rsid w:val="003B1DC0"/>
    <w:rsid w:val="003B2EC4"/>
    <w:rsid w:val="003B4241"/>
    <w:rsid w:val="003B43FE"/>
    <w:rsid w:val="003B4759"/>
    <w:rsid w:val="003B538C"/>
    <w:rsid w:val="003C1DAB"/>
    <w:rsid w:val="003C28AF"/>
    <w:rsid w:val="003C4F4D"/>
    <w:rsid w:val="003C7CF0"/>
    <w:rsid w:val="003C7F8F"/>
    <w:rsid w:val="003D05B0"/>
    <w:rsid w:val="003D09E2"/>
    <w:rsid w:val="003D236D"/>
    <w:rsid w:val="003D3D30"/>
    <w:rsid w:val="003D6B17"/>
    <w:rsid w:val="003D6F9F"/>
    <w:rsid w:val="003D7F6A"/>
    <w:rsid w:val="003E0E4B"/>
    <w:rsid w:val="003E1421"/>
    <w:rsid w:val="003E3D97"/>
    <w:rsid w:val="003E4159"/>
    <w:rsid w:val="003E4314"/>
    <w:rsid w:val="003E740C"/>
    <w:rsid w:val="003E7430"/>
    <w:rsid w:val="003F026C"/>
    <w:rsid w:val="003F22F4"/>
    <w:rsid w:val="003F30A2"/>
    <w:rsid w:val="003F37E1"/>
    <w:rsid w:val="003F6147"/>
    <w:rsid w:val="003F6967"/>
    <w:rsid w:val="00400454"/>
    <w:rsid w:val="00400894"/>
    <w:rsid w:val="004039F5"/>
    <w:rsid w:val="0040432E"/>
    <w:rsid w:val="00404E6F"/>
    <w:rsid w:val="0040551F"/>
    <w:rsid w:val="00414717"/>
    <w:rsid w:val="00414AF3"/>
    <w:rsid w:val="00415587"/>
    <w:rsid w:val="00416064"/>
    <w:rsid w:val="004164F7"/>
    <w:rsid w:val="00416A76"/>
    <w:rsid w:val="00416BF9"/>
    <w:rsid w:val="004172CC"/>
    <w:rsid w:val="00417685"/>
    <w:rsid w:val="00417729"/>
    <w:rsid w:val="004229E6"/>
    <w:rsid w:val="004239CA"/>
    <w:rsid w:val="00424030"/>
    <w:rsid w:val="004262CB"/>
    <w:rsid w:val="00426C4F"/>
    <w:rsid w:val="004273AE"/>
    <w:rsid w:val="00430662"/>
    <w:rsid w:val="00431F95"/>
    <w:rsid w:val="00436361"/>
    <w:rsid w:val="0043715E"/>
    <w:rsid w:val="0043742A"/>
    <w:rsid w:val="00441212"/>
    <w:rsid w:val="00441B3D"/>
    <w:rsid w:val="00441D73"/>
    <w:rsid w:val="0044220C"/>
    <w:rsid w:val="004459F3"/>
    <w:rsid w:val="004467D4"/>
    <w:rsid w:val="00447019"/>
    <w:rsid w:val="0045002A"/>
    <w:rsid w:val="00451DBC"/>
    <w:rsid w:val="004527A7"/>
    <w:rsid w:val="00453261"/>
    <w:rsid w:val="00454CCF"/>
    <w:rsid w:val="004572C4"/>
    <w:rsid w:val="00461527"/>
    <w:rsid w:val="00464929"/>
    <w:rsid w:val="00464C4D"/>
    <w:rsid w:val="0046749F"/>
    <w:rsid w:val="00470E3A"/>
    <w:rsid w:val="00473017"/>
    <w:rsid w:val="00473FD3"/>
    <w:rsid w:val="00475D9E"/>
    <w:rsid w:val="00481FE7"/>
    <w:rsid w:val="0048355D"/>
    <w:rsid w:val="00483947"/>
    <w:rsid w:val="00484C6E"/>
    <w:rsid w:val="004852C8"/>
    <w:rsid w:val="00485CE3"/>
    <w:rsid w:val="00487119"/>
    <w:rsid w:val="00487EF6"/>
    <w:rsid w:val="00493529"/>
    <w:rsid w:val="004954DB"/>
    <w:rsid w:val="00495F98"/>
    <w:rsid w:val="004963B2"/>
    <w:rsid w:val="004A0C15"/>
    <w:rsid w:val="004A62B0"/>
    <w:rsid w:val="004A7E7D"/>
    <w:rsid w:val="004B0FE6"/>
    <w:rsid w:val="004B24C5"/>
    <w:rsid w:val="004B45D3"/>
    <w:rsid w:val="004B6EF3"/>
    <w:rsid w:val="004C27C9"/>
    <w:rsid w:val="004C431D"/>
    <w:rsid w:val="004C4667"/>
    <w:rsid w:val="004C54A1"/>
    <w:rsid w:val="004C6B75"/>
    <w:rsid w:val="004C7CF7"/>
    <w:rsid w:val="004D054E"/>
    <w:rsid w:val="004D0830"/>
    <w:rsid w:val="004D113C"/>
    <w:rsid w:val="004D18DC"/>
    <w:rsid w:val="004D2DAC"/>
    <w:rsid w:val="004D3716"/>
    <w:rsid w:val="004D4CA9"/>
    <w:rsid w:val="004D4F93"/>
    <w:rsid w:val="004D51F9"/>
    <w:rsid w:val="004D62D9"/>
    <w:rsid w:val="004D6CBF"/>
    <w:rsid w:val="004D6E90"/>
    <w:rsid w:val="004E043E"/>
    <w:rsid w:val="004E0649"/>
    <w:rsid w:val="004E0AA5"/>
    <w:rsid w:val="004E0B60"/>
    <w:rsid w:val="004E28A1"/>
    <w:rsid w:val="004E2F78"/>
    <w:rsid w:val="004E3EBC"/>
    <w:rsid w:val="004E70CB"/>
    <w:rsid w:val="004F047B"/>
    <w:rsid w:val="004F2317"/>
    <w:rsid w:val="0050189D"/>
    <w:rsid w:val="00504774"/>
    <w:rsid w:val="00504CBC"/>
    <w:rsid w:val="00505A86"/>
    <w:rsid w:val="005064AF"/>
    <w:rsid w:val="005071A0"/>
    <w:rsid w:val="005071D7"/>
    <w:rsid w:val="00510AA6"/>
    <w:rsid w:val="00510D91"/>
    <w:rsid w:val="00510ECE"/>
    <w:rsid w:val="00513830"/>
    <w:rsid w:val="00516F0F"/>
    <w:rsid w:val="00520F83"/>
    <w:rsid w:val="00521F7B"/>
    <w:rsid w:val="00523ECA"/>
    <w:rsid w:val="00524AB4"/>
    <w:rsid w:val="00525428"/>
    <w:rsid w:val="005272B2"/>
    <w:rsid w:val="00530042"/>
    <w:rsid w:val="0053292B"/>
    <w:rsid w:val="0053479A"/>
    <w:rsid w:val="00536569"/>
    <w:rsid w:val="00537327"/>
    <w:rsid w:val="00540D23"/>
    <w:rsid w:val="00541B1C"/>
    <w:rsid w:val="00542763"/>
    <w:rsid w:val="005440AF"/>
    <w:rsid w:val="00547DB2"/>
    <w:rsid w:val="00554F14"/>
    <w:rsid w:val="00555FD4"/>
    <w:rsid w:val="0056307E"/>
    <w:rsid w:val="00565159"/>
    <w:rsid w:val="00572AC6"/>
    <w:rsid w:val="00573D34"/>
    <w:rsid w:val="005752A2"/>
    <w:rsid w:val="00575F6C"/>
    <w:rsid w:val="00575FBA"/>
    <w:rsid w:val="00580A0A"/>
    <w:rsid w:val="005816F7"/>
    <w:rsid w:val="00582F55"/>
    <w:rsid w:val="0058348E"/>
    <w:rsid w:val="00583858"/>
    <w:rsid w:val="005850AC"/>
    <w:rsid w:val="00586A2E"/>
    <w:rsid w:val="005871A5"/>
    <w:rsid w:val="00591AB8"/>
    <w:rsid w:val="00594AFD"/>
    <w:rsid w:val="0059521F"/>
    <w:rsid w:val="0059532C"/>
    <w:rsid w:val="005958DE"/>
    <w:rsid w:val="00595AF8"/>
    <w:rsid w:val="00596C8D"/>
    <w:rsid w:val="00597DF3"/>
    <w:rsid w:val="005A0179"/>
    <w:rsid w:val="005A27CD"/>
    <w:rsid w:val="005A2FAD"/>
    <w:rsid w:val="005A3B39"/>
    <w:rsid w:val="005A3F75"/>
    <w:rsid w:val="005A424E"/>
    <w:rsid w:val="005B16B5"/>
    <w:rsid w:val="005B2A49"/>
    <w:rsid w:val="005B2B68"/>
    <w:rsid w:val="005B3731"/>
    <w:rsid w:val="005B7E3F"/>
    <w:rsid w:val="005C1ABB"/>
    <w:rsid w:val="005C227B"/>
    <w:rsid w:val="005C2EC2"/>
    <w:rsid w:val="005C32C3"/>
    <w:rsid w:val="005D3455"/>
    <w:rsid w:val="005D6B69"/>
    <w:rsid w:val="005D74EF"/>
    <w:rsid w:val="005D7589"/>
    <w:rsid w:val="005E0EEC"/>
    <w:rsid w:val="005E135E"/>
    <w:rsid w:val="005E2D68"/>
    <w:rsid w:val="005E348D"/>
    <w:rsid w:val="005E57AF"/>
    <w:rsid w:val="005E7525"/>
    <w:rsid w:val="005F20A3"/>
    <w:rsid w:val="005F3525"/>
    <w:rsid w:val="005F492C"/>
    <w:rsid w:val="005F6966"/>
    <w:rsid w:val="005F71FE"/>
    <w:rsid w:val="005F759E"/>
    <w:rsid w:val="00607D06"/>
    <w:rsid w:val="006100D8"/>
    <w:rsid w:val="00611C59"/>
    <w:rsid w:val="00612780"/>
    <w:rsid w:val="006166ED"/>
    <w:rsid w:val="006212D4"/>
    <w:rsid w:val="0062169B"/>
    <w:rsid w:val="006252A3"/>
    <w:rsid w:val="006260B0"/>
    <w:rsid w:val="006268C4"/>
    <w:rsid w:val="00631874"/>
    <w:rsid w:val="006350D2"/>
    <w:rsid w:val="00635DBF"/>
    <w:rsid w:val="006362D8"/>
    <w:rsid w:val="00637426"/>
    <w:rsid w:val="0064019E"/>
    <w:rsid w:val="006408CB"/>
    <w:rsid w:val="006418AA"/>
    <w:rsid w:val="006421DD"/>
    <w:rsid w:val="00642A63"/>
    <w:rsid w:val="0064330A"/>
    <w:rsid w:val="0064358E"/>
    <w:rsid w:val="00644609"/>
    <w:rsid w:val="0064640C"/>
    <w:rsid w:val="00651165"/>
    <w:rsid w:val="00651AFA"/>
    <w:rsid w:val="0065252E"/>
    <w:rsid w:val="00653F69"/>
    <w:rsid w:val="006569B3"/>
    <w:rsid w:val="00657921"/>
    <w:rsid w:val="00661707"/>
    <w:rsid w:val="00662237"/>
    <w:rsid w:val="00666399"/>
    <w:rsid w:val="006669F8"/>
    <w:rsid w:val="00672861"/>
    <w:rsid w:val="006746F6"/>
    <w:rsid w:val="00674818"/>
    <w:rsid w:val="00675725"/>
    <w:rsid w:val="00675C20"/>
    <w:rsid w:val="00677067"/>
    <w:rsid w:val="00677183"/>
    <w:rsid w:val="0067743E"/>
    <w:rsid w:val="00680C43"/>
    <w:rsid w:val="006813AF"/>
    <w:rsid w:val="006819D1"/>
    <w:rsid w:val="00681E54"/>
    <w:rsid w:val="00682580"/>
    <w:rsid w:val="00684866"/>
    <w:rsid w:val="00687BC2"/>
    <w:rsid w:val="006912C8"/>
    <w:rsid w:val="006923A4"/>
    <w:rsid w:val="006930D5"/>
    <w:rsid w:val="00693A4F"/>
    <w:rsid w:val="006943D4"/>
    <w:rsid w:val="00696BFD"/>
    <w:rsid w:val="00697BD9"/>
    <w:rsid w:val="006A1899"/>
    <w:rsid w:val="006A6257"/>
    <w:rsid w:val="006A6B36"/>
    <w:rsid w:val="006A6D0C"/>
    <w:rsid w:val="006A6DFA"/>
    <w:rsid w:val="006B2CE4"/>
    <w:rsid w:val="006B312E"/>
    <w:rsid w:val="006B5E8B"/>
    <w:rsid w:val="006B6B4D"/>
    <w:rsid w:val="006B6FA5"/>
    <w:rsid w:val="006B77D9"/>
    <w:rsid w:val="006C04EF"/>
    <w:rsid w:val="006C1AAC"/>
    <w:rsid w:val="006C223B"/>
    <w:rsid w:val="006C2D46"/>
    <w:rsid w:val="006C432E"/>
    <w:rsid w:val="006C52F4"/>
    <w:rsid w:val="006C5662"/>
    <w:rsid w:val="006C66E8"/>
    <w:rsid w:val="006D0E45"/>
    <w:rsid w:val="006D12B3"/>
    <w:rsid w:val="006D1B14"/>
    <w:rsid w:val="006D567B"/>
    <w:rsid w:val="006D7CE2"/>
    <w:rsid w:val="006E15D6"/>
    <w:rsid w:val="006E3046"/>
    <w:rsid w:val="006E38D8"/>
    <w:rsid w:val="006F1330"/>
    <w:rsid w:val="006F249A"/>
    <w:rsid w:val="006F4428"/>
    <w:rsid w:val="006F55CB"/>
    <w:rsid w:val="006F6DA8"/>
    <w:rsid w:val="00701394"/>
    <w:rsid w:val="0070180D"/>
    <w:rsid w:val="00704957"/>
    <w:rsid w:val="007055DB"/>
    <w:rsid w:val="00707799"/>
    <w:rsid w:val="00710E90"/>
    <w:rsid w:val="00711358"/>
    <w:rsid w:val="007114B1"/>
    <w:rsid w:val="00712183"/>
    <w:rsid w:val="00714974"/>
    <w:rsid w:val="00715F7B"/>
    <w:rsid w:val="0071744F"/>
    <w:rsid w:val="0072005F"/>
    <w:rsid w:val="007209E3"/>
    <w:rsid w:val="00720BBD"/>
    <w:rsid w:val="00721D26"/>
    <w:rsid w:val="00723ABF"/>
    <w:rsid w:val="00724820"/>
    <w:rsid w:val="0072534F"/>
    <w:rsid w:val="00733079"/>
    <w:rsid w:val="007334C5"/>
    <w:rsid w:val="007376C4"/>
    <w:rsid w:val="007402AA"/>
    <w:rsid w:val="0074079C"/>
    <w:rsid w:val="007416B9"/>
    <w:rsid w:val="00743BBB"/>
    <w:rsid w:val="007445E1"/>
    <w:rsid w:val="00744EF3"/>
    <w:rsid w:val="00745DD9"/>
    <w:rsid w:val="007506FE"/>
    <w:rsid w:val="007533F6"/>
    <w:rsid w:val="007535B9"/>
    <w:rsid w:val="007537E9"/>
    <w:rsid w:val="00754D00"/>
    <w:rsid w:val="00766EB9"/>
    <w:rsid w:val="007670E4"/>
    <w:rsid w:val="00767804"/>
    <w:rsid w:val="007708AF"/>
    <w:rsid w:val="007708CE"/>
    <w:rsid w:val="00770C3C"/>
    <w:rsid w:val="007734BC"/>
    <w:rsid w:val="00775A73"/>
    <w:rsid w:val="00775FCE"/>
    <w:rsid w:val="00776764"/>
    <w:rsid w:val="00776D12"/>
    <w:rsid w:val="007809FA"/>
    <w:rsid w:val="0078147B"/>
    <w:rsid w:val="0078183F"/>
    <w:rsid w:val="00781A0F"/>
    <w:rsid w:val="0078266B"/>
    <w:rsid w:val="0078539C"/>
    <w:rsid w:val="007854DB"/>
    <w:rsid w:val="00785F0F"/>
    <w:rsid w:val="00793B5A"/>
    <w:rsid w:val="00793E2A"/>
    <w:rsid w:val="007951B7"/>
    <w:rsid w:val="00796C23"/>
    <w:rsid w:val="007A0795"/>
    <w:rsid w:val="007A231F"/>
    <w:rsid w:val="007A3BCB"/>
    <w:rsid w:val="007A3C4C"/>
    <w:rsid w:val="007A573E"/>
    <w:rsid w:val="007A62D8"/>
    <w:rsid w:val="007A7186"/>
    <w:rsid w:val="007B00AF"/>
    <w:rsid w:val="007B0A56"/>
    <w:rsid w:val="007B0C36"/>
    <w:rsid w:val="007B2784"/>
    <w:rsid w:val="007B2DFC"/>
    <w:rsid w:val="007B452E"/>
    <w:rsid w:val="007B4BCA"/>
    <w:rsid w:val="007B504A"/>
    <w:rsid w:val="007B77ED"/>
    <w:rsid w:val="007C184E"/>
    <w:rsid w:val="007C3E63"/>
    <w:rsid w:val="007C5A26"/>
    <w:rsid w:val="007C5B99"/>
    <w:rsid w:val="007D0EE7"/>
    <w:rsid w:val="007D3952"/>
    <w:rsid w:val="007D3A50"/>
    <w:rsid w:val="007D6692"/>
    <w:rsid w:val="007D6ADF"/>
    <w:rsid w:val="007E1239"/>
    <w:rsid w:val="007E1D89"/>
    <w:rsid w:val="007E2E37"/>
    <w:rsid w:val="007E4B32"/>
    <w:rsid w:val="007E7899"/>
    <w:rsid w:val="007F0368"/>
    <w:rsid w:val="007F42F7"/>
    <w:rsid w:val="007F5289"/>
    <w:rsid w:val="007F705E"/>
    <w:rsid w:val="0080262F"/>
    <w:rsid w:val="00802FA2"/>
    <w:rsid w:val="008031C7"/>
    <w:rsid w:val="00810F57"/>
    <w:rsid w:val="00811FFA"/>
    <w:rsid w:val="00817112"/>
    <w:rsid w:val="008216A0"/>
    <w:rsid w:val="00824638"/>
    <w:rsid w:val="0082637F"/>
    <w:rsid w:val="0082794B"/>
    <w:rsid w:val="00831437"/>
    <w:rsid w:val="0083202F"/>
    <w:rsid w:val="00833C56"/>
    <w:rsid w:val="008353F4"/>
    <w:rsid w:val="00836AF9"/>
    <w:rsid w:val="00840225"/>
    <w:rsid w:val="00841212"/>
    <w:rsid w:val="00842F94"/>
    <w:rsid w:val="00844C87"/>
    <w:rsid w:val="00845606"/>
    <w:rsid w:val="00846C2A"/>
    <w:rsid w:val="008479A0"/>
    <w:rsid w:val="00850754"/>
    <w:rsid w:val="008518ED"/>
    <w:rsid w:val="00851B8D"/>
    <w:rsid w:val="0085571B"/>
    <w:rsid w:val="00857A58"/>
    <w:rsid w:val="00857AE9"/>
    <w:rsid w:val="00860D61"/>
    <w:rsid w:val="00863087"/>
    <w:rsid w:val="00864251"/>
    <w:rsid w:val="008655F0"/>
    <w:rsid w:val="00866172"/>
    <w:rsid w:val="008662A8"/>
    <w:rsid w:val="0087116E"/>
    <w:rsid w:val="00872745"/>
    <w:rsid w:val="00873C7A"/>
    <w:rsid w:val="00875FCC"/>
    <w:rsid w:val="00876554"/>
    <w:rsid w:val="008813B3"/>
    <w:rsid w:val="00881C4A"/>
    <w:rsid w:val="00883F14"/>
    <w:rsid w:val="00884162"/>
    <w:rsid w:val="00884AC5"/>
    <w:rsid w:val="0088579A"/>
    <w:rsid w:val="00890627"/>
    <w:rsid w:val="008931A8"/>
    <w:rsid w:val="00894838"/>
    <w:rsid w:val="008956B8"/>
    <w:rsid w:val="008964E2"/>
    <w:rsid w:val="00897746"/>
    <w:rsid w:val="008A12C6"/>
    <w:rsid w:val="008A1913"/>
    <w:rsid w:val="008A1C9B"/>
    <w:rsid w:val="008A25F2"/>
    <w:rsid w:val="008A3BBA"/>
    <w:rsid w:val="008A3C9C"/>
    <w:rsid w:val="008A5120"/>
    <w:rsid w:val="008B0622"/>
    <w:rsid w:val="008B556B"/>
    <w:rsid w:val="008B57E3"/>
    <w:rsid w:val="008B5A8D"/>
    <w:rsid w:val="008B6781"/>
    <w:rsid w:val="008C0CB1"/>
    <w:rsid w:val="008C1D9E"/>
    <w:rsid w:val="008C29F5"/>
    <w:rsid w:val="008C7188"/>
    <w:rsid w:val="008D0326"/>
    <w:rsid w:val="008D509E"/>
    <w:rsid w:val="008D7332"/>
    <w:rsid w:val="008E0A22"/>
    <w:rsid w:val="008E2688"/>
    <w:rsid w:val="008E3355"/>
    <w:rsid w:val="008E4238"/>
    <w:rsid w:val="008E7E49"/>
    <w:rsid w:val="008F0054"/>
    <w:rsid w:val="008F0B45"/>
    <w:rsid w:val="008F119B"/>
    <w:rsid w:val="008F25DE"/>
    <w:rsid w:val="008F6B5E"/>
    <w:rsid w:val="00900DD2"/>
    <w:rsid w:val="009012DD"/>
    <w:rsid w:val="009042BC"/>
    <w:rsid w:val="009050F7"/>
    <w:rsid w:val="00906D5A"/>
    <w:rsid w:val="0090753B"/>
    <w:rsid w:val="00907828"/>
    <w:rsid w:val="00907C0B"/>
    <w:rsid w:val="009105BD"/>
    <w:rsid w:val="00910DD7"/>
    <w:rsid w:val="009132B6"/>
    <w:rsid w:val="00916D9E"/>
    <w:rsid w:val="009207C1"/>
    <w:rsid w:val="00921521"/>
    <w:rsid w:val="00921FC9"/>
    <w:rsid w:val="00923158"/>
    <w:rsid w:val="00926E67"/>
    <w:rsid w:val="009324ED"/>
    <w:rsid w:val="00933B0E"/>
    <w:rsid w:val="009354E6"/>
    <w:rsid w:val="009403E2"/>
    <w:rsid w:val="0094042D"/>
    <w:rsid w:val="00940E35"/>
    <w:rsid w:val="0094172F"/>
    <w:rsid w:val="00943C6E"/>
    <w:rsid w:val="009514E4"/>
    <w:rsid w:val="00952B86"/>
    <w:rsid w:val="0095343F"/>
    <w:rsid w:val="00955B8B"/>
    <w:rsid w:val="009610F7"/>
    <w:rsid w:val="00963BCB"/>
    <w:rsid w:val="0096543B"/>
    <w:rsid w:val="00965D34"/>
    <w:rsid w:val="00965DA4"/>
    <w:rsid w:val="00965DDB"/>
    <w:rsid w:val="00966E76"/>
    <w:rsid w:val="00970EF3"/>
    <w:rsid w:val="009734FF"/>
    <w:rsid w:val="00974D4E"/>
    <w:rsid w:val="009757FE"/>
    <w:rsid w:val="00976132"/>
    <w:rsid w:val="00977CC5"/>
    <w:rsid w:val="00977D03"/>
    <w:rsid w:val="00980C3E"/>
    <w:rsid w:val="0098238F"/>
    <w:rsid w:val="009849C9"/>
    <w:rsid w:val="009850C3"/>
    <w:rsid w:val="0098701B"/>
    <w:rsid w:val="00987D84"/>
    <w:rsid w:val="00987E1F"/>
    <w:rsid w:val="00987EEF"/>
    <w:rsid w:val="00990065"/>
    <w:rsid w:val="009917D4"/>
    <w:rsid w:val="009917DE"/>
    <w:rsid w:val="00994751"/>
    <w:rsid w:val="00994FF2"/>
    <w:rsid w:val="009A0E31"/>
    <w:rsid w:val="009A4528"/>
    <w:rsid w:val="009A4A27"/>
    <w:rsid w:val="009A4C43"/>
    <w:rsid w:val="009A575F"/>
    <w:rsid w:val="009A632A"/>
    <w:rsid w:val="009B0D36"/>
    <w:rsid w:val="009B1FF2"/>
    <w:rsid w:val="009B2115"/>
    <w:rsid w:val="009B23F0"/>
    <w:rsid w:val="009B5649"/>
    <w:rsid w:val="009B56CA"/>
    <w:rsid w:val="009B65AD"/>
    <w:rsid w:val="009B7860"/>
    <w:rsid w:val="009C1582"/>
    <w:rsid w:val="009C32D1"/>
    <w:rsid w:val="009C66CB"/>
    <w:rsid w:val="009D2A5E"/>
    <w:rsid w:val="009D353F"/>
    <w:rsid w:val="009D62BD"/>
    <w:rsid w:val="009E122B"/>
    <w:rsid w:val="009E1F9F"/>
    <w:rsid w:val="009E215C"/>
    <w:rsid w:val="009E3185"/>
    <w:rsid w:val="009E3250"/>
    <w:rsid w:val="009E3C25"/>
    <w:rsid w:val="009E6234"/>
    <w:rsid w:val="009F018D"/>
    <w:rsid w:val="009F6520"/>
    <w:rsid w:val="009F6FF2"/>
    <w:rsid w:val="009F7FC2"/>
    <w:rsid w:val="00A0005E"/>
    <w:rsid w:val="00A022AB"/>
    <w:rsid w:val="00A03D0E"/>
    <w:rsid w:val="00A05D20"/>
    <w:rsid w:val="00A05FAB"/>
    <w:rsid w:val="00A06BA5"/>
    <w:rsid w:val="00A115E4"/>
    <w:rsid w:val="00A11C7F"/>
    <w:rsid w:val="00A11D98"/>
    <w:rsid w:val="00A11EBC"/>
    <w:rsid w:val="00A157E7"/>
    <w:rsid w:val="00A15B99"/>
    <w:rsid w:val="00A1644E"/>
    <w:rsid w:val="00A171DD"/>
    <w:rsid w:val="00A17DED"/>
    <w:rsid w:val="00A2083B"/>
    <w:rsid w:val="00A2122A"/>
    <w:rsid w:val="00A22973"/>
    <w:rsid w:val="00A25849"/>
    <w:rsid w:val="00A26942"/>
    <w:rsid w:val="00A27017"/>
    <w:rsid w:val="00A3136A"/>
    <w:rsid w:val="00A31A1C"/>
    <w:rsid w:val="00A34BB2"/>
    <w:rsid w:val="00A35F7C"/>
    <w:rsid w:val="00A36F45"/>
    <w:rsid w:val="00A37979"/>
    <w:rsid w:val="00A418B6"/>
    <w:rsid w:val="00A434E6"/>
    <w:rsid w:val="00A449B8"/>
    <w:rsid w:val="00A45A92"/>
    <w:rsid w:val="00A4668B"/>
    <w:rsid w:val="00A5024B"/>
    <w:rsid w:val="00A50362"/>
    <w:rsid w:val="00A504E0"/>
    <w:rsid w:val="00A513CD"/>
    <w:rsid w:val="00A51601"/>
    <w:rsid w:val="00A517CE"/>
    <w:rsid w:val="00A51B14"/>
    <w:rsid w:val="00A56B9C"/>
    <w:rsid w:val="00A5721C"/>
    <w:rsid w:val="00A6276C"/>
    <w:rsid w:val="00A66452"/>
    <w:rsid w:val="00A72452"/>
    <w:rsid w:val="00A72989"/>
    <w:rsid w:val="00A72DC9"/>
    <w:rsid w:val="00A7641F"/>
    <w:rsid w:val="00A809CE"/>
    <w:rsid w:val="00A80A32"/>
    <w:rsid w:val="00A81174"/>
    <w:rsid w:val="00A81604"/>
    <w:rsid w:val="00A81B14"/>
    <w:rsid w:val="00A8399D"/>
    <w:rsid w:val="00A8776F"/>
    <w:rsid w:val="00A94A69"/>
    <w:rsid w:val="00A95C8A"/>
    <w:rsid w:val="00A972E4"/>
    <w:rsid w:val="00AA1425"/>
    <w:rsid w:val="00AA2811"/>
    <w:rsid w:val="00AA5059"/>
    <w:rsid w:val="00AA697C"/>
    <w:rsid w:val="00AA7EF6"/>
    <w:rsid w:val="00AB08AA"/>
    <w:rsid w:val="00AB1A78"/>
    <w:rsid w:val="00AB2A06"/>
    <w:rsid w:val="00AB4C23"/>
    <w:rsid w:val="00AB6DD5"/>
    <w:rsid w:val="00AB7162"/>
    <w:rsid w:val="00AB7881"/>
    <w:rsid w:val="00AB7DD8"/>
    <w:rsid w:val="00AB7EC2"/>
    <w:rsid w:val="00AC2C6E"/>
    <w:rsid w:val="00AC3AD1"/>
    <w:rsid w:val="00AC3ADA"/>
    <w:rsid w:val="00AD1E40"/>
    <w:rsid w:val="00AD2086"/>
    <w:rsid w:val="00AD319A"/>
    <w:rsid w:val="00AD58CC"/>
    <w:rsid w:val="00AD6286"/>
    <w:rsid w:val="00AD7568"/>
    <w:rsid w:val="00AE02B3"/>
    <w:rsid w:val="00AE0A5C"/>
    <w:rsid w:val="00AE1A2F"/>
    <w:rsid w:val="00AE2724"/>
    <w:rsid w:val="00AE5CDC"/>
    <w:rsid w:val="00AE7224"/>
    <w:rsid w:val="00AF11B0"/>
    <w:rsid w:val="00AF1205"/>
    <w:rsid w:val="00AF2A21"/>
    <w:rsid w:val="00AF3248"/>
    <w:rsid w:val="00AF43B1"/>
    <w:rsid w:val="00AF68C9"/>
    <w:rsid w:val="00AF703C"/>
    <w:rsid w:val="00B00466"/>
    <w:rsid w:val="00B0235B"/>
    <w:rsid w:val="00B02532"/>
    <w:rsid w:val="00B025B0"/>
    <w:rsid w:val="00B0487C"/>
    <w:rsid w:val="00B064B1"/>
    <w:rsid w:val="00B11229"/>
    <w:rsid w:val="00B116DF"/>
    <w:rsid w:val="00B118F3"/>
    <w:rsid w:val="00B11F50"/>
    <w:rsid w:val="00B12FAC"/>
    <w:rsid w:val="00B13ACB"/>
    <w:rsid w:val="00B1477A"/>
    <w:rsid w:val="00B149DF"/>
    <w:rsid w:val="00B14A22"/>
    <w:rsid w:val="00B17A1F"/>
    <w:rsid w:val="00B2061B"/>
    <w:rsid w:val="00B20625"/>
    <w:rsid w:val="00B218A4"/>
    <w:rsid w:val="00B22FDC"/>
    <w:rsid w:val="00B24B99"/>
    <w:rsid w:val="00B26C00"/>
    <w:rsid w:val="00B27F35"/>
    <w:rsid w:val="00B32016"/>
    <w:rsid w:val="00B32097"/>
    <w:rsid w:val="00B327DE"/>
    <w:rsid w:val="00B43C5B"/>
    <w:rsid w:val="00B44243"/>
    <w:rsid w:val="00B4445C"/>
    <w:rsid w:val="00B47531"/>
    <w:rsid w:val="00B50084"/>
    <w:rsid w:val="00B51562"/>
    <w:rsid w:val="00B5293C"/>
    <w:rsid w:val="00B55B40"/>
    <w:rsid w:val="00B56556"/>
    <w:rsid w:val="00B5720C"/>
    <w:rsid w:val="00B60C4D"/>
    <w:rsid w:val="00B60CAE"/>
    <w:rsid w:val="00B61358"/>
    <w:rsid w:val="00B61998"/>
    <w:rsid w:val="00B651A1"/>
    <w:rsid w:val="00B66175"/>
    <w:rsid w:val="00B672F0"/>
    <w:rsid w:val="00B67731"/>
    <w:rsid w:val="00B73672"/>
    <w:rsid w:val="00B73DE9"/>
    <w:rsid w:val="00B76301"/>
    <w:rsid w:val="00B7678E"/>
    <w:rsid w:val="00B7772B"/>
    <w:rsid w:val="00B77FF8"/>
    <w:rsid w:val="00B81D2E"/>
    <w:rsid w:val="00B86964"/>
    <w:rsid w:val="00B872B9"/>
    <w:rsid w:val="00B90F6D"/>
    <w:rsid w:val="00B9409A"/>
    <w:rsid w:val="00B95F91"/>
    <w:rsid w:val="00B97C25"/>
    <w:rsid w:val="00BA0AC6"/>
    <w:rsid w:val="00BA237D"/>
    <w:rsid w:val="00BA2F94"/>
    <w:rsid w:val="00BA3B38"/>
    <w:rsid w:val="00BA6036"/>
    <w:rsid w:val="00BA708E"/>
    <w:rsid w:val="00BA70AE"/>
    <w:rsid w:val="00BB1B16"/>
    <w:rsid w:val="00BB2915"/>
    <w:rsid w:val="00BB30CC"/>
    <w:rsid w:val="00BB3F32"/>
    <w:rsid w:val="00BC055E"/>
    <w:rsid w:val="00BC1519"/>
    <w:rsid w:val="00BC1FC3"/>
    <w:rsid w:val="00BC21A5"/>
    <w:rsid w:val="00BC24EA"/>
    <w:rsid w:val="00BC2994"/>
    <w:rsid w:val="00BC69FF"/>
    <w:rsid w:val="00BC72B8"/>
    <w:rsid w:val="00BC7E1D"/>
    <w:rsid w:val="00BD0EA7"/>
    <w:rsid w:val="00BD35BF"/>
    <w:rsid w:val="00BD7F73"/>
    <w:rsid w:val="00BE0CB2"/>
    <w:rsid w:val="00BE3331"/>
    <w:rsid w:val="00BF13BF"/>
    <w:rsid w:val="00BF1C2A"/>
    <w:rsid w:val="00BF3009"/>
    <w:rsid w:val="00BF3957"/>
    <w:rsid w:val="00BF42EC"/>
    <w:rsid w:val="00BF58A5"/>
    <w:rsid w:val="00BF5A01"/>
    <w:rsid w:val="00BF5B72"/>
    <w:rsid w:val="00BF5C66"/>
    <w:rsid w:val="00BF66CD"/>
    <w:rsid w:val="00BF76A9"/>
    <w:rsid w:val="00BF7EBA"/>
    <w:rsid w:val="00C0022D"/>
    <w:rsid w:val="00C01C86"/>
    <w:rsid w:val="00C03F82"/>
    <w:rsid w:val="00C040C1"/>
    <w:rsid w:val="00C0627B"/>
    <w:rsid w:val="00C110B6"/>
    <w:rsid w:val="00C1292D"/>
    <w:rsid w:val="00C205B7"/>
    <w:rsid w:val="00C215FA"/>
    <w:rsid w:val="00C21705"/>
    <w:rsid w:val="00C244FF"/>
    <w:rsid w:val="00C307E9"/>
    <w:rsid w:val="00C3138B"/>
    <w:rsid w:val="00C33ADE"/>
    <w:rsid w:val="00C36407"/>
    <w:rsid w:val="00C37FFE"/>
    <w:rsid w:val="00C409F7"/>
    <w:rsid w:val="00C411F8"/>
    <w:rsid w:val="00C41B7C"/>
    <w:rsid w:val="00C41DE0"/>
    <w:rsid w:val="00C42D31"/>
    <w:rsid w:val="00C438FF"/>
    <w:rsid w:val="00C45AA6"/>
    <w:rsid w:val="00C45F18"/>
    <w:rsid w:val="00C4677F"/>
    <w:rsid w:val="00C47283"/>
    <w:rsid w:val="00C50A1A"/>
    <w:rsid w:val="00C51D56"/>
    <w:rsid w:val="00C52EDF"/>
    <w:rsid w:val="00C53A8A"/>
    <w:rsid w:val="00C6007B"/>
    <w:rsid w:val="00C61E40"/>
    <w:rsid w:val="00C63FEF"/>
    <w:rsid w:val="00C66DD3"/>
    <w:rsid w:val="00C672B5"/>
    <w:rsid w:val="00C67A9C"/>
    <w:rsid w:val="00C7152F"/>
    <w:rsid w:val="00C7385F"/>
    <w:rsid w:val="00C748EA"/>
    <w:rsid w:val="00C750AD"/>
    <w:rsid w:val="00C7628A"/>
    <w:rsid w:val="00C7728A"/>
    <w:rsid w:val="00C804EA"/>
    <w:rsid w:val="00C85290"/>
    <w:rsid w:val="00C90471"/>
    <w:rsid w:val="00C908CD"/>
    <w:rsid w:val="00C93834"/>
    <w:rsid w:val="00C93C4A"/>
    <w:rsid w:val="00CA0438"/>
    <w:rsid w:val="00CA04F4"/>
    <w:rsid w:val="00CA1B4E"/>
    <w:rsid w:val="00CA43D0"/>
    <w:rsid w:val="00CA6A00"/>
    <w:rsid w:val="00CB1A9D"/>
    <w:rsid w:val="00CB4678"/>
    <w:rsid w:val="00CB65F7"/>
    <w:rsid w:val="00CB71E6"/>
    <w:rsid w:val="00CB7FB1"/>
    <w:rsid w:val="00CC09BD"/>
    <w:rsid w:val="00CC417A"/>
    <w:rsid w:val="00CC5D77"/>
    <w:rsid w:val="00CC6649"/>
    <w:rsid w:val="00CC6951"/>
    <w:rsid w:val="00CD0BF9"/>
    <w:rsid w:val="00CD2F89"/>
    <w:rsid w:val="00CD34B3"/>
    <w:rsid w:val="00CD4969"/>
    <w:rsid w:val="00CD72D5"/>
    <w:rsid w:val="00CE440A"/>
    <w:rsid w:val="00CE54EE"/>
    <w:rsid w:val="00CE658E"/>
    <w:rsid w:val="00CE6905"/>
    <w:rsid w:val="00CE7210"/>
    <w:rsid w:val="00CF0CA2"/>
    <w:rsid w:val="00CF2125"/>
    <w:rsid w:val="00CF3BE1"/>
    <w:rsid w:val="00CF51A5"/>
    <w:rsid w:val="00CF5CE2"/>
    <w:rsid w:val="00CF66EB"/>
    <w:rsid w:val="00CF68D4"/>
    <w:rsid w:val="00CF7434"/>
    <w:rsid w:val="00D00071"/>
    <w:rsid w:val="00D01BB6"/>
    <w:rsid w:val="00D02D89"/>
    <w:rsid w:val="00D0432F"/>
    <w:rsid w:val="00D044A1"/>
    <w:rsid w:val="00D0475D"/>
    <w:rsid w:val="00D22CB2"/>
    <w:rsid w:val="00D273C8"/>
    <w:rsid w:val="00D27972"/>
    <w:rsid w:val="00D27F81"/>
    <w:rsid w:val="00D30516"/>
    <w:rsid w:val="00D30617"/>
    <w:rsid w:val="00D31208"/>
    <w:rsid w:val="00D340F3"/>
    <w:rsid w:val="00D35CE2"/>
    <w:rsid w:val="00D35E0E"/>
    <w:rsid w:val="00D4184A"/>
    <w:rsid w:val="00D4588A"/>
    <w:rsid w:val="00D4648D"/>
    <w:rsid w:val="00D47335"/>
    <w:rsid w:val="00D50138"/>
    <w:rsid w:val="00D5066C"/>
    <w:rsid w:val="00D53531"/>
    <w:rsid w:val="00D536B6"/>
    <w:rsid w:val="00D536BE"/>
    <w:rsid w:val="00D53E6E"/>
    <w:rsid w:val="00D550E3"/>
    <w:rsid w:val="00D567A1"/>
    <w:rsid w:val="00D567A4"/>
    <w:rsid w:val="00D57F2F"/>
    <w:rsid w:val="00D60403"/>
    <w:rsid w:val="00D61285"/>
    <w:rsid w:val="00D63B0A"/>
    <w:rsid w:val="00D6535B"/>
    <w:rsid w:val="00D66AB4"/>
    <w:rsid w:val="00D67CC8"/>
    <w:rsid w:val="00D70076"/>
    <w:rsid w:val="00D70A82"/>
    <w:rsid w:val="00D71747"/>
    <w:rsid w:val="00D72982"/>
    <w:rsid w:val="00D80060"/>
    <w:rsid w:val="00D80132"/>
    <w:rsid w:val="00D81113"/>
    <w:rsid w:val="00D81B7C"/>
    <w:rsid w:val="00D81B80"/>
    <w:rsid w:val="00D828F4"/>
    <w:rsid w:val="00D837CE"/>
    <w:rsid w:val="00D84B5C"/>
    <w:rsid w:val="00D86959"/>
    <w:rsid w:val="00D91571"/>
    <w:rsid w:val="00D94CA9"/>
    <w:rsid w:val="00DA55DF"/>
    <w:rsid w:val="00DA6593"/>
    <w:rsid w:val="00DA7B50"/>
    <w:rsid w:val="00DB0819"/>
    <w:rsid w:val="00DB1A3C"/>
    <w:rsid w:val="00DB3B4C"/>
    <w:rsid w:val="00DB6343"/>
    <w:rsid w:val="00DC00C6"/>
    <w:rsid w:val="00DC4721"/>
    <w:rsid w:val="00DC6684"/>
    <w:rsid w:val="00DC7A2F"/>
    <w:rsid w:val="00DD04C2"/>
    <w:rsid w:val="00DD1A66"/>
    <w:rsid w:val="00DD1B04"/>
    <w:rsid w:val="00DD1D2F"/>
    <w:rsid w:val="00DD4313"/>
    <w:rsid w:val="00DD7097"/>
    <w:rsid w:val="00DD71F9"/>
    <w:rsid w:val="00DD7AFE"/>
    <w:rsid w:val="00DE030E"/>
    <w:rsid w:val="00DE14CF"/>
    <w:rsid w:val="00DE567C"/>
    <w:rsid w:val="00DF2A50"/>
    <w:rsid w:val="00DF2B74"/>
    <w:rsid w:val="00DF325E"/>
    <w:rsid w:val="00DF4BF2"/>
    <w:rsid w:val="00DF5099"/>
    <w:rsid w:val="00DF51A6"/>
    <w:rsid w:val="00DF5F96"/>
    <w:rsid w:val="00DF5FE7"/>
    <w:rsid w:val="00E000DD"/>
    <w:rsid w:val="00E0146D"/>
    <w:rsid w:val="00E026A8"/>
    <w:rsid w:val="00E02747"/>
    <w:rsid w:val="00E029DC"/>
    <w:rsid w:val="00E033B9"/>
    <w:rsid w:val="00E04F55"/>
    <w:rsid w:val="00E050E4"/>
    <w:rsid w:val="00E06B54"/>
    <w:rsid w:val="00E13192"/>
    <w:rsid w:val="00E13833"/>
    <w:rsid w:val="00E13D2C"/>
    <w:rsid w:val="00E147D9"/>
    <w:rsid w:val="00E14BF5"/>
    <w:rsid w:val="00E15634"/>
    <w:rsid w:val="00E15FC0"/>
    <w:rsid w:val="00E17200"/>
    <w:rsid w:val="00E173CA"/>
    <w:rsid w:val="00E17684"/>
    <w:rsid w:val="00E2004B"/>
    <w:rsid w:val="00E2064E"/>
    <w:rsid w:val="00E20F55"/>
    <w:rsid w:val="00E21E77"/>
    <w:rsid w:val="00E3220C"/>
    <w:rsid w:val="00E32D2B"/>
    <w:rsid w:val="00E33649"/>
    <w:rsid w:val="00E3435D"/>
    <w:rsid w:val="00E356FA"/>
    <w:rsid w:val="00E361CE"/>
    <w:rsid w:val="00E46408"/>
    <w:rsid w:val="00E51718"/>
    <w:rsid w:val="00E5190B"/>
    <w:rsid w:val="00E53069"/>
    <w:rsid w:val="00E537D0"/>
    <w:rsid w:val="00E539AC"/>
    <w:rsid w:val="00E574DA"/>
    <w:rsid w:val="00E61A44"/>
    <w:rsid w:val="00E627AB"/>
    <w:rsid w:val="00E62C09"/>
    <w:rsid w:val="00E6549E"/>
    <w:rsid w:val="00E67BCD"/>
    <w:rsid w:val="00E71534"/>
    <w:rsid w:val="00E71778"/>
    <w:rsid w:val="00E72979"/>
    <w:rsid w:val="00E73B96"/>
    <w:rsid w:val="00E73F45"/>
    <w:rsid w:val="00E752C3"/>
    <w:rsid w:val="00E76024"/>
    <w:rsid w:val="00E77B6D"/>
    <w:rsid w:val="00E80737"/>
    <w:rsid w:val="00E8073D"/>
    <w:rsid w:val="00E807B7"/>
    <w:rsid w:val="00E81877"/>
    <w:rsid w:val="00E83FB6"/>
    <w:rsid w:val="00E8555D"/>
    <w:rsid w:val="00E87984"/>
    <w:rsid w:val="00E87F35"/>
    <w:rsid w:val="00E91B3C"/>
    <w:rsid w:val="00E91E3B"/>
    <w:rsid w:val="00E922FA"/>
    <w:rsid w:val="00E93A7E"/>
    <w:rsid w:val="00E94E99"/>
    <w:rsid w:val="00E9550A"/>
    <w:rsid w:val="00E959E5"/>
    <w:rsid w:val="00EA04D6"/>
    <w:rsid w:val="00EA1F6F"/>
    <w:rsid w:val="00EA3342"/>
    <w:rsid w:val="00EA6237"/>
    <w:rsid w:val="00EB0650"/>
    <w:rsid w:val="00EB4FA4"/>
    <w:rsid w:val="00EB5BC5"/>
    <w:rsid w:val="00EB6D4A"/>
    <w:rsid w:val="00EB7C97"/>
    <w:rsid w:val="00EC211F"/>
    <w:rsid w:val="00EC28A5"/>
    <w:rsid w:val="00EC2BE2"/>
    <w:rsid w:val="00EC38FA"/>
    <w:rsid w:val="00EC53B0"/>
    <w:rsid w:val="00EC5E60"/>
    <w:rsid w:val="00EC753D"/>
    <w:rsid w:val="00ED1CD4"/>
    <w:rsid w:val="00ED1E80"/>
    <w:rsid w:val="00ED225F"/>
    <w:rsid w:val="00ED3144"/>
    <w:rsid w:val="00ED3345"/>
    <w:rsid w:val="00ED5FA7"/>
    <w:rsid w:val="00ED7189"/>
    <w:rsid w:val="00EE2CAD"/>
    <w:rsid w:val="00EE3BA1"/>
    <w:rsid w:val="00EE6048"/>
    <w:rsid w:val="00EE66C4"/>
    <w:rsid w:val="00EF040A"/>
    <w:rsid w:val="00EF237D"/>
    <w:rsid w:val="00EF4479"/>
    <w:rsid w:val="00EF4FDF"/>
    <w:rsid w:val="00EF5AAA"/>
    <w:rsid w:val="00EF6015"/>
    <w:rsid w:val="00F00D18"/>
    <w:rsid w:val="00F0136F"/>
    <w:rsid w:val="00F019B7"/>
    <w:rsid w:val="00F02EBF"/>
    <w:rsid w:val="00F031FB"/>
    <w:rsid w:val="00F03F4F"/>
    <w:rsid w:val="00F03F92"/>
    <w:rsid w:val="00F046FE"/>
    <w:rsid w:val="00F04BBF"/>
    <w:rsid w:val="00F056E1"/>
    <w:rsid w:val="00F063F7"/>
    <w:rsid w:val="00F06F1D"/>
    <w:rsid w:val="00F075F4"/>
    <w:rsid w:val="00F07EFD"/>
    <w:rsid w:val="00F10650"/>
    <w:rsid w:val="00F1565F"/>
    <w:rsid w:val="00F15D28"/>
    <w:rsid w:val="00F16123"/>
    <w:rsid w:val="00F16AB3"/>
    <w:rsid w:val="00F2240E"/>
    <w:rsid w:val="00F262BF"/>
    <w:rsid w:val="00F304B3"/>
    <w:rsid w:val="00F31487"/>
    <w:rsid w:val="00F322A9"/>
    <w:rsid w:val="00F326C2"/>
    <w:rsid w:val="00F32F2C"/>
    <w:rsid w:val="00F36AEC"/>
    <w:rsid w:val="00F4069F"/>
    <w:rsid w:val="00F4136A"/>
    <w:rsid w:val="00F417F0"/>
    <w:rsid w:val="00F42C60"/>
    <w:rsid w:val="00F432D5"/>
    <w:rsid w:val="00F43720"/>
    <w:rsid w:val="00F43FD7"/>
    <w:rsid w:val="00F4515D"/>
    <w:rsid w:val="00F46651"/>
    <w:rsid w:val="00F476B1"/>
    <w:rsid w:val="00F537EA"/>
    <w:rsid w:val="00F53FBD"/>
    <w:rsid w:val="00F54295"/>
    <w:rsid w:val="00F579A5"/>
    <w:rsid w:val="00F6084C"/>
    <w:rsid w:val="00F60C31"/>
    <w:rsid w:val="00F6374F"/>
    <w:rsid w:val="00F63AC7"/>
    <w:rsid w:val="00F6561C"/>
    <w:rsid w:val="00F767C6"/>
    <w:rsid w:val="00F767EF"/>
    <w:rsid w:val="00F77C49"/>
    <w:rsid w:val="00F8387E"/>
    <w:rsid w:val="00F843E3"/>
    <w:rsid w:val="00F877A3"/>
    <w:rsid w:val="00F8794B"/>
    <w:rsid w:val="00F90382"/>
    <w:rsid w:val="00F905EA"/>
    <w:rsid w:val="00F912DA"/>
    <w:rsid w:val="00F92616"/>
    <w:rsid w:val="00F92EBA"/>
    <w:rsid w:val="00F93D01"/>
    <w:rsid w:val="00F94372"/>
    <w:rsid w:val="00FA0674"/>
    <w:rsid w:val="00FA5EAD"/>
    <w:rsid w:val="00FA62A6"/>
    <w:rsid w:val="00FC0A7C"/>
    <w:rsid w:val="00FC0C21"/>
    <w:rsid w:val="00FC4CF9"/>
    <w:rsid w:val="00FC5880"/>
    <w:rsid w:val="00FD1563"/>
    <w:rsid w:val="00FD2DEB"/>
    <w:rsid w:val="00FD5BD0"/>
    <w:rsid w:val="00FD7114"/>
    <w:rsid w:val="00FD76B6"/>
    <w:rsid w:val="00FE0366"/>
    <w:rsid w:val="00FE2025"/>
    <w:rsid w:val="00FE267A"/>
    <w:rsid w:val="00FE31C1"/>
    <w:rsid w:val="00FE5F7F"/>
    <w:rsid w:val="00FE76B4"/>
    <w:rsid w:val="00FE7A51"/>
    <w:rsid w:val="00FF0295"/>
    <w:rsid w:val="00FF4A38"/>
    <w:rsid w:val="00FF6E2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095C3"/>
  <w15:docId w15:val="{A0327189-7876-47B0-81C4-E51BC276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aliases w:val="כותרת 1 תו2,כותרת 1 תו1 תו,Heading 1 תו תו,כותרת 1 תו תו תו,כותרת 1 תו2 תו תו תו,כותרת 1 תו1 תו תו תו תו,כותרת 1 תו תו תו תו תו תו,כותרת 1 תו1 תו תו תו תו תו תו תו,כותרת 1 תו תו1 תו תו תו תו תו תו תו,כותרת 1 תו תו,כותרת 1 תו1,כותרת 1 ת"/>
    <w:basedOn w:val="a"/>
    <w:link w:val="10"/>
    <w:qFormat/>
    <w:rsid w:val="004039F5"/>
    <w:pPr>
      <w:numPr>
        <w:numId w:val="1"/>
      </w:numPr>
      <w:tabs>
        <w:tab w:val="clear" w:pos="562"/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aliases w:val="כותרת 2 תו1 תו,כותרת 2 תו2 תו תו,כותרת 2 תו תו תו תו,Heading 2 תו תו תו תו,כותרת 2 תו1 תו תו תו תו,כותרת 2 תו תו1 תו תו תו תו,Heading 2 תו תו1 תו תו תו תו,כותרת 2 תו תו תו תו תו תו תו,Heading 2 תו תו תו תו תו תו תו,כותרת 2 ת,כותרת 2 תו"/>
    <w:basedOn w:val="1"/>
    <w:link w:val="21"/>
    <w:qFormat/>
    <w:rsid w:val="004039F5"/>
    <w:pPr>
      <w:numPr>
        <w:ilvl w:val="1"/>
      </w:numPr>
      <w:tabs>
        <w:tab w:val="clear" w:pos="1814"/>
        <w:tab w:val="clear" w:pos="2665"/>
        <w:tab w:val="left" w:pos="1140"/>
      </w:tabs>
      <w:outlineLvl w:val="1"/>
    </w:pPr>
  </w:style>
  <w:style w:type="paragraph" w:styleId="3">
    <w:name w:val="heading 3"/>
    <w:aliases w:val="כותרת 3 תו1,כותרת 3 תו תו,כותרת 3 תו2 תו תו,כותרת 3 תו תו תו תו,Heading 3 תו תו תו תו,כותרת 3 תו1 תו תו תו תו,Heading 3 תו1 תו תו תו תו,כותרת 3 תו תו תו תו תו תו,Heading 3 תו תו תו תו תו תו,כותרת 3 תו1 תו תו תו תו תו תו,כותרת 3 תו,Head"/>
    <w:basedOn w:val="2"/>
    <w:qFormat/>
    <w:rsid w:val="004039F5"/>
    <w:pPr>
      <w:numPr>
        <w:ilvl w:val="2"/>
      </w:numPr>
      <w:tabs>
        <w:tab w:val="clear" w:pos="1872"/>
        <w:tab w:val="left" w:pos="1871"/>
      </w:tabs>
      <w:ind w:left="1868"/>
      <w:outlineLvl w:val="2"/>
    </w:pPr>
  </w:style>
  <w:style w:type="paragraph" w:styleId="4">
    <w:name w:val="heading 4"/>
    <w:aliases w:val="כותרת 4 תו3,כותרת 4 תו2 תו,כותרת 4 תו1 תו תו,כותרת 4 תו תו תו תו,Heading 4 תו תו תו תו,כותרת 4 תו תו1 תו,Heading 4 תו תו1 תו,כותרת 4 תו1 תו1,כותרת 4 תו תו תו1,Heading 4 תו תו תו1,כותרת 4 תו תו2,Heading 4 תו תו2,כותרת 4 תו2,תו תו תו תו"/>
    <w:basedOn w:val="3"/>
    <w:qFormat/>
    <w:rsid w:val="004039F5"/>
    <w:pPr>
      <w:numPr>
        <w:ilvl w:val="3"/>
      </w:numPr>
      <w:tabs>
        <w:tab w:val="clear" w:pos="1140"/>
        <w:tab w:val="clear" w:pos="2779"/>
        <w:tab w:val="left" w:pos="2778"/>
      </w:tabs>
      <w:ind w:left="2778"/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character" w:customStyle="1" w:styleId="21">
    <w:name w:val="כותרת 2 תו1"/>
    <w:aliases w:val="כותרת 2 תו1 תו תו,כותרת 2 תו2 תו תו תו,כותרת 2 תו תו תו תו תו,Heading 2 תו תו תו תו תו,כותרת 2 תו1 תו תו תו תו תו,כותרת 2 תו תו1 תו תו תו תו תו,Heading 2 תו תו1 תו תו תו תו תו,כותרת 2 תו תו תו תו תו תו תו תו,Heading 2 תו תו תו תו תו תו תו תו"/>
    <w:link w:val="2"/>
    <w:rsid w:val="004039F5"/>
    <w:rPr>
      <w:rFonts w:cs="David"/>
      <w:kern w:val="28"/>
      <w:sz w:val="22"/>
      <w:szCs w:val="24"/>
    </w:rPr>
  </w:style>
  <w:style w:type="paragraph" w:styleId="a5">
    <w:name w:val="header"/>
    <w:basedOn w:val="a"/>
    <w:link w:val="a6"/>
    <w:uiPriority w:val="99"/>
    <w:rsid w:val="009207C1"/>
    <w:pPr>
      <w:tabs>
        <w:tab w:val="center" w:pos="4153"/>
        <w:tab w:val="right" w:pos="8306"/>
      </w:tabs>
    </w:pPr>
  </w:style>
  <w:style w:type="character" w:customStyle="1" w:styleId="10">
    <w:name w:val="כותרת 1 תו"/>
    <w:aliases w:val="כותרת 1 תו2 תו,כותרת 1 תו1 תו תו,Heading 1 תו תו תו,כותרת 1 תו תו תו תו,כותרת 1 תו2 תו תו תו תו,כותרת 1 תו1 תו תו תו תו תו,כותרת 1 תו תו תו תו תו תו תו,כותרת 1 תו1 תו תו תו תו תו תו תו תו,כותרת 1 תו תו1 תו תו תו תו תו תו תו תו,כותרת 1 תו1 תו1"/>
    <w:link w:val="1"/>
    <w:locked/>
    <w:rsid w:val="004039F5"/>
    <w:rPr>
      <w:rFonts w:cs="David"/>
      <w:kern w:val="28"/>
      <w:sz w:val="22"/>
      <w:szCs w:val="24"/>
    </w:rPr>
  </w:style>
  <w:style w:type="paragraph" w:styleId="a7">
    <w:name w:val="footnote text"/>
    <w:aliases w:val="טקסט הערות שוליים תו,טקסט הערות שוליים תו תו,תו תו תו"/>
    <w:basedOn w:val="a"/>
    <w:link w:val="a8"/>
    <w:uiPriority w:val="99"/>
    <w:rsid w:val="00BD0EA7"/>
    <w:rPr>
      <w:sz w:val="20"/>
      <w:szCs w:val="20"/>
    </w:rPr>
  </w:style>
  <w:style w:type="character" w:customStyle="1" w:styleId="a8">
    <w:name w:val="טקסט הערת שוליים תו"/>
    <w:aliases w:val="טקסט הערות שוליים תו תו1,טקסט הערות שוליים תו תו תו,תו תו תו תו1"/>
    <w:link w:val="a7"/>
    <w:uiPriority w:val="99"/>
    <w:rsid w:val="00BD0EA7"/>
    <w:rPr>
      <w:rFonts w:cs="David"/>
    </w:rPr>
  </w:style>
  <w:style w:type="character" w:styleId="a9">
    <w:name w:val="footnote reference"/>
    <w:uiPriority w:val="99"/>
    <w:rsid w:val="00BD0EA7"/>
    <w:rPr>
      <w:vertAlign w:val="superscript"/>
    </w:rPr>
  </w:style>
  <w:style w:type="paragraph" w:styleId="aa">
    <w:name w:val="List Paragraph"/>
    <w:basedOn w:val="a"/>
    <w:uiPriority w:val="34"/>
    <w:qFormat/>
    <w:rsid w:val="00BD0EA7"/>
    <w:pPr>
      <w:ind w:left="720"/>
    </w:pPr>
  </w:style>
  <w:style w:type="character" w:styleId="Hyperlink">
    <w:name w:val="Hyperlink"/>
    <w:uiPriority w:val="99"/>
    <w:unhideWhenUsed/>
    <w:rsid w:val="00BD0EA7"/>
    <w:rPr>
      <w:rFonts w:ascii="Times New Roman" w:hAnsi="Times New Roman" w:cs="Times New Roman" w:hint="default"/>
      <w:color w:val="0000FF"/>
      <w:u w:val="single"/>
      <w:lang w:bidi="he-IL"/>
    </w:rPr>
  </w:style>
  <w:style w:type="paragraph" w:styleId="ab">
    <w:name w:val="Balloon Text"/>
    <w:basedOn w:val="a"/>
    <w:link w:val="ac"/>
    <w:rsid w:val="00B11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rsid w:val="00B116DF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116DF"/>
    <w:rPr>
      <w:color w:val="808080"/>
    </w:rPr>
  </w:style>
  <w:style w:type="paragraph" w:styleId="ae">
    <w:name w:val="Title"/>
    <w:basedOn w:val="a"/>
    <w:next w:val="a"/>
    <w:link w:val="af"/>
    <w:qFormat/>
    <w:rsid w:val="00A34B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כותרת טקסט תו"/>
    <w:basedOn w:val="a0"/>
    <w:link w:val="ae"/>
    <w:rsid w:val="00A34B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כותרת עליונה תו"/>
    <w:basedOn w:val="a0"/>
    <w:link w:val="a5"/>
    <w:uiPriority w:val="99"/>
    <w:rsid w:val="00BF3957"/>
    <w:rPr>
      <w:rFonts w:cs="David"/>
      <w:sz w:val="24"/>
      <w:szCs w:val="24"/>
    </w:rPr>
  </w:style>
  <w:style w:type="table" w:styleId="af0">
    <w:name w:val="Table Grid"/>
    <w:basedOn w:val="a1"/>
    <w:rsid w:val="004D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744E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744E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744E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0">
    <w:name w:val="Plain Table 3"/>
    <w:basedOn w:val="a1"/>
    <w:uiPriority w:val="43"/>
    <w:rsid w:val="00744E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0">
    <w:name w:val="Plain Table 4"/>
    <w:basedOn w:val="a1"/>
    <w:uiPriority w:val="44"/>
    <w:rsid w:val="00744E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0">
    <w:name w:val="Plain Table 5"/>
    <w:basedOn w:val="a1"/>
    <w:uiPriority w:val="45"/>
    <w:rsid w:val="00744E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1">
    <w:name w:val="Grid Table 4"/>
    <w:basedOn w:val="a1"/>
    <w:uiPriority w:val="49"/>
    <w:rsid w:val="00744E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49"/>
    <w:rsid w:val="00744E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2">
    <w:name w:val="annotation reference"/>
    <w:basedOn w:val="a0"/>
    <w:semiHidden/>
    <w:unhideWhenUsed/>
    <w:rsid w:val="00776D12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776D12"/>
    <w:pPr>
      <w:spacing w:line="240" w:lineRule="auto"/>
    </w:pPr>
    <w:rPr>
      <w:sz w:val="20"/>
      <w:szCs w:val="20"/>
    </w:rPr>
  </w:style>
  <w:style w:type="character" w:customStyle="1" w:styleId="af4">
    <w:name w:val="טקסט הערה תו"/>
    <w:basedOn w:val="a0"/>
    <w:link w:val="af3"/>
    <w:semiHidden/>
    <w:rsid w:val="00776D12"/>
    <w:rPr>
      <w:rFonts w:cs="David"/>
    </w:rPr>
  </w:style>
  <w:style w:type="paragraph" w:styleId="af5">
    <w:name w:val="annotation subject"/>
    <w:basedOn w:val="af3"/>
    <w:next w:val="af3"/>
    <w:link w:val="af6"/>
    <w:semiHidden/>
    <w:unhideWhenUsed/>
    <w:rsid w:val="00776D12"/>
    <w:rPr>
      <w:b/>
      <w:bCs/>
    </w:rPr>
  </w:style>
  <w:style w:type="character" w:customStyle="1" w:styleId="af6">
    <w:name w:val="נושא הערה תו"/>
    <w:basedOn w:val="af4"/>
    <w:link w:val="af5"/>
    <w:semiHidden/>
    <w:rsid w:val="00776D12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22" Type="http://schemas.openxmlformats.org/officeDocument/2006/relationships/footer" Target="footer1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Type xmlns="b279bdb7-ed43-44fc-bbe0-fd0b1f9fbb3c">יוצא</MailType>
    <DocClassification xmlns="b279bdb7-ed43-44fc-bbe0-fd0b1f9fbb3c">פנימי</DocClassification>
    <Foldername xmlns="b279bdb7-ed43-44fc-bbe0-fd0b1f9fbb3c">root</Foldername>
    <DocInspectors xmlns="b279bdb7-ed43-44fc-bbe0-fd0b1f9fbb3c">
      <UserInfo>
        <DisplayName/>
        <AccountId xsi:nil="true"/>
        <AccountType/>
      </UserInfo>
    </DocInspectors>
    <Step xmlns="b279bdb7-ed43-44fc-bbe0-fd0b1f9fbb3c">בביצוע</Step>
    <CC xmlns="b279bdb7-ed43-44fc-bbe0-fd0b1f9fbb3c" xsi:nil="true"/>
    <Simuchin xmlns="b279bdb7-ed43-44fc-bbe0-fd0b1f9fbb3c">4.131.14279</Simuchin>
    <EmailDate xmlns="b279bdb7-ed43-44fc-bbe0-fd0b1f9fbb3c" xsi:nil="true"/>
    <Segel xmlns="b279bdb7-ed43-44fc-bbe0-fd0b1f9fbb3c" xsi:nil="true"/>
    <AssignmentTitle xmlns="b279bdb7-ed43-44fc-bbe0-fd0b1f9fbb3c">סקירה רוחבית - חשיפות אשראי לענף בינוי ונדל"ן 2020</AssignmentTitle>
    <AssignType1 xmlns="b279bdb7-ed43-44fc-bbe0-fd0b1f9fbb3c">סקירה</AssignType1>
    <AssignmentSimuchin xmlns="b279bdb7-ed43-44fc-bbe0-fd0b1f9fbb3c">4.131</AssignmentSimuchin>
    <ShowInDocs xmlns="b279bdb7-ed43-44fc-bbe0-fd0b1f9fbb3c">false</ShowInDocs>
    <Institutes xmlns="b279bdb7-ed43-44fc-bbe0-fd0b1f9fbb3c"/>
    <ParentSubject xmlns="b279bdb7-ed43-44fc-bbe0-fd0b1f9fbb3c" xsi:nil="true"/>
    <EmailConvertedDate xmlns="b279bdb7-ed43-44fc-bbe0-fd0b1f9fbb3c" xsi:nil="true"/>
    <BankDoc xmlns="b279bdb7-ed43-44fc-bbe0-fd0b1f9fbb3c"/>
    <EmailTo1 xmlns="b279bdb7-ed43-44fc-bbe0-fd0b1f9fbb3c" xsi:nil="true"/>
    <EmailFrom1 xmlns="b279bdb7-ed43-44fc-bbe0-fd0b1f9fbb3c" xsi:nil="true"/>
    <CreatedDoc xmlns="b279bdb7-ed43-44fc-bbe0-fd0b1f9fbb3c" xsi:nil="true"/>
    <RelevantStatus xmlns="b279bdb7-ed43-44fc-bbe0-fd0b1f9fbb3c">30</RelevantStatus>
    <AlertDesc xmlns="b279bdb7-ed43-44fc-bbe0-fd0b1f9fbb3c" xsi:nil="true"/>
    <ClassificationLevel xmlns="b279bdb7-ed43-44fc-bbe0-fd0b1f9fbb3c">בנק ישראל - חסוי</ClassificationLevel>
    <DocumentType xmlns="b279bdb7-ed43-44fc-bbe0-fd0b1f9fbb3c">23</DocumentType>
    <Inspectors xmlns="b279bdb7-ed43-44fc-bbe0-fd0b1f9fbb3c">ניר מיכלשטיין</Inspectors>
    <DocBanks xmlns="b279bdb7-ed43-44fc-bbe0-fd0b1f9fbb3c"/>
    <unit xmlns="07cd1adc-cfd6-42a4-b00f-a6bce39e330f">ביקורת סיכוני אשראי</unit>
    <Update_x0020_doc_x0020_data_x0020_Additional_x0020_Documents xmlns="07cd1adc-cfd6-42a4-b00f-a6bce39e330f">
      <Url xsi:nil="true"/>
      <Description xsi:nil="true"/>
    </Update_x0020_doc_x0020_data_x0020_Additional_x0020_Documents>
    <CurrentStatus xmlns="b279bdb7-ed43-44fc-bbe0-fd0b1f9fbb3c">טיוטה למפקח</CurrentStatus>
    <AssignmentID xmlns="b279bdb7-ed43-44fc-bbe0-fd0b1f9fbb3c">131</AssignmentID>
    <bank xmlns="b279bdb7-ed43-44fc-bbe0-fd0b1f9fbb3c">הפועלים,לאומי,דיסקונט,מזרחי,הבינלאומי</bank>
    <Inspector xmlns="b279bdb7-ed43-44fc-bbe0-fd0b1f9fbb3c">
      <UserInfo>
        <DisplayName>ניר מיכלשטיין</DisplayName>
        <AccountId>49</AccountId>
        <AccountType/>
      </UserInfo>
    </Inspecto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9A031-167D-40F5-84F5-91C75EC18259}"/>
</file>

<file path=customXml/itemProps2.xml><?xml version="1.0" encoding="utf-8"?>
<ds:datastoreItem xmlns:ds="http://schemas.openxmlformats.org/officeDocument/2006/customXml" ds:itemID="{EDCA366D-4614-4DEA-A208-70D0EDC58285}"/>
</file>

<file path=customXml/itemProps3.xml><?xml version="1.0" encoding="utf-8"?>
<ds:datastoreItem xmlns:ds="http://schemas.openxmlformats.org/officeDocument/2006/customXml" ds:itemID="{250544E8-A21A-4327-AF06-C2B79A62F02C}"/>
</file>

<file path=customXml/itemProps4.xml><?xml version="1.0" encoding="utf-8"?>
<ds:datastoreItem xmlns:ds="http://schemas.openxmlformats.org/officeDocument/2006/customXml" ds:itemID="{EDCA366D-4614-4DEA-A208-70D0EDC58285}">
  <ds:schemaRefs>
    <ds:schemaRef ds:uri="http://schemas.microsoft.com/office/2006/metadata/properties"/>
    <ds:schemaRef ds:uri="http://schemas.microsoft.com/office/infopath/2007/PartnerControls"/>
    <ds:schemaRef ds:uri="b279bdb7-ed43-44fc-bbe0-fd0b1f9fbb3c"/>
    <ds:schemaRef ds:uri="07cd1adc-cfd6-42a4-b00f-a6bce39e330f"/>
  </ds:schemaRefs>
</ds:datastoreItem>
</file>

<file path=customXml/itemProps5.xml><?xml version="1.0" encoding="utf-8"?>
<ds:datastoreItem xmlns:ds="http://schemas.openxmlformats.org/officeDocument/2006/customXml" ds:itemID="{919F59D2-3EE5-4AB6-BA7E-A9BC914FA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2756</Words>
  <Characters>13781</Characters>
  <Application>Microsoft Office Word</Application>
  <DocSecurity>0</DocSecurity>
  <Lines>114</Lines>
  <Paragraphs>33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מזכר</vt:lpstr>
      <vt:lpstr>מזכר</vt:lpstr>
    </vt:vector>
  </TitlesOfParts>
  <Company>Bank Of Israel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מזכר</dc:title>
  <dc:creator>BOI</dc:creator>
  <cp:lastModifiedBy>Dovrut BOI</cp:lastModifiedBy>
  <cp:revision>4</cp:revision>
  <cp:lastPrinted>2021-05-18T09:46:00Z</cp:lastPrinted>
  <dcterms:created xsi:type="dcterms:W3CDTF">2021-05-19T06:40:00Z</dcterms:created>
  <dcterms:modified xsi:type="dcterms:W3CDTF">2021-05-19T06:51:00Z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1">
    <vt:lpwstr>172S6567</vt:lpwstr>
  </property>
  <property fmtid="{D5CDD505-2E9C-101B-9397-08002B2CF9AE}" pid="3" name="CDP2">
    <vt:lpwstr/>
  </property>
  <property fmtid="{D5CDD505-2E9C-101B-9397-08002B2CF9AE}" pid="4" name="ContentTypeId">
    <vt:lpwstr>0x0101000644CCD52964FE4BBD8AB8E0B060EA47</vt:lpwstr>
  </property>
  <property fmtid="{D5CDD505-2E9C-101B-9397-08002B2CF9AE}" pid="5" name="DocumentType">
    <vt:lpwstr>22</vt:lpwstr>
  </property>
  <property fmtid="{D5CDD505-2E9C-101B-9397-08002B2CF9AE}" pid="6" name="_docset_NoMedatataSyncRequired">
    <vt:lpwstr>False</vt:lpwstr>
  </property>
  <property fmtid="{D5CDD505-2E9C-101B-9397-08002B2CF9AE}" pid="7" name="Get Folder Name in AdditionalDocument">
    <vt:lpwstr>, </vt:lpwstr>
  </property>
  <property fmtid="{D5CDD505-2E9C-101B-9397-08002B2CF9AE}" pid="8" name="WorkflowChangePath">
    <vt:lpwstr>0b041cae-0070-4507-8741-c4657d2ee746,4;e43c1fed-0e0a-4038-8759-9a9c4bd6d1d7,2;e43c1fed-0e0a-4038-8759-9a9c4bd6d1d7,4;e43c1fed-0e0a-4038-8759-9a9c4bd6d1d7,2;</vt:lpwstr>
  </property>
</Properties>
</file>