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D2AB7" w14:textId="77777777" w:rsidR="00B44B19" w:rsidRDefault="00B44B19" w:rsidP="00B44B19">
      <w:pPr>
        <w:bidi w:val="0"/>
        <w:jc w:val="center"/>
      </w:pPr>
      <w:r>
        <w:rPr>
          <w:rFonts w:cs="Arial" w:hint="cs"/>
          <w:noProof/>
          <w:rtl/>
        </w:rPr>
        <w:drawing>
          <wp:anchor distT="0" distB="0" distL="114300" distR="114300" simplePos="0" relativeHeight="251659264" behindDoc="0" locked="0" layoutInCell="1" allowOverlap="1" wp14:anchorId="2830D0A6" wp14:editId="73C13574">
            <wp:simplePos x="0" y="0"/>
            <wp:positionH relativeFrom="margin">
              <wp:align>center</wp:align>
            </wp:positionH>
            <wp:positionV relativeFrom="margin">
              <wp:posOffset>-424180</wp:posOffset>
            </wp:positionV>
            <wp:extent cx="1054800" cy="1054800"/>
            <wp:effectExtent l="0" t="0" r="0" b="0"/>
            <wp:wrapNone/>
            <wp:docPr id="4" name="Picture 1" descr="C:\Users\u17x\Desktop\תמונת לוגו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17x\Desktop\תמונת לוגו (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4800" cy="105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BC6B79" w14:textId="77777777" w:rsidR="00B44B19" w:rsidRPr="00E8008F" w:rsidRDefault="00B44B19" w:rsidP="00B44B19">
      <w:pPr>
        <w:bidi w:val="0"/>
        <w:jc w:val="center"/>
        <w:rPr>
          <w:rtl/>
        </w:rPr>
      </w:pPr>
    </w:p>
    <w:p w14:paraId="4673D540" w14:textId="77777777" w:rsidR="00B44B19" w:rsidRDefault="00B44B19" w:rsidP="00B44B19">
      <w:pPr>
        <w:pStyle w:val="LetterheadBOI"/>
      </w:pPr>
    </w:p>
    <w:p w14:paraId="64C8DF59" w14:textId="77777777" w:rsidR="00B44B19" w:rsidRDefault="00B44B19" w:rsidP="00B44B19">
      <w:pPr>
        <w:pStyle w:val="LetterheadBOI"/>
      </w:pPr>
    </w:p>
    <w:p w14:paraId="092D5724" w14:textId="77777777" w:rsidR="00B44B19" w:rsidRPr="008E4D8E" w:rsidRDefault="00B44B19" w:rsidP="00B44B19">
      <w:pPr>
        <w:pStyle w:val="LetterheadBOI"/>
      </w:pPr>
      <w:r w:rsidRPr="008E4D8E">
        <w:t>BANK OF ISRAEL</w:t>
      </w:r>
    </w:p>
    <w:p w14:paraId="2B74B295" w14:textId="77777777" w:rsidR="00B44B19" w:rsidRPr="008E4D8E" w:rsidRDefault="00B44B19" w:rsidP="00B44B19">
      <w:pPr>
        <w:pStyle w:val="Letterhead2"/>
        <w:rPr>
          <w:b/>
        </w:rPr>
      </w:pPr>
      <w:r w:rsidRPr="008E4D8E">
        <w:t>Office of the Spokesperson and Economic Information</w:t>
      </w:r>
    </w:p>
    <w:p w14:paraId="36F3C1F1" w14:textId="77777777" w:rsidR="00B44B19" w:rsidRDefault="00B44B19" w:rsidP="00B44B19">
      <w:pPr>
        <w:bidi w:val="0"/>
        <w:jc w:val="center"/>
        <w:rPr>
          <w:rFonts w:cs="David"/>
          <w:b/>
          <w:bCs/>
          <w:sz w:val="26"/>
          <w:szCs w:val="26"/>
        </w:rPr>
      </w:pPr>
    </w:p>
    <w:p w14:paraId="4063FCCA" w14:textId="5C0DCCE2" w:rsidR="00B44B19" w:rsidRDefault="00870695" w:rsidP="00BD77E6">
      <w:pPr>
        <w:bidi w:val="0"/>
        <w:jc w:val="right"/>
      </w:pPr>
      <w:r>
        <w:t>July 10</w:t>
      </w:r>
      <w:r w:rsidR="00AA5B2F">
        <w:t>, 202</w:t>
      </w:r>
      <w:r w:rsidR="00E96831">
        <w:t>3</w:t>
      </w:r>
    </w:p>
    <w:p w14:paraId="16986E22" w14:textId="77777777" w:rsidR="008A3EE2" w:rsidRPr="002E6DBF" w:rsidRDefault="008A3EE2" w:rsidP="008A3EE2">
      <w:pPr>
        <w:pStyle w:val="PressReleaseTitle"/>
        <w:jc w:val="left"/>
        <w:rPr>
          <w:rFonts w:asciiTheme="majorBidi" w:hAnsiTheme="majorBidi" w:cstheme="majorBidi"/>
          <w:b w:val="0"/>
          <w:bCs w:val="0"/>
          <w:sz w:val="24"/>
          <w:szCs w:val="24"/>
        </w:rPr>
      </w:pPr>
      <w:r w:rsidRPr="002E6DBF">
        <w:rPr>
          <w:rFonts w:asciiTheme="majorBidi" w:hAnsiTheme="majorBidi" w:cstheme="majorBidi"/>
          <w:b w:val="0"/>
          <w:bCs w:val="0"/>
          <w:sz w:val="24"/>
          <w:szCs w:val="24"/>
        </w:rPr>
        <w:t>Press Release:</w:t>
      </w:r>
    </w:p>
    <w:p w14:paraId="56E59ABD" w14:textId="77777777" w:rsidR="00B44B19" w:rsidRDefault="00B44B19" w:rsidP="008F2323">
      <w:pPr>
        <w:bidi w:val="0"/>
        <w:jc w:val="center"/>
        <w:rPr>
          <w:b/>
          <w:bCs/>
        </w:rPr>
      </w:pPr>
    </w:p>
    <w:p w14:paraId="416E17D5" w14:textId="7728C31B" w:rsidR="00A21D01" w:rsidRPr="00B44B19" w:rsidRDefault="00A21D01" w:rsidP="00870695">
      <w:pPr>
        <w:bidi w:val="0"/>
        <w:jc w:val="center"/>
        <w:rPr>
          <w:b/>
          <w:bCs/>
          <w:sz w:val="28"/>
          <w:szCs w:val="28"/>
        </w:rPr>
      </w:pPr>
      <w:bookmarkStart w:id="0" w:name="_GoBack"/>
      <w:r w:rsidRPr="00B44B19">
        <w:rPr>
          <w:b/>
          <w:bCs/>
          <w:sz w:val="28"/>
          <w:szCs w:val="28"/>
        </w:rPr>
        <w:t xml:space="preserve">Research Department Staff Forecast, </w:t>
      </w:r>
      <w:r w:rsidR="00870695">
        <w:rPr>
          <w:b/>
          <w:bCs/>
          <w:sz w:val="28"/>
          <w:szCs w:val="28"/>
        </w:rPr>
        <w:t>July</w:t>
      </w:r>
      <w:r w:rsidR="00E96831">
        <w:rPr>
          <w:b/>
          <w:bCs/>
          <w:sz w:val="28"/>
          <w:szCs w:val="28"/>
        </w:rPr>
        <w:t xml:space="preserve"> 2023</w:t>
      </w:r>
    </w:p>
    <w:p w14:paraId="379511AF" w14:textId="77777777" w:rsidR="00252B31" w:rsidRDefault="00252B31" w:rsidP="007D70EA">
      <w:pPr>
        <w:bidi w:val="0"/>
        <w:spacing w:line="360" w:lineRule="auto"/>
        <w:jc w:val="both"/>
        <w:rPr>
          <w:b/>
          <w:bCs/>
        </w:rPr>
      </w:pPr>
    </w:p>
    <w:bookmarkEnd w:id="0"/>
    <w:p w14:paraId="6CD42F1A" w14:textId="77777777" w:rsidR="00A21D01" w:rsidRPr="00D60117" w:rsidRDefault="00A21D01" w:rsidP="00252B31">
      <w:pPr>
        <w:bidi w:val="0"/>
        <w:spacing w:line="360" w:lineRule="auto"/>
        <w:jc w:val="both"/>
      </w:pPr>
      <w:r w:rsidRPr="00D60117">
        <w:rPr>
          <w:b/>
          <w:bCs/>
        </w:rPr>
        <w:t>Abstract</w:t>
      </w:r>
    </w:p>
    <w:p w14:paraId="4C0E38BC" w14:textId="5D6E137C" w:rsidR="00D52059" w:rsidRDefault="00B766FF" w:rsidP="00F7707F">
      <w:pPr>
        <w:bidi w:val="0"/>
        <w:jc w:val="both"/>
      </w:pPr>
      <w:r>
        <w:t xml:space="preserve">This document presents the macroeconomic staff forecast formulated by the Bank of Israel Research Department in </w:t>
      </w:r>
      <w:r w:rsidR="00F7707F">
        <w:t>July</w:t>
      </w:r>
      <w:r w:rsidR="00E96831">
        <w:t xml:space="preserve"> 2023</w:t>
      </w:r>
      <w:r w:rsidR="00A30AC5">
        <w:rPr>
          <w:rStyle w:val="ac"/>
        </w:rPr>
        <w:footnoteReference w:id="1"/>
      </w:r>
      <w:r>
        <w:t xml:space="preserve"> concerning the main macroeconomic variables—GDP, inflation, and the interest rate. </w:t>
      </w:r>
    </w:p>
    <w:p w14:paraId="0FE344EE" w14:textId="77777777" w:rsidR="00D52059" w:rsidRDefault="00D52059" w:rsidP="00D52059">
      <w:pPr>
        <w:bidi w:val="0"/>
        <w:jc w:val="both"/>
      </w:pPr>
    </w:p>
    <w:p w14:paraId="474D76EA" w14:textId="5C9656E4" w:rsidR="00E932DD" w:rsidRDefault="00E932DD" w:rsidP="00131338">
      <w:pPr>
        <w:bidi w:val="0"/>
        <w:jc w:val="both"/>
      </w:pPr>
      <w:r>
        <w:t xml:space="preserve">According to the </w:t>
      </w:r>
      <w:r w:rsidR="00F7707F">
        <w:t xml:space="preserve">forecast, which is based on a scenario in which </w:t>
      </w:r>
      <w:r w:rsidR="00131338">
        <w:t>the dispute surrounding legislative changes regarding the judicial system is resolved in a way that does</w:t>
      </w:r>
      <w:r w:rsidR="005A37A5">
        <w:t xml:space="preserve"> not </w:t>
      </w:r>
      <w:r w:rsidR="00F7707F">
        <w:t>affect economic activity moving forward</w:t>
      </w:r>
      <w:r w:rsidR="00F7707F">
        <w:rPr>
          <w:rStyle w:val="ac"/>
        </w:rPr>
        <w:footnoteReference w:id="2"/>
      </w:r>
      <w:r w:rsidR="00F7707F">
        <w:t xml:space="preserve">, </w:t>
      </w:r>
      <w:r w:rsidR="00D52059">
        <w:t xml:space="preserve">GDP is </w:t>
      </w:r>
      <w:r w:rsidR="00F7707F">
        <w:t>expected to grow by 3 percent in each of 2023 and in 2024.  Inflation in the coming four quarters</w:t>
      </w:r>
      <w:r w:rsidR="00F7707F">
        <w:rPr>
          <w:rStyle w:val="ac"/>
        </w:rPr>
        <w:footnoteReference w:id="3"/>
      </w:r>
      <w:r w:rsidR="00F7707F">
        <w:t xml:space="preserve"> is expected to be 3.0 percent, and inflation in 2024 is expected to be 2.4 percent.  </w:t>
      </w:r>
      <w:r w:rsidR="005A37A5">
        <w:t>A</w:t>
      </w:r>
      <w:r w:rsidR="00F7707F">
        <w:t xml:space="preserve">ccording to the forecast, </w:t>
      </w:r>
      <w:r w:rsidR="005A37A5">
        <w:t xml:space="preserve">in the second quarter of 2024, </w:t>
      </w:r>
      <w:r w:rsidR="00131338">
        <w:t>the interest rate</w:t>
      </w:r>
      <w:r w:rsidR="00F7707F">
        <w:t xml:space="preserve"> </w:t>
      </w:r>
      <w:proofErr w:type="gramStart"/>
      <w:r w:rsidR="00F7707F">
        <w:t>is expected</w:t>
      </w:r>
      <w:proofErr w:type="gramEnd"/>
      <w:r w:rsidR="00F7707F">
        <w:t xml:space="preserve"> to average 4.75</w:t>
      </w:r>
      <w:r w:rsidR="005A37A5">
        <w:t>–5</w:t>
      </w:r>
      <w:r w:rsidR="00F7707F">
        <w:t xml:space="preserve"> percent.</w:t>
      </w:r>
    </w:p>
    <w:p w14:paraId="06FB2666" w14:textId="61161EB3" w:rsidR="005D7D3B" w:rsidRDefault="00AE4B42" w:rsidP="00324468">
      <w:pPr>
        <w:bidi w:val="0"/>
        <w:jc w:val="both"/>
      </w:pPr>
      <w:r>
        <w:t xml:space="preserve"> </w:t>
      </w:r>
    </w:p>
    <w:p w14:paraId="6D71E996" w14:textId="200068E8" w:rsidR="00E932DD" w:rsidRDefault="00F7707F" w:rsidP="004675C1">
      <w:pPr>
        <w:bidi w:val="0"/>
        <w:jc w:val="both"/>
        <w:rPr>
          <w:b/>
          <w:bCs/>
        </w:rPr>
      </w:pPr>
      <w:r>
        <w:rPr>
          <w:b/>
          <w:bCs/>
        </w:rPr>
        <w:t>The forecast</w:t>
      </w:r>
    </w:p>
    <w:p w14:paraId="4AC54CB8" w14:textId="77777777" w:rsidR="00F7707F" w:rsidRPr="00F7707F" w:rsidRDefault="00F7707F" w:rsidP="00F7707F">
      <w:pPr>
        <w:bidi w:val="0"/>
        <w:jc w:val="both"/>
        <w:rPr>
          <w:b/>
          <w:bCs/>
        </w:rPr>
      </w:pPr>
    </w:p>
    <w:p w14:paraId="204C0B6F" w14:textId="09E61404" w:rsidR="004675C1" w:rsidRPr="00D60117" w:rsidRDefault="004675C1" w:rsidP="00A83C38">
      <w:pPr>
        <w:bidi w:val="0"/>
        <w:jc w:val="both"/>
      </w:pPr>
      <w:r w:rsidRPr="0048372A">
        <w:t xml:space="preserve">The Bank of Israel Research Department compiles a staff forecast of macroeconomic developments on a quarterly basis. The staff forecast is based on several models, various data sources, and assessments based on economists’ judgment. The Bank’s DSGE (Dynamic Stochastic General Equilibrium) model—a structural model </w:t>
      </w:r>
      <w:r w:rsidR="00F7707F" w:rsidRPr="0048372A">
        <w:t xml:space="preserve">developed in the Research Department </w:t>
      </w:r>
      <w:r w:rsidR="00F7707F">
        <w:t xml:space="preserve">and </w:t>
      </w:r>
      <w:r w:rsidRPr="0048372A">
        <w:t>based on microeconomic foundations—plays a prim</w:t>
      </w:r>
      <w:r w:rsidR="00A83C38">
        <w:t>e</w:t>
      </w:r>
      <w:r w:rsidRPr="0048372A">
        <w:t xml:space="preserve"> role in formulating the macroeconomic forecast.</w:t>
      </w:r>
      <w:r w:rsidRPr="0048372A">
        <w:rPr>
          <w:rStyle w:val="ac"/>
        </w:rPr>
        <w:footnoteReference w:id="4"/>
      </w:r>
      <w:r w:rsidRPr="0048372A">
        <w:t xml:space="preserve"> The model provides a framework for analyzing the forces that have an effect on the economy, and allows information from various sources to be combined into a macroeconomic forecast of real and nominal variables, with an internally consistent “economic story”.</w:t>
      </w:r>
    </w:p>
    <w:p w14:paraId="36CDE9B1" w14:textId="77777777" w:rsidR="00A21D01" w:rsidRPr="00D60117" w:rsidRDefault="00A21D01" w:rsidP="00A21D01">
      <w:pPr>
        <w:bidi w:val="0"/>
        <w:jc w:val="both"/>
      </w:pPr>
    </w:p>
    <w:p w14:paraId="148B0CEF" w14:textId="77777777" w:rsidR="00A21D01" w:rsidRPr="00D60117" w:rsidRDefault="00A21D01" w:rsidP="00A21D01">
      <w:pPr>
        <w:numPr>
          <w:ilvl w:val="0"/>
          <w:numId w:val="9"/>
        </w:numPr>
        <w:bidi w:val="0"/>
        <w:spacing w:line="360" w:lineRule="auto"/>
        <w:ind w:left="357" w:hanging="357"/>
        <w:jc w:val="both"/>
        <w:rPr>
          <w:b/>
          <w:bCs/>
        </w:rPr>
      </w:pPr>
      <w:r w:rsidRPr="00D60117">
        <w:rPr>
          <w:b/>
          <w:bCs/>
        </w:rPr>
        <w:t>The global environment</w:t>
      </w:r>
    </w:p>
    <w:p w14:paraId="09553923" w14:textId="1C531141" w:rsidR="00D52059" w:rsidRDefault="00A21D01" w:rsidP="005A37A5">
      <w:pPr>
        <w:bidi w:val="0"/>
        <w:jc w:val="both"/>
        <w:rPr>
          <w:rtl/>
        </w:rPr>
      </w:pPr>
      <w:r>
        <w:t xml:space="preserve">Our assessments of expected developments in the global economy are based mainly on projections by international </w:t>
      </w:r>
      <w:r w:rsidR="00C45D20">
        <w:t xml:space="preserve">financial </w:t>
      </w:r>
      <w:r>
        <w:t>institutions and foreign investment houses.</w:t>
      </w:r>
      <w:r w:rsidR="00C55EB9">
        <w:t xml:space="preserve">  Their growth forecasts for the advanced economies were revised </w:t>
      </w:r>
      <w:r w:rsidR="00E932DD">
        <w:t>upward</w:t>
      </w:r>
      <w:r w:rsidR="00D52059">
        <w:t xml:space="preserve"> </w:t>
      </w:r>
      <w:r w:rsidR="00F7707F">
        <w:t>by 0.</w:t>
      </w:r>
      <w:r w:rsidR="005A37A5">
        <w:t>3</w:t>
      </w:r>
      <w:r w:rsidR="00F7707F">
        <w:t xml:space="preserve"> percentage points for 2023 and downward by 0.2 percentage points for 2024 to 0.9 percent</w:t>
      </w:r>
      <w:r w:rsidR="005A37A5">
        <w:t xml:space="preserve"> for each year</w:t>
      </w:r>
      <w:r w:rsidR="00F7707F">
        <w:t xml:space="preserve">. </w:t>
      </w:r>
      <w:r w:rsidR="008F34C7">
        <w:t xml:space="preserve">In keeping with </w:t>
      </w:r>
      <w:r w:rsidR="008F34C7">
        <w:lastRenderedPageBreak/>
        <w:t>the OECD’s revised forecast of world trade, we assume that it is expected to grow by 1.6 percent in 2023 and by 3.8 percent in 2024.</w:t>
      </w:r>
      <w:r w:rsidR="00C55EB9">
        <w:t xml:space="preserve"> </w:t>
      </w:r>
      <w:r w:rsidR="005A37A5">
        <w:t xml:space="preserve"> The inflation forecasts for the advanced economies for 2023 remained unchanged from our assumption from the April forecast—3.1 percent—and the forecasts for 2024 were revised upward by 0.3 percentage points to 2.4 percent.</w:t>
      </w:r>
      <w:r w:rsidR="00C55EB9">
        <w:t xml:space="preserve"> </w:t>
      </w:r>
      <w:r w:rsidR="008F34C7">
        <w:t>I</w:t>
      </w:r>
      <w:r w:rsidR="00D52059">
        <w:t>nvestment houses’ forecasts</w:t>
      </w:r>
      <w:r w:rsidR="008F34C7">
        <w:t xml:space="preserve"> of the average interest rate in the advanced economies increased</w:t>
      </w:r>
      <w:r w:rsidR="005A37A5">
        <w:t xml:space="preserve"> by 0.3 percentage points</w:t>
      </w:r>
      <w:r w:rsidR="008F34C7">
        <w:t xml:space="preserve"> relative to our assumptions in April, to 4.7 percent at the end of 2023, and 3.6 percent in 2024.  The price of Brent crude oil declined to about $76 per barrel at t</w:t>
      </w:r>
      <w:r w:rsidR="00323260">
        <w:t xml:space="preserve">he </w:t>
      </w:r>
      <w:r w:rsidR="000C0CAD">
        <w:t>beginning</w:t>
      </w:r>
      <w:r w:rsidR="00323260">
        <w:t xml:space="preserve"> of </w:t>
      </w:r>
      <w:r w:rsidR="000C0CAD">
        <w:t>July</w:t>
      </w:r>
      <w:r w:rsidR="00323260">
        <w:t xml:space="preserve"> (compared with $78 when the previous forecast was prepared in </w:t>
      </w:r>
      <w:r w:rsidR="000C0CAD">
        <w:t>April</w:t>
      </w:r>
      <w:r w:rsidR="00323260">
        <w:t>).</w:t>
      </w:r>
    </w:p>
    <w:p w14:paraId="62B45B41" w14:textId="77777777" w:rsidR="00D52059" w:rsidRDefault="00D52059" w:rsidP="00D52059">
      <w:pPr>
        <w:bidi w:val="0"/>
        <w:jc w:val="both"/>
      </w:pPr>
    </w:p>
    <w:p w14:paraId="703E2EC4" w14:textId="77777777" w:rsidR="007E443D" w:rsidRDefault="007E443D" w:rsidP="007E443D">
      <w:pPr>
        <w:bidi w:val="0"/>
        <w:jc w:val="both"/>
      </w:pPr>
    </w:p>
    <w:p w14:paraId="1C950A65" w14:textId="77777777" w:rsidR="00A21D01" w:rsidRDefault="00A21D01" w:rsidP="0087184F">
      <w:pPr>
        <w:numPr>
          <w:ilvl w:val="0"/>
          <w:numId w:val="9"/>
        </w:numPr>
        <w:bidi w:val="0"/>
        <w:spacing w:line="360" w:lineRule="auto"/>
        <w:ind w:left="357" w:hanging="357"/>
        <w:jc w:val="both"/>
        <w:rPr>
          <w:b/>
          <w:bCs/>
        </w:rPr>
      </w:pPr>
      <w:r w:rsidRPr="00D66FAE">
        <w:rPr>
          <w:b/>
          <w:bCs/>
        </w:rPr>
        <w:t>Real activity in</w:t>
      </w:r>
      <w:r w:rsidRPr="00D60117">
        <w:rPr>
          <w:b/>
          <w:bCs/>
        </w:rPr>
        <w:t xml:space="preserve"> Israel</w:t>
      </w:r>
    </w:p>
    <w:p w14:paraId="7D77D7ED" w14:textId="5DF61656" w:rsidR="00D52059" w:rsidRDefault="00323260" w:rsidP="00323260">
      <w:pPr>
        <w:bidi w:val="0"/>
        <w:jc w:val="both"/>
      </w:pPr>
      <w:r>
        <w:t xml:space="preserve">GDP is expected to grow by 3.0 percent in 2023, and by a similar rate in 2024 (Table 1). </w:t>
      </w:r>
      <w:r w:rsidR="00D52059">
        <w:t xml:space="preserve">National Accounts data published since the previous forecast (for the </w:t>
      </w:r>
      <w:r>
        <w:t>first</w:t>
      </w:r>
      <w:r w:rsidR="00D52059">
        <w:t xml:space="preserve"> quarter of 202</w:t>
      </w:r>
      <w:r>
        <w:t>3</w:t>
      </w:r>
      <w:r w:rsidR="00D52059">
        <w:t>) were higher than expected.</w:t>
      </w:r>
      <w:r>
        <w:t xml:space="preserve">  Therefore, the level of GDP in the first quarter of 2023</w:t>
      </w:r>
      <w:r w:rsidR="00D52059">
        <w:t xml:space="preserve"> </w:t>
      </w:r>
      <w:r>
        <w:t xml:space="preserve">remained higher than the </w:t>
      </w:r>
      <w:proofErr w:type="spellStart"/>
      <w:r>
        <w:t>precrisis</w:t>
      </w:r>
      <w:proofErr w:type="spellEnd"/>
      <w:r>
        <w:t xml:space="preserve"> </w:t>
      </w:r>
      <w:proofErr w:type="spellStart"/>
      <w:r>
        <w:t>trendline</w:t>
      </w:r>
      <w:proofErr w:type="spellEnd"/>
      <w:r>
        <w:t xml:space="preserve">.  </w:t>
      </w:r>
      <w:r w:rsidR="00D52059">
        <w:t xml:space="preserve">However, </w:t>
      </w:r>
      <w:r>
        <w:t xml:space="preserve">GDP is expected to fall slightly below the </w:t>
      </w:r>
      <w:proofErr w:type="spellStart"/>
      <w:r>
        <w:t>trendline</w:t>
      </w:r>
      <w:proofErr w:type="spellEnd"/>
      <w:r>
        <w:t xml:space="preserve"> in the near future.  The expected slowdown in growth is derived from the expectation of moderation in the growth of world trade, and from an increase in the real interest rate in Israel within the forecast period.   The assessment regarding expected growth in 2023 was revised slightly upward due to the effect of final first quarter data, and growth in 2024 was revised slightly downward, such that at the end of 2024, the GDP level is expected to be similar to that of our assessment in the April forecast.</w:t>
      </w:r>
      <w:r w:rsidR="00D52059">
        <w:t xml:space="preserve">  </w:t>
      </w:r>
    </w:p>
    <w:p w14:paraId="1445C8C1" w14:textId="77777777" w:rsidR="00D52059" w:rsidRDefault="00D52059" w:rsidP="00D52059">
      <w:pPr>
        <w:bidi w:val="0"/>
        <w:jc w:val="both"/>
      </w:pPr>
    </w:p>
    <w:p w14:paraId="4C42AA88" w14:textId="75BDED37" w:rsidR="00323260" w:rsidRDefault="00323260" w:rsidP="005A37A5">
      <w:pPr>
        <w:bidi w:val="0"/>
        <w:jc w:val="both"/>
      </w:pPr>
      <w:r>
        <w:t>At the starting point of the forecast, the labor market is tight, the employment rate among the prim</w:t>
      </w:r>
      <w:r w:rsidR="00A83C38">
        <w:t>e</w:t>
      </w:r>
      <w:r>
        <w:t xml:space="preserve"> working ages is higher than it was prior to the COVID-19 crisis, and the unemployment rate is slightly higher than it was during the same period.  Within the forecast period, our assessment is that the labor market will remain tight, but slightly less so than at the starting point.  </w:t>
      </w:r>
      <w:r w:rsidR="005A37A5">
        <w:t xml:space="preserve">In view of our assessments of moderating growth in economic activity </w:t>
      </w:r>
      <w:r>
        <w:t>during the forecast period</w:t>
      </w:r>
      <w:r w:rsidR="00B45809">
        <w:t xml:space="preserve">, </w:t>
      </w:r>
      <w:r w:rsidR="005A37A5">
        <w:t>we expect</w:t>
      </w:r>
      <w:r w:rsidR="00B45809">
        <w:t xml:space="preserve"> that the employment rate among the prim</w:t>
      </w:r>
      <w:r w:rsidR="00A83C38">
        <w:t>e</w:t>
      </w:r>
      <w:r w:rsidR="00B45809">
        <w:t xml:space="preserve"> working ages will decline in 2024 to an average of 77.2 percent, while the unemployment rate will increase to an average of 4.1 percent.  The government deficit in 2023 will total 1.3 percent of GDP, and in 2024 it will total 1.5 percent of GDP.  Government debt is expected to </w:t>
      </w:r>
      <w:proofErr w:type="gramStart"/>
      <w:r w:rsidR="00B45809">
        <w:t>stabilized</w:t>
      </w:r>
      <w:proofErr w:type="gramEnd"/>
      <w:r w:rsidR="00B45809">
        <w:t xml:space="preserve"> at 60 percent of GDP in 2023 and decline to 59 percent of GDP in 2024.</w:t>
      </w:r>
    </w:p>
    <w:p w14:paraId="54CC7426" w14:textId="77777777" w:rsidR="00323260" w:rsidRDefault="00323260" w:rsidP="00323260">
      <w:pPr>
        <w:bidi w:val="0"/>
        <w:jc w:val="both"/>
      </w:pPr>
    </w:p>
    <w:p w14:paraId="434FEA13" w14:textId="6BD3B4F7" w:rsidR="003723AE" w:rsidRDefault="003723AE" w:rsidP="003723AE">
      <w:pPr>
        <w:bidi w:val="0"/>
        <w:jc w:val="both"/>
      </w:pPr>
    </w:p>
    <w:tbl>
      <w:tblPr>
        <w:tblStyle w:val="a7"/>
        <w:tblpPr w:leftFromText="180" w:rightFromText="180" w:vertAnchor="page" w:horzAnchor="margin" w:tblpXSpec="center" w:tblpY="10017"/>
        <w:tblW w:w="10631" w:type="dxa"/>
        <w:tblLayout w:type="fixed"/>
        <w:tblLook w:val="04A0" w:firstRow="1" w:lastRow="0" w:firstColumn="1" w:lastColumn="0" w:noHBand="0" w:noVBand="1"/>
      </w:tblPr>
      <w:tblGrid>
        <w:gridCol w:w="4680"/>
        <w:gridCol w:w="1269"/>
        <w:gridCol w:w="992"/>
        <w:gridCol w:w="1276"/>
        <w:gridCol w:w="992"/>
        <w:gridCol w:w="1422"/>
      </w:tblGrid>
      <w:tr w:rsidR="00130360" w:rsidRPr="007A4B17" w14:paraId="23B9583D" w14:textId="77777777" w:rsidTr="00B45809">
        <w:trPr>
          <w:trHeight w:val="200"/>
        </w:trPr>
        <w:tc>
          <w:tcPr>
            <w:tcW w:w="10631" w:type="dxa"/>
            <w:gridSpan w:val="6"/>
            <w:tcBorders>
              <w:top w:val="single" w:sz="4" w:space="0" w:color="auto"/>
              <w:bottom w:val="single" w:sz="4" w:space="0" w:color="auto"/>
              <w:right w:val="single" w:sz="4" w:space="0" w:color="auto"/>
            </w:tcBorders>
          </w:tcPr>
          <w:p w14:paraId="247815B6" w14:textId="77777777" w:rsidR="00130360" w:rsidRPr="00B13C35" w:rsidRDefault="00130360" w:rsidP="00B45809">
            <w:pPr>
              <w:bidi w:val="0"/>
              <w:rPr>
                <w:b/>
                <w:bCs/>
                <w:color w:val="0070C0"/>
              </w:rPr>
            </w:pPr>
            <w:r w:rsidRPr="00B13C35">
              <w:rPr>
                <w:b/>
                <w:bCs/>
                <w:color w:val="0070C0"/>
              </w:rPr>
              <w:lastRenderedPageBreak/>
              <w:t>Table 1</w:t>
            </w:r>
          </w:p>
          <w:p w14:paraId="2DE5A010" w14:textId="77777777" w:rsidR="00130360" w:rsidRDefault="00130360" w:rsidP="00B45809">
            <w:pPr>
              <w:bidi w:val="0"/>
              <w:rPr>
                <w:b/>
                <w:bCs/>
                <w:color w:val="0070C0"/>
              </w:rPr>
            </w:pPr>
            <w:r w:rsidRPr="00B13C35">
              <w:rPr>
                <w:b/>
                <w:bCs/>
                <w:color w:val="0070C0"/>
              </w:rPr>
              <w:t>Research Department Staff Forecast for 20</w:t>
            </w:r>
            <w:r>
              <w:rPr>
                <w:b/>
                <w:bCs/>
                <w:color w:val="0070C0"/>
              </w:rPr>
              <w:t>22–</w:t>
            </w:r>
            <w:r w:rsidRPr="00B13C35">
              <w:rPr>
                <w:b/>
                <w:bCs/>
                <w:color w:val="0070C0"/>
              </w:rPr>
              <w:t>20</w:t>
            </w:r>
            <w:r>
              <w:rPr>
                <w:b/>
                <w:bCs/>
                <w:color w:val="0070C0"/>
              </w:rPr>
              <w:t>24</w:t>
            </w:r>
          </w:p>
          <w:p w14:paraId="5D3A6173" w14:textId="77777777" w:rsidR="00130360" w:rsidRPr="00B13C35" w:rsidRDefault="00130360" w:rsidP="00B45809">
            <w:pPr>
              <w:bidi w:val="0"/>
              <w:jc w:val="right"/>
              <w:rPr>
                <w:b/>
                <w:bCs/>
                <w:color w:val="0070C0"/>
              </w:rPr>
            </w:pPr>
            <w:r w:rsidRPr="00B13C35">
              <w:rPr>
                <w:color w:val="0070C0"/>
                <w:sz w:val="22"/>
                <w:szCs w:val="22"/>
              </w:rPr>
              <w:t xml:space="preserve">(rates of change, </w:t>
            </w:r>
            <w:proofErr w:type="spellStart"/>
            <w:r w:rsidRPr="00B13C35">
              <w:rPr>
                <w:color w:val="0070C0"/>
                <w:sz w:val="22"/>
                <w:szCs w:val="22"/>
              </w:rPr>
              <w:t>percent</w:t>
            </w:r>
            <w:r>
              <w:rPr>
                <w:color w:val="0070C0"/>
                <w:sz w:val="22"/>
                <w:szCs w:val="22"/>
                <w:vertAlign w:val="superscript"/>
              </w:rPr>
              <w:t>a</w:t>
            </w:r>
            <w:proofErr w:type="spellEnd"/>
            <w:r w:rsidRPr="00B13C35">
              <w:rPr>
                <w:color w:val="0070C0"/>
                <w:sz w:val="22"/>
                <w:szCs w:val="22"/>
              </w:rPr>
              <w:t>, unless stated otherwise</w:t>
            </w:r>
            <w:r>
              <w:rPr>
                <w:color w:val="0070C0"/>
                <w:sz w:val="22"/>
                <w:szCs w:val="22"/>
              </w:rPr>
              <w:t>)</w:t>
            </w:r>
          </w:p>
        </w:tc>
      </w:tr>
      <w:tr w:rsidR="00130360" w:rsidRPr="007A4B17" w14:paraId="41725CA1" w14:textId="77777777" w:rsidTr="00B45809">
        <w:tc>
          <w:tcPr>
            <w:tcW w:w="4680" w:type="dxa"/>
            <w:tcBorders>
              <w:bottom w:val="nil"/>
            </w:tcBorders>
            <w:vAlign w:val="bottom"/>
          </w:tcPr>
          <w:p w14:paraId="187ADF60" w14:textId="77777777" w:rsidR="00130360" w:rsidRPr="00A50C95" w:rsidRDefault="00130360" w:rsidP="00B45809">
            <w:pPr>
              <w:bidi w:val="0"/>
              <w:rPr>
                <w:sz w:val="20"/>
                <w:szCs w:val="20"/>
              </w:rPr>
            </w:pPr>
          </w:p>
        </w:tc>
        <w:tc>
          <w:tcPr>
            <w:tcW w:w="1269" w:type="dxa"/>
            <w:tcBorders>
              <w:bottom w:val="single" w:sz="4" w:space="0" w:color="auto"/>
              <w:right w:val="single" w:sz="4" w:space="0" w:color="auto"/>
            </w:tcBorders>
          </w:tcPr>
          <w:p w14:paraId="3CD816BB" w14:textId="77777777" w:rsidR="00130360" w:rsidRDefault="00130360" w:rsidP="00B45809">
            <w:pPr>
              <w:bidi w:val="0"/>
              <w:jc w:val="center"/>
              <w:rPr>
                <w:rFonts w:asciiTheme="majorBidi" w:hAnsiTheme="majorBidi" w:cstheme="majorBidi"/>
                <w:sz w:val="20"/>
                <w:szCs w:val="20"/>
              </w:rPr>
            </w:pPr>
            <w:r>
              <w:rPr>
                <w:rFonts w:asciiTheme="majorBidi" w:hAnsiTheme="majorBidi" w:cstheme="majorBidi"/>
                <w:sz w:val="20"/>
                <w:szCs w:val="20"/>
              </w:rPr>
              <w:t>2022</w:t>
            </w:r>
          </w:p>
          <w:p w14:paraId="48ECC7E5" w14:textId="77777777" w:rsidR="00130360" w:rsidRPr="00A50C95" w:rsidRDefault="00130360" w:rsidP="00B45809">
            <w:pPr>
              <w:bidi w:val="0"/>
              <w:jc w:val="center"/>
              <w:rPr>
                <w:rFonts w:asciiTheme="majorBidi" w:hAnsiTheme="majorBidi" w:cstheme="majorBidi"/>
                <w:sz w:val="20"/>
                <w:szCs w:val="20"/>
              </w:rPr>
            </w:pPr>
            <w:r>
              <w:rPr>
                <w:rFonts w:asciiTheme="majorBidi" w:hAnsiTheme="majorBidi" w:cstheme="majorBidi"/>
                <w:sz w:val="20"/>
                <w:szCs w:val="20"/>
              </w:rPr>
              <w:t>Actual</w:t>
            </w:r>
          </w:p>
        </w:tc>
        <w:tc>
          <w:tcPr>
            <w:tcW w:w="992" w:type="dxa"/>
            <w:tcBorders>
              <w:left w:val="single" w:sz="4" w:space="0" w:color="auto"/>
              <w:bottom w:val="nil"/>
              <w:right w:val="nil"/>
            </w:tcBorders>
            <w:shd w:val="clear" w:color="auto" w:fill="auto"/>
          </w:tcPr>
          <w:p w14:paraId="3EBD6C5D" w14:textId="77777777" w:rsidR="00130360" w:rsidRPr="003C7BEB" w:rsidRDefault="00130360" w:rsidP="00B45809">
            <w:pPr>
              <w:bidi w:val="0"/>
              <w:jc w:val="center"/>
              <w:rPr>
                <w:rFonts w:asciiTheme="majorBidi" w:hAnsiTheme="majorBidi" w:cstheme="majorBidi"/>
                <w:sz w:val="20"/>
                <w:szCs w:val="20"/>
              </w:rPr>
            </w:pPr>
            <w:r>
              <w:rPr>
                <w:rFonts w:asciiTheme="majorBidi" w:hAnsiTheme="majorBidi" w:cstheme="majorBidi"/>
                <w:sz w:val="20"/>
                <w:szCs w:val="20"/>
              </w:rPr>
              <w:t>Forecast for 2023</w:t>
            </w:r>
          </w:p>
        </w:tc>
        <w:tc>
          <w:tcPr>
            <w:tcW w:w="1276" w:type="dxa"/>
            <w:tcBorders>
              <w:left w:val="nil"/>
              <w:bottom w:val="single" w:sz="4" w:space="0" w:color="auto"/>
              <w:right w:val="single" w:sz="4" w:space="0" w:color="auto"/>
            </w:tcBorders>
            <w:shd w:val="clear" w:color="auto" w:fill="C6D9F1" w:themeFill="text2" w:themeFillTint="33"/>
          </w:tcPr>
          <w:p w14:paraId="03F31344" w14:textId="51C49565" w:rsidR="00130360" w:rsidRPr="003C7BEB" w:rsidRDefault="00130360" w:rsidP="00B45809">
            <w:pPr>
              <w:bidi w:val="0"/>
              <w:jc w:val="center"/>
              <w:rPr>
                <w:rFonts w:asciiTheme="majorBidi" w:hAnsiTheme="majorBidi" w:cstheme="majorBidi"/>
                <w:sz w:val="20"/>
                <w:szCs w:val="20"/>
              </w:rPr>
            </w:pPr>
            <w:r>
              <w:rPr>
                <w:rFonts w:asciiTheme="majorBidi" w:hAnsiTheme="majorBidi" w:cstheme="majorBidi"/>
                <w:sz w:val="20"/>
                <w:szCs w:val="20"/>
              </w:rPr>
              <w:t xml:space="preserve">Change from the  </w:t>
            </w:r>
            <w:r w:rsidR="00B45809">
              <w:rPr>
                <w:rFonts w:asciiTheme="majorBidi" w:hAnsiTheme="majorBidi" w:cstheme="majorBidi"/>
                <w:sz w:val="20"/>
                <w:szCs w:val="20"/>
              </w:rPr>
              <w:t>April</w:t>
            </w:r>
            <w:r>
              <w:rPr>
                <w:rFonts w:asciiTheme="majorBidi" w:hAnsiTheme="majorBidi" w:cstheme="majorBidi"/>
                <w:sz w:val="20"/>
                <w:szCs w:val="20"/>
              </w:rPr>
              <w:t xml:space="preserve"> forecast</w:t>
            </w:r>
          </w:p>
        </w:tc>
        <w:tc>
          <w:tcPr>
            <w:tcW w:w="992" w:type="dxa"/>
            <w:tcBorders>
              <w:left w:val="single" w:sz="4" w:space="0" w:color="auto"/>
              <w:bottom w:val="nil"/>
              <w:right w:val="nil"/>
            </w:tcBorders>
            <w:shd w:val="clear" w:color="auto" w:fill="auto"/>
          </w:tcPr>
          <w:p w14:paraId="1F36C543" w14:textId="77777777" w:rsidR="00130360" w:rsidRPr="003C7BEB" w:rsidRDefault="00130360" w:rsidP="00B45809">
            <w:pPr>
              <w:bidi w:val="0"/>
              <w:jc w:val="center"/>
              <w:rPr>
                <w:rFonts w:asciiTheme="majorBidi" w:hAnsiTheme="majorBidi" w:cstheme="majorBidi"/>
                <w:sz w:val="20"/>
                <w:szCs w:val="20"/>
              </w:rPr>
            </w:pPr>
            <w:r>
              <w:rPr>
                <w:rFonts w:asciiTheme="majorBidi" w:hAnsiTheme="majorBidi" w:cstheme="majorBidi"/>
                <w:sz w:val="20"/>
                <w:szCs w:val="20"/>
              </w:rPr>
              <w:t>Forecast for 2024</w:t>
            </w:r>
          </w:p>
        </w:tc>
        <w:tc>
          <w:tcPr>
            <w:tcW w:w="1422" w:type="dxa"/>
            <w:tcBorders>
              <w:left w:val="nil"/>
              <w:bottom w:val="single" w:sz="4" w:space="0" w:color="auto"/>
              <w:right w:val="single" w:sz="4" w:space="0" w:color="auto"/>
            </w:tcBorders>
            <w:shd w:val="clear" w:color="auto" w:fill="C6D9F1" w:themeFill="text2" w:themeFillTint="33"/>
          </w:tcPr>
          <w:p w14:paraId="133A5F9A" w14:textId="7BCCF99D" w:rsidR="00130360" w:rsidRDefault="00130360" w:rsidP="00B45809">
            <w:pPr>
              <w:bidi w:val="0"/>
              <w:jc w:val="center"/>
              <w:rPr>
                <w:rFonts w:asciiTheme="majorBidi" w:hAnsiTheme="majorBidi" w:cstheme="majorBidi"/>
                <w:sz w:val="20"/>
                <w:szCs w:val="20"/>
              </w:rPr>
            </w:pPr>
            <w:r>
              <w:rPr>
                <w:rFonts w:asciiTheme="majorBidi" w:hAnsiTheme="majorBidi" w:cstheme="majorBidi"/>
                <w:sz w:val="20"/>
                <w:szCs w:val="20"/>
              </w:rPr>
              <w:t xml:space="preserve">Change from the  </w:t>
            </w:r>
            <w:r w:rsidR="00B45809">
              <w:rPr>
                <w:rFonts w:asciiTheme="majorBidi" w:hAnsiTheme="majorBidi" w:cstheme="majorBidi"/>
                <w:sz w:val="20"/>
                <w:szCs w:val="20"/>
              </w:rPr>
              <w:t>April</w:t>
            </w:r>
            <w:r>
              <w:rPr>
                <w:rFonts w:asciiTheme="majorBidi" w:hAnsiTheme="majorBidi" w:cstheme="majorBidi"/>
                <w:sz w:val="20"/>
                <w:szCs w:val="20"/>
              </w:rPr>
              <w:t xml:space="preserve"> forecast</w:t>
            </w:r>
          </w:p>
        </w:tc>
      </w:tr>
      <w:tr w:rsidR="00130360" w:rsidRPr="007A4B17" w14:paraId="1BB8743C" w14:textId="77777777" w:rsidTr="00B45809">
        <w:tc>
          <w:tcPr>
            <w:tcW w:w="4680" w:type="dxa"/>
            <w:tcBorders>
              <w:bottom w:val="single" w:sz="4" w:space="0" w:color="auto"/>
            </w:tcBorders>
            <w:vAlign w:val="bottom"/>
          </w:tcPr>
          <w:p w14:paraId="5B58637B" w14:textId="77777777" w:rsidR="00130360" w:rsidRPr="00404ACD" w:rsidRDefault="00130360" w:rsidP="00B45809">
            <w:pPr>
              <w:bidi w:val="0"/>
              <w:rPr>
                <w:b/>
                <w:bCs/>
                <w:sz w:val="20"/>
                <w:szCs w:val="20"/>
              </w:rPr>
            </w:pPr>
            <w:r w:rsidRPr="00404ACD">
              <w:rPr>
                <w:b/>
                <w:bCs/>
                <w:sz w:val="20"/>
                <w:szCs w:val="20"/>
              </w:rPr>
              <w:t>GDP</w:t>
            </w:r>
          </w:p>
        </w:tc>
        <w:tc>
          <w:tcPr>
            <w:tcW w:w="1269" w:type="dxa"/>
            <w:tcBorders>
              <w:bottom w:val="single" w:sz="4" w:space="0" w:color="auto"/>
              <w:right w:val="single" w:sz="4" w:space="0" w:color="auto"/>
            </w:tcBorders>
          </w:tcPr>
          <w:p w14:paraId="68ED3B1A" w14:textId="624C9451" w:rsidR="00130360" w:rsidRPr="00404ACD" w:rsidRDefault="00B45809" w:rsidP="00B45809">
            <w:pPr>
              <w:bidi w:val="0"/>
              <w:jc w:val="center"/>
              <w:rPr>
                <w:rFonts w:asciiTheme="majorBidi" w:hAnsiTheme="majorBidi" w:cstheme="majorBidi"/>
                <w:b/>
                <w:bCs/>
                <w:sz w:val="20"/>
                <w:szCs w:val="20"/>
              </w:rPr>
            </w:pPr>
            <w:r>
              <w:rPr>
                <w:rFonts w:asciiTheme="majorBidi" w:hAnsiTheme="majorBidi" w:cstheme="majorBidi"/>
                <w:b/>
                <w:bCs/>
                <w:sz w:val="20"/>
                <w:szCs w:val="20"/>
              </w:rPr>
              <w:t>6.5</w:t>
            </w:r>
          </w:p>
        </w:tc>
        <w:tc>
          <w:tcPr>
            <w:tcW w:w="992" w:type="dxa"/>
            <w:tcBorders>
              <w:left w:val="single" w:sz="4" w:space="0" w:color="auto"/>
              <w:bottom w:val="single" w:sz="4" w:space="0" w:color="auto"/>
              <w:right w:val="nil"/>
            </w:tcBorders>
            <w:shd w:val="clear" w:color="auto" w:fill="auto"/>
          </w:tcPr>
          <w:p w14:paraId="700130FB" w14:textId="31A2A37E" w:rsidR="00130360" w:rsidRPr="00404ACD" w:rsidRDefault="00B45809" w:rsidP="00B45809">
            <w:pPr>
              <w:bidi w:val="0"/>
              <w:jc w:val="center"/>
              <w:rPr>
                <w:rFonts w:asciiTheme="majorBidi" w:hAnsiTheme="majorBidi" w:cstheme="majorBidi"/>
                <w:b/>
                <w:bCs/>
                <w:sz w:val="20"/>
                <w:szCs w:val="20"/>
              </w:rPr>
            </w:pPr>
            <w:r>
              <w:rPr>
                <w:rFonts w:asciiTheme="majorBidi" w:hAnsiTheme="majorBidi" w:cstheme="majorBidi"/>
                <w:b/>
                <w:bCs/>
                <w:sz w:val="20"/>
                <w:szCs w:val="20"/>
              </w:rPr>
              <w:t>3.0</w:t>
            </w:r>
          </w:p>
        </w:tc>
        <w:tc>
          <w:tcPr>
            <w:tcW w:w="1276" w:type="dxa"/>
            <w:tcBorders>
              <w:left w:val="nil"/>
              <w:bottom w:val="single" w:sz="4" w:space="0" w:color="auto"/>
              <w:right w:val="single" w:sz="4" w:space="0" w:color="auto"/>
            </w:tcBorders>
            <w:shd w:val="clear" w:color="auto" w:fill="C6D9F1" w:themeFill="text2" w:themeFillTint="33"/>
            <w:vAlign w:val="bottom"/>
          </w:tcPr>
          <w:p w14:paraId="78C0F388" w14:textId="7D0F116B" w:rsidR="00130360" w:rsidRPr="00404ACD" w:rsidRDefault="00130360" w:rsidP="00B45809">
            <w:pPr>
              <w:bidi w:val="0"/>
              <w:jc w:val="center"/>
              <w:rPr>
                <w:rFonts w:asciiTheme="majorBidi" w:hAnsiTheme="majorBidi" w:cstheme="majorBidi"/>
                <w:b/>
                <w:bCs/>
                <w:sz w:val="20"/>
                <w:szCs w:val="20"/>
              </w:rPr>
            </w:pPr>
            <w:r>
              <w:rPr>
                <w:rFonts w:asciiTheme="majorBidi" w:hAnsiTheme="majorBidi" w:cstheme="majorBidi"/>
                <w:b/>
                <w:bCs/>
                <w:sz w:val="20"/>
                <w:szCs w:val="20"/>
              </w:rPr>
              <w:t>0.</w:t>
            </w:r>
            <w:r w:rsidR="00B45809">
              <w:rPr>
                <w:rFonts w:asciiTheme="majorBidi" w:hAnsiTheme="majorBidi" w:cstheme="majorBidi"/>
                <w:b/>
                <w:bCs/>
                <w:sz w:val="20"/>
                <w:szCs w:val="20"/>
              </w:rPr>
              <w:t>5</w:t>
            </w:r>
          </w:p>
        </w:tc>
        <w:tc>
          <w:tcPr>
            <w:tcW w:w="992" w:type="dxa"/>
            <w:tcBorders>
              <w:left w:val="single" w:sz="4" w:space="0" w:color="auto"/>
              <w:bottom w:val="single" w:sz="4" w:space="0" w:color="auto"/>
              <w:right w:val="nil"/>
            </w:tcBorders>
            <w:shd w:val="clear" w:color="auto" w:fill="auto"/>
          </w:tcPr>
          <w:p w14:paraId="1D4BAD68" w14:textId="420E7757" w:rsidR="00130360" w:rsidRPr="00404ACD" w:rsidRDefault="00130360" w:rsidP="00B45809">
            <w:pPr>
              <w:bidi w:val="0"/>
              <w:jc w:val="center"/>
              <w:rPr>
                <w:rFonts w:asciiTheme="majorBidi" w:hAnsiTheme="majorBidi" w:cstheme="majorBidi"/>
                <w:b/>
                <w:bCs/>
                <w:sz w:val="20"/>
                <w:szCs w:val="20"/>
              </w:rPr>
            </w:pPr>
            <w:r>
              <w:rPr>
                <w:rFonts w:asciiTheme="majorBidi" w:hAnsiTheme="majorBidi" w:cstheme="majorBidi"/>
                <w:b/>
                <w:bCs/>
                <w:sz w:val="20"/>
                <w:szCs w:val="20"/>
              </w:rPr>
              <w:t>3.</w:t>
            </w:r>
            <w:r w:rsidR="00B45809">
              <w:rPr>
                <w:rFonts w:asciiTheme="majorBidi" w:hAnsiTheme="majorBidi" w:cstheme="majorBidi"/>
                <w:b/>
                <w:bCs/>
                <w:sz w:val="20"/>
                <w:szCs w:val="20"/>
              </w:rPr>
              <w:t>0</w:t>
            </w:r>
          </w:p>
        </w:tc>
        <w:tc>
          <w:tcPr>
            <w:tcW w:w="1422" w:type="dxa"/>
            <w:tcBorders>
              <w:left w:val="nil"/>
              <w:bottom w:val="single" w:sz="4" w:space="0" w:color="auto"/>
              <w:right w:val="single" w:sz="4" w:space="0" w:color="auto"/>
            </w:tcBorders>
            <w:shd w:val="clear" w:color="auto" w:fill="C6D9F1" w:themeFill="text2" w:themeFillTint="33"/>
          </w:tcPr>
          <w:p w14:paraId="7B483223" w14:textId="4221B911" w:rsidR="00130360" w:rsidRDefault="00B45809" w:rsidP="00B45809">
            <w:pPr>
              <w:bidi w:val="0"/>
              <w:jc w:val="center"/>
              <w:rPr>
                <w:rFonts w:asciiTheme="majorBidi" w:hAnsiTheme="majorBidi" w:cstheme="majorBidi"/>
                <w:b/>
                <w:bCs/>
                <w:sz w:val="20"/>
                <w:szCs w:val="20"/>
              </w:rPr>
            </w:pPr>
            <w:r>
              <w:rPr>
                <w:rFonts w:asciiTheme="majorBidi" w:hAnsiTheme="majorBidi" w:cstheme="majorBidi"/>
                <w:b/>
                <w:bCs/>
                <w:sz w:val="20"/>
                <w:szCs w:val="20"/>
              </w:rPr>
              <w:t>-0.5</w:t>
            </w:r>
          </w:p>
        </w:tc>
      </w:tr>
      <w:tr w:rsidR="00130360" w:rsidRPr="007A4B17" w14:paraId="5D5CAD40" w14:textId="77777777" w:rsidTr="00B45809">
        <w:tc>
          <w:tcPr>
            <w:tcW w:w="4680" w:type="dxa"/>
            <w:tcBorders>
              <w:bottom w:val="single" w:sz="4" w:space="0" w:color="auto"/>
            </w:tcBorders>
            <w:vAlign w:val="bottom"/>
          </w:tcPr>
          <w:p w14:paraId="0E4FDDAB" w14:textId="77777777" w:rsidR="00130360" w:rsidRPr="00A50C95" w:rsidRDefault="00130360" w:rsidP="00B45809">
            <w:pPr>
              <w:bidi w:val="0"/>
              <w:rPr>
                <w:sz w:val="20"/>
                <w:szCs w:val="20"/>
              </w:rPr>
            </w:pPr>
            <w:r>
              <w:rPr>
                <w:sz w:val="20"/>
                <w:szCs w:val="20"/>
              </w:rPr>
              <w:t>Private consumption</w:t>
            </w:r>
          </w:p>
        </w:tc>
        <w:tc>
          <w:tcPr>
            <w:tcW w:w="1269" w:type="dxa"/>
            <w:tcBorders>
              <w:bottom w:val="single" w:sz="4" w:space="0" w:color="auto"/>
              <w:right w:val="single" w:sz="4" w:space="0" w:color="auto"/>
            </w:tcBorders>
          </w:tcPr>
          <w:p w14:paraId="28F7A19E" w14:textId="77777777" w:rsidR="00130360" w:rsidRDefault="00130360" w:rsidP="00B45809">
            <w:pPr>
              <w:bidi w:val="0"/>
              <w:jc w:val="center"/>
              <w:rPr>
                <w:rFonts w:asciiTheme="majorBidi" w:hAnsiTheme="majorBidi" w:cstheme="majorBidi"/>
                <w:sz w:val="20"/>
                <w:szCs w:val="20"/>
              </w:rPr>
            </w:pPr>
            <w:r>
              <w:rPr>
                <w:rFonts w:asciiTheme="majorBidi" w:hAnsiTheme="majorBidi" w:cstheme="majorBidi"/>
                <w:sz w:val="20"/>
                <w:szCs w:val="20"/>
              </w:rPr>
              <w:t>7.7</w:t>
            </w:r>
          </w:p>
        </w:tc>
        <w:tc>
          <w:tcPr>
            <w:tcW w:w="992" w:type="dxa"/>
            <w:tcBorders>
              <w:left w:val="single" w:sz="4" w:space="0" w:color="auto"/>
              <w:bottom w:val="single" w:sz="4" w:space="0" w:color="auto"/>
              <w:right w:val="nil"/>
            </w:tcBorders>
            <w:shd w:val="clear" w:color="auto" w:fill="auto"/>
          </w:tcPr>
          <w:p w14:paraId="3F000297" w14:textId="72006A41" w:rsidR="00130360" w:rsidRDefault="00B45809" w:rsidP="00B45809">
            <w:pPr>
              <w:bidi w:val="0"/>
              <w:jc w:val="center"/>
              <w:rPr>
                <w:rFonts w:asciiTheme="majorBidi" w:hAnsiTheme="majorBidi" w:cstheme="majorBidi"/>
                <w:sz w:val="20"/>
                <w:szCs w:val="20"/>
              </w:rPr>
            </w:pPr>
            <w:r>
              <w:rPr>
                <w:rFonts w:asciiTheme="majorBidi" w:hAnsiTheme="majorBidi" w:cstheme="majorBidi"/>
                <w:sz w:val="20"/>
                <w:szCs w:val="20"/>
              </w:rPr>
              <w:t>3.0</w:t>
            </w:r>
          </w:p>
        </w:tc>
        <w:tc>
          <w:tcPr>
            <w:tcW w:w="1276" w:type="dxa"/>
            <w:tcBorders>
              <w:left w:val="nil"/>
              <w:bottom w:val="single" w:sz="4" w:space="0" w:color="auto"/>
              <w:right w:val="single" w:sz="4" w:space="0" w:color="auto"/>
            </w:tcBorders>
            <w:shd w:val="clear" w:color="auto" w:fill="C6D9F1" w:themeFill="text2" w:themeFillTint="33"/>
            <w:vAlign w:val="bottom"/>
          </w:tcPr>
          <w:p w14:paraId="7E702CAC" w14:textId="77777777" w:rsidR="00130360" w:rsidRDefault="00130360" w:rsidP="00B45809">
            <w:pPr>
              <w:bidi w:val="0"/>
              <w:jc w:val="center"/>
              <w:rPr>
                <w:rFonts w:asciiTheme="majorBidi" w:hAnsiTheme="majorBidi" w:cstheme="majorBidi"/>
                <w:sz w:val="20"/>
                <w:szCs w:val="20"/>
              </w:rPr>
            </w:pPr>
            <w:r>
              <w:rPr>
                <w:rFonts w:asciiTheme="majorBidi" w:hAnsiTheme="majorBidi" w:cstheme="majorBidi"/>
                <w:sz w:val="20"/>
                <w:szCs w:val="20"/>
              </w:rPr>
              <w:t>-0.5</w:t>
            </w:r>
          </w:p>
        </w:tc>
        <w:tc>
          <w:tcPr>
            <w:tcW w:w="992" w:type="dxa"/>
            <w:tcBorders>
              <w:left w:val="single" w:sz="4" w:space="0" w:color="auto"/>
              <w:bottom w:val="single" w:sz="4" w:space="0" w:color="auto"/>
              <w:right w:val="nil"/>
            </w:tcBorders>
            <w:shd w:val="clear" w:color="auto" w:fill="auto"/>
          </w:tcPr>
          <w:p w14:paraId="306ED02D" w14:textId="3A353E45" w:rsidR="00130360" w:rsidRDefault="00B45809" w:rsidP="00B45809">
            <w:pPr>
              <w:bidi w:val="0"/>
              <w:jc w:val="center"/>
              <w:rPr>
                <w:rFonts w:asciiTheme="majorBidi" w:hAnsiTheme="majorBidi" w:cstheme="majorBidi"/>
                <w:sz w:val="20"/>
                <w:szCs w:val="20"/>
              </w:rPr>
            </w:pPr>
            <w:r>
              <w:rPr>
                <w:rFonts w:asciiTheme="majorBidi" w:hAnsiTheme="majorBidi" w:cstheme="majorBidi"/>
                <w:sz w:val="20"/>
                <w:szCs w:val="20"/>
              </w:rPr>
              <w:t>3.</w:t>
            </w:r>
            <w:r w:rsidR="00130360">
              <w:rPr>
                <w:rFonts w:asciiTheme="majorBidi" w:hAnsiTheme="majorBidi" w:cstheme="majorBidi"/>
                <w:sz w:val="20"/>
                <w:szCs w:val="20"/>
              </w:rPr>
              <w:t>5</w:t>
            </w:r>
          </w:p>
        </w:tc>
        <w:tc>
          <w:tcPr>
            <w:tcW w:w="1422" w:type="dxa"/>
            <w:tcBorders>
              <w:left w:val="nil"/>
              <w:bottom w:val="single" w:sz="4" w:space="0" w:color="auto"/>
              <w:right w:val="single" w:sz="4" w:space="0" w:color="auto"/>
            </w:tcBorders>
            <w:shd w:val="clear" w:color="auto" w:fill="C6D9F1" w:themeFill="text2" w:themeFillTint="33"/>
          </w:tcPr>
          <w:p w14:paraId="26351468" w14:textId="24E77A66" w:rsidR="00130360" w:rsidRDefault="00B45809" w:rsidP="00B45809">
            <w:pPr>
              <w:bidi w:val="0"/>
              <w:jc w:val="center"/>
              <w:rPr>
                <w:rFonts w:asciiTheme="majorBidi" w:hAnsiTheme="majorBidi" w:cstheme="majorBidi"/>
                <w:sz w:val="20"/>
                <w:szCs w:val="20"/>
              </w:rPr>
            </w:pPr>
            <w:r>
              <w:rPr>
                <w:rFonts w:asciiTheme="majorBidi" w:hAnsiTheme="majorBidi" w:cstheme="majorBidi"/>
                <w:sz w:val="20"/>
                <w:szCs w:val="20"/>
              </w:rPr>
              <w:t>-1</w:t>
            </w:r>
            <w:r w:rsidR="00130360">
              <w:rPr>
                <w:rFonts w:asciiTheme="majorBidi" w:hAnsiTheme="majorBidi" w:cstheme="majorBidi"/>
                <w:sz w:val="20"/>
                <w:szCs w:val="20"/>
              </w:rPr>
              <w:t>.0</w:t>
            </w:r>
          </w:p>
        </w:tc>
      </w:tr>
      <w:tr w:rsidR="00130360" w:rsidRPr="007A4B17" w14:paraId="54D163C4" w14:textId="77777777" w:rsidTr="00B45809">
        <w:tc>
          <w:tcPr>
            <w:tcW w:w="4680" w:type="dxa"/>
            <w:tcBorders>
              <w:bottom w:val="single" w:sz="4" w:space="0" w:color="auto"/>
            </w:tcBorders>
            <w:vAlign w:val="bottom"/>
          </w:tcPr>
          <w:p w14:paraId="476F576D" w14:textId="77777777" w:rsidR="00130360" w:rsidRDefault="00130360" w:rsidP="00B45809">
            <w:pPr>
              <w:bidi w:val="0"/>
              <w:rPr>
                <w:sz w:val="20"/>
                <w:szCs w:val="20"/>
              </w:rPr>
            </w:pPr>
            <w:r>
              <w:rPr>
                <w:sz w:val="20"/>
                <w:szCs w:val="20"/>
              </w:rPr>
              <w:t>Fixed capital formation (excl. ships and aircraft)</w:t>
            </w:r>
          </w:p>
        </w:tc>
        <w:tc>
          <w:tcPr>
            <w:tcW w:w="1269" w:type="dxa"/>
            <w:tcBorders>
              <w:bottom w:val="single" w:sz="4" w:space="0" w:color="auto"/>
              <w:right w:val="single" w:sz="4" w:space="0" w:color="auto"/>
            </w:tcBorders>
          </w:tcPr>
          <w:p w14:paraId="1579CF03" w14:textId="2A55077E" w:rsidR="00130360" w:rsidRDefault="00B45809" w:rsidP="00B45809">
            <w:pPr>
              <w:bidi w:val="0"/>
              <w:jc w:val="center"/>
              <w:rPr>
                <w:rFonts w:asciiTheme="majorBidi" w:hAnsiTheme="majorBidi" w:cstheme="majorBidi"/>
                <w:sz w:val="20"/>
                <w:szCs w:val="20"/>
              </w:rPr>
            </w:pPr>
            <w:r>
              <w:rPr>
                <w:rFonts w:asciiTheme="majorBidi" w:hAnsiTheme="majorBidi" w:cstheme="majorBidi"/>
                <w:sz w:val="20"/>
                <w:szCs w:val="20"/>
              </w:rPr>
              <w:t>9.4</w:t>
            </w:r>
          </w:p>
        </w:tc>
        <w:tc>
          <w:tcPr>
            <w:tcW w:w="992" w:type="dxa"/>
            <w:tcBorders>
              <w:left w:val="single" w:sz="4" w:space="0" w:color="auto"/>
              <w:bottom w:val="single" w:sz="4" w:space="0" w:color="auto"/>
              <w:right w:val="nil"/>
            </w:tcBorders>
            <w:shd w:val="clear" w:color="auto" w:fill="auto"/>
          </w:tcPr>
          <w:p w14:paraId="7D075478" w14:textId="66862747" w:rsidR="00130360" w:rsidRDefault="00B45809" w:rsidP="00B45809">
            <w:pPr>
              <w:bidi w:val="0"/>
              <w:jc w:val="center"/>
              <w:rPr>
                <w:rFonts w:asciiTheme="majorBidi" w:hAnsiTheme="majorBidi" w:cstheme="majorBidi"/>
                <w:sz w:val="20"/>
                <w:szCs w:val="20"/>
              </w:rPr>
            </w:pPr>
            <w:r>
              <w:rPr>
                <w:rFonts w:asciiTheme="majorBidi" w:hAnsiTheme="majorBidi" w:cstheme="majorBidi"/>
                <w:sz w:val="20"/>
                <w:szCs w:val="20"/>
              </w:rPr>
              <w:t>4</w:t>
            </w:r>
            <w:r w:rsidR="00130360">
              <w:rPr>
                <w:rFonts w:asciiTheme="majorBidi" w:hAnsiTheme="majorBidi" w:cstheme="majorBidi"/>
                <w:sz w:val="20"/>
                <w:szCs w:val="20"/>
              </w:rPr>
              <w:t>.5</w:t>
            </w:r>
          </w:p>
        </w:tc>
        <w:tc>
          <w:tcPr>
            <w:tcW w:w="1276" w:type="dxa"/>
            <w:tcBorders>
              <w:left w:val="nil"/>
              <w:bottom w:val="single" w:sz="4" w:space="0" w:color="auto"/>
              <w:right w:val="single" w:sz="4" w:space="0" w:color="auto"/>
            </w:tcBorders>
            <w:shd w:val="clear" w:color="auto" w:fill="C6D9F1" w:themeFill="text2" w:themeFillTint="33"/>
            <w:vAlign w:val="bottom"/>
          </w:tcPr>
          <w:p w14:paraId="1D406A25" w14:textId="1BC60169" w:rsidR="00130360" w:rsidRDefault="00B45809" w:rsidP="00B45809">
            <w:pPr>
              <w:bidi w:val="0"/>
              <w:jc w:val="center"/>
              <w:rPr>
                <w:rFonts w:asciiTheme="majorBidi" w:hAnsiTheme="majorBidi" w:cstheme="majorBidi"/>
                <w:sz w:val="20"/>
                <w:szCs w:val="20"/>
              </w:rPr>
            </w:pPr>
            <w:r>
              <w:rPr>
                <w:rFonts w:asciiTheme="majorBidi" w:hAnsiTheme="majorBidi" w:cstheme="majorBidi"/>
                <w:sz w:val="20"/>
                <w:szCs w:val="20"/>
              </w:rPr>
              <w:t>3.0</w:t>
            </w:r>
          </w:p>
        </w:tc>
        <w:tc>
          <w:tcPr>
            <w:tcW w:w="992" w:type="dxa"/>
            <w:tcBorders>
              <w:left w:val="single" w:sz="4" w:space="0" w:color="auto"/>
              <w:bottom w:val="single" w:sz="4" w:space="0" w:color="auto"/>
              <w:right w:val="nil"/>
            </w:tcBorders>
            <w:shd w:val="clear" w:color="auto" w:fill="auto"/>
          </w:tcPr>
          <w:p w14:paraId="4B34CC4E" w14:textId="0D72F69F" w:rsidR="00130360" w:rsidRDefault="00B45809" w:rsidP="00B45809">
            <w:pPr>
              <w:bidi w:val="0"/>
              <w:jc w:val="center"/>
              <w:rPr>
                <w:rFonts w:asciiTheme="majorBidi" w:hAnsiTheme="majorBidi" w:cstheme="majorBidi"/>
                <w:sz w:val="20"/>
                <w:szCs w:val="20"/>
              </w:rPr>
            </w:pPr>
            <w:r>
              <w:rPr>
                <w:rFonts w:asciiTheme="majorBidi" w:hAnsiTheme="majorBidi" w:cstheme="majorBidi"/>
                <w:sz w:val="20"/>
                <w:szCs w:val="20"/>
              </w:rPr>
              <w:t>3.0</w:t>
            </w:r>
          </w:p>
        </w:tc>
        <w:tc>
          <w:tcPr>
            <w:tcW w:w="1422" w:type="dxa"/>
            <w:tcBorders>
              <w:left w:val="nil"/>
              <w:bottom w:val="single" w:sz="4" w:space="0" w:color="auto"/>
              <w:right w:val="single" w:sz="4" w:space="0" w:color="auto"/>
            </w:tcBorders>
            <w:shd w:val="clear" w:color="auto" w:fill="C6D9F1" w:themeFill="text2" w:themeFillTint="33"/>
          </w:tcPr>
          <w:p w14:paraId="438EB563" w14:textId="0BB70268" w:rsidR="00130360" w:rsidRDefault="00B45809" w:rsidP="00B45809">
            <w:pPr>
              <w:bidi w:val="0"/>
              <w:jc w:val="center"/>
              <w:rPr>
                <w:rFonts w:asciiTheme="majorBidi" w:hAnsiTheme="majorBidi" w:cstheme="majorBidi"/>
                <w:sz w:val="20"/>
                <w:szCs w:val="20"/>
              </w:rPr>
            </w:pPr>
            <w:r>
              <w:rPr>
                <w:rFonts w:asciiTheme="majorBidi" w:hAnsiTheme="majorBidi" w:cstheme="majorBidi"/>
                <w:sz w:val="20"/>
                <w:szCs w:val="20"/>
              </w:rPr>
              <w:t>-1</w:t>
            </w:r>
            <w:r w:rsidR="00130360">
              <w:rPr>
                <w:rFonts w:asciiTheme="majorBidi" w:hAnsiTheme="majorBidi" w:cstheme="majorBidi"/>
                <w:sz w:val="20"/>
                <w:szCs w:val="20"/>
              </w:rPr>
              <w:t>.5</w:t>
            </w:r>
          </w:p>
        </w:tc>
      </w:tr>
      <w:tr w:rsidR="00130360" w:rsidRPr="007A4B17" w14:paraId="5B59C759" w14:textId="77777777" w:rsidTr="00B45809">
        <w:tc>
          <w:tcPr>
            <w:tcW w:w="4680" w:type="dxa"/>
            <w:tcBorders>
              <w:bottom w:val="single" w:sz="4" w:space="0" w:color="auto"/>
            </w:tcBorders>
            <w:vAlign w:val="bottom"/>
          </w:tcPr>
          <w:p w14:paraId="7FED3702" w14:textId="77777777" w:rsidR="00130360" w:rsidRDefault="00130360" w:rsidP="00B45809">
            <w:pPr>
              <w:bidi w:val="0"/>
              <w:rPr>
                <w:sz w:val="20"/>
                <w:szCs w:val="20"/>
              </w:rPr>
            </w:pPr>
            <w:r>
              <w:rPr>
                <w:sz w:val="20"/>
                <w:szCs w:val="20"/>
              </w:rPr>
              <w:t>Public consumption (excl. defense imports)</w:t>
            </w:r>
          </w:p>
        </w:tc>
        <w:tc>
          <w:tcPr>
            <w:tcW w:w="1269" w:type="dxa"/>
            <w:tcBorders>
              <w:bottom w:val="single" w:sz="4" w:space="0" w:color="auto"/>
              <w:right w:val="single" w:sz="4" w:space="0" w:color="auto"/>
            </w:tcBorders>
          </w:tcPr>
          <w:p w14:paraId="4A643BA4" w14:textId="764B56C8" w:rsidR="00130360" w:rsidRDefault="00B45809" w:rsidP="00B45809">
            <w:pPr>
              <w:bidi w:val="0"/>
              <w:jc w:val="center"/>
              <w:rPr>
                <w:rFonts w:asciiTheme="majorBidi" w:hAnsiTheme="majorBidi" w:cstheme="majorBidi"/>
                <w:sz w:val="20"/>
                <w:szCs w:val="20"/>
              </w:rPr>
            </w:pPr>
            <w:r>
              <w:rPr>
                <w:rFonts w:asciiTheme="majorBidi" w:hAnsiTheme="majorBidi" w:cstheme="majorBidi"/>
                <w:sz w:val="20"/>
                <w:szCs w:val="20"/>
              </w:rPr>
              <w:t>1.1</w:t>
            </w:r>
          </w:p>
        </w:tc>
        <w:tc>
          <w:tcPr>
            <w:tcW w:w="992" w:type="dxa"/>
            <w:tcBorders>
              <w:left w:val="single" w:sz="4" w:space="0" w:color="auto"/>
              <w:bottom w:val="single" w:sz="4" w:space="0" w:color="auto"/>
              <w:right w:val="nil"/>
            </w:tcBorders>
            <w:shd w:val="clear" w:color="auto" w:fill="auto"/>
          </w:tcPr>
          <w:p w14:paraId="0250DC6C" w14:textId="77777777" w:rsidR="00130360" w:rsidRDefault="00130360" w:rsidP="00B45809">
            <w:pPr>
              <w:bidi w:val="0"/>
              <w:jc w:val="center"/>
              <w:rPr>
                <w:rFonts w:asciiTheme="majorBidi" w:hAnsiTheme="majorBidi" w:cstheme="majorBidi"/>
                <w:sz w:val="20"/>
                <w:szCs w:val="20"/>
              </w:rPr>
            </w:pPr>
            <w:r>
              <w:rPr>
                <w:rFonts w:asciiTheme="majorBidi" w:hAnsiTheme="majorBidi" w:cstheme="majorBidi"/>
                <w:sz w:val="20"/>
                <w:szCs w:val="20"/>
              </w:rPr>
              <w:t>2.0</w:t>
            </w:r>
          </w:p>
        </w:tc>
        <w:tc>
          <w:tcPr>
            <w:tcW w:w="1276" w:type="dxa"/>
            <w:tcBorders>
              <w:left w:val="nil"/>
              <w:bottom w:val="single" w:sz="4" w:space="0" w:color="auto"/>
              <w:right w:val="single" w:sz="4" w:space="0" w:color="auto"/>
            </w:tcBorders>
            <w:shd w:val="clear" w:color="auto" w:fill="C6D9F1" w:themeFill="text2" w:themeFillTint="33"/>
            <w:vAlign w:val="bottom"/>
          </w:tcPr>
          <w:p w14:paraId="7324C68A" w14:textId="5B2946A6" w:rsidR="00130360" w:rsidRDefault="00B45809" w:rsidP="00B45809">
            <w:pPr>
              <w:bidi w:val="0"/>
              <w:jc w:val="center"/>
              <w:rPr>
                <w:rFonts w:asciiTheme="majorBidi" w:hAnsiTheme="majorBidi" w:cstheme="majorBidi"/>
                <w:sz w:val="20"/>
                <w:szCs w:val="20"/>
              </w:rPr>
            </w:pPr>
            <w:r>
              <w:rPr>
                <w:rFonts w:asciiTheme="majorBidi" w:hAnsiTheme="majorBidi" w:cstheme="majorBidi"/>
                <w:sz w:val="20"/>
                <w:szCs w:val="20"/>
              </w:rPr>
              <w:t>0.0</w:t>
            </w:r>
          </w:p>
        </w:tc>
        <w:tc>
          <w:tcPr>
            <w:tcW w:w="992" w:type="dxa"/>
            <w:tcBorders>
              <w:left w:val="single" w:sz="4" w:space="0" w:color="auto"/>
              <w:bottom w:val="single" w:sz="4" w:space="0" w:color="auto"/>
              <w:right w:val="nil"/>
            </w:tcBorders>
            <w:shd w:val="clear" w:color="auto" w:fill="auto"/>
          </w:tcPr>
          <w:p w14:paraId="64E19BE3" w14:textId="77777777" w:rsidR="00130360" w:rsidRDefault="00130360" w:rsidP="00B45809">
            <w:pPr>
              <w:bidi w:val="0"/>
              <w:jc w:val="center"/>
              <w:rPr>
                <w:rFonts w:asciiTheme="majorBidi" w:hAnsiTheme="majorBidi" w:cstheme="majorBidi"/>
                <w:sz w:val="20"/>
                <w:szCs w:val="20"/>
              </w:rPr>
            </w:pPr>
            <w:r>
              <w:rPr>
                <w:rFonts w:asciiTheme="majorBidi" w:hAnsiTheme="majorBidi" w:cstheme="majorBidi"/>
                <w:sz w:val="20"/>
                <w:szCs w:val="20"/>
              </w:rPr>
              <w:t>3.0</w:t>
            </w:r>
          </w:p>
        </w:tc>
        <w:tc>
          <w:tcPr>
            <w:tcW w:w="1422" w:type="dxa"/>
            <w:tcBorders>
              <w:left w:val="nil"/>
              <w:bottom w:val="single" w:sz="4" w:space="0" w:color="auto"/>
              <w:right w:val="single" w:sz="4" w:space="0" w:color="auto"/>
            </w:tcBorders>
            <w:shd w:val="clear" w:color="auto" w:fill="C6D9F1" w:themeFill="text2" w:themeFillTint="33"/>
          </w:tcPr>
          <w:p w14:paraId="3E2638B2" w14:textId="77777777" w:rsidR="00130360" w:rsidRDefault="00130360" w:rsidP="00B45809">
            <w:pPr>
              <w:bidi w:val="0"/>
              <w:jc w:val="center"/>
              <w:rPr>
                <w:rFonts w:asciiTheme="majorBidi" w:hAnsiTheme="majorBidi" w:cstheme="majorBidi"/>
                <w:sz w:val="20"/>
                <w:szCs w:val="20"/>
              </w:rPr>
            </w:pPr>
            <w:r>
              <w:rPr>
                <w:rFonts w:asciiTheme="majorBidi" w:hAnsiTheme="majorBidi" w:cstheme="majorBidi"/>
                <w:sz w:val="20"/>
                <w:szCs w:val="20"/>
              </w:rPr>
              <w:t>0.0</w:t>
            </w:r>
          </w:p>
        </w:tc>
      </w:tr>
      <w:tr w:rsidR="00130360" w:rsidRPr="007A4B17" w14:paraId="638D83BF" w14:textId="77777777" w:rsidTr="00B45809">
        <w:tc>
          <w:tcPr>
            <w:tcW w:w="4680" w:type="dxa"/>
            <w:tcBorders>
              <w:bottom w:val="single" w:sz="4" w:space="0" w:color="auto"/>
            </w:tcBorders>
            <w:vAlign w:val="bottom"/>
          </w:tcPr>
          <w:p w14:paraId="1E419480" w14:textId="77777777" w:rsidR="00130360" w:rsidRDefault="00130360" w:rsidP="00B45809">
            <w:pPr>
              <w:bidi w:val="0"/>
              <w:rPr>
                <w:sz w:val="20"/>
                <w:szCs w:val="20"/>
              </w:rPr>
            </w:pPr>
            <w:r>
              <w:rPr>
                <w:sz w:val="20"/>
                <w:szCs w:val="20"/>
              </w:rPr>
              <w:t>Exports (excl. diamonds and startups)</w:t>
            </w:r>
          </w:p>
        </w:tc>
        <w:tc>
          <w:tcPr>
            <w:tcW w:w="1269" w:type="dxa"/>
            <w:tcBorders>
              <w:bottom w:val="single" w:sz="4" w:space="0" w:color="auto"/>
              <w:right w:val="single" w:sz="4" w:space="0" w:color="auto"/>
            </w:tcBorders>
          </w:tcPr>
          <w:p w14:paraId="54EAACF1" w14:textId="29D7E1D6" w:rsidR="00130360" w:rsidRDefault="00130360" w:rsidP="00B45809">
            <w:pPr>
              <w:bidi w:val="0"/>
              <w:jc w:val="center"/>
              <w:rPr>
                <w:rFonts w:asciiTheme="majorBidi" w:hAnsiTheme="majorBidi" w:cstheme="majorBidi"/>
                <w:sz w:val="20"/>
                <w:szCs w:val="20"/>
              </w:rPr>
            </w:pPr>
            <w:r>
              <w:rPr>
                <w:rFonts w:asciiTheme="majorBidi" w:hAnsiTheme="majorBidi" w:cstheme="majorBidi"/>
                <w:sz w:val="20"/>
                <w:szCs w:val="20"/>
              </w:rPr>
              <w:t>9</w:t>
            </w:r>
            <w:r w:rsidR="00B45809">
              <w:rPr>
                <w:rFonts w:asciiTheme="majorBidi" w:hAnsiTheme="majorBidi" w:cstheme="majorBidi"/>
                <w:sz w:val="20"/>
                <w:szCs w:val="20"/>
              </w:rPr>
              <w:t>.2</w:t>
            </w:r>
          </w:p>
        </w:tc>
        <w:tc>
          <w:tcPr>
            <w:tcW w:w="992" w:type="dxa"/>
            <w:tcBorders>
              <w:left w:val="single" w:sz="4" w:space="0" w:color="auto"/>
              <w:bottom w:val="single" w:sz="4" w:space="0" w:color="auto"/>
              <w:right w:val="nil"/>
            </w:tcBorders>
            <w:shd w:val="clear" w:color="auto" w:fill="auto"/>
          </w:tcPr>
          <w:p w14:paraId="49F98D77" w14:textId="399DAAB2" w:rsidR="00130360" w:rsidRDefault="00B45809" w:rsidP="00B45809">
            <w:pPr>
              <w:bidi w:val="0"/>
              <w:jc w:val="center"/>
              <w:rPr>
                <w:rFonts w:asciiTheme="majorBidi" w:hAnsiTheme="majorBidi" w:cstheme="majorBidi"/>
                <w:sz w:val="20"/>
                <w:szCs w:val="20"/>
              </w:rPr>
            </w:pPr>
            <w:r>
              <w:rPr>
                <w:rFonts w:asciiTheme="majorBidi" w:hAnsiTheme="majorBidi" w:cstheme="majorBidi"/>
                <w:sz w:val="20"/>
                <w:szCs w:val="20"/>
              </w:rPr>
              <w:t>1.5</w:t>
            </w:r>
          </w:p>
        </w:tc>
        <w:tc>
          <w:tcPr>
            <w:tcW w:w="1276" w:type="dxa"/>
            <w:tcBorders>
              <w:left w:val="nil"/>
              <w:bottom w:val="single" w:sz="4" w:space="0" w:color="auto"/>
              <w:right w:val="single" w:sz="4" w:space="0" w:color="auto"/>
            </w:tcBorders>
            <w:shd w:val="clear" w:color="auto" w:fill="C6D9F1" w:themeFill="text2" w:themeFillTint="33"/>
            <w:vAlign w:val="bottom"/>
          </w:tcPr>
          <w:p w14:paraId="05B4E800" w14:textId="5BE9D465" w:rsidR="00130360" w:rsidRDefault="00B45809" w:rsidP="00B45809">
            <w:pPr>
              <w:bidi w:val="0"/>
              <w:jc w:val="center"/>
              <w:rPr>
                <w:rFonts w:asciiTheme="majorBidi" w:hAnsiTheme="majorBidi" w:cstheme="majorBidi"/>
                <w:sz w:val="20"/>
                <w:szCs w:val="20"/>
              </w:rPr>
            </w:pPr>
            <w:r>
              <w:rPr>
                <w:rFonts w:asciiTheme="majorBidi" w:hAnsiTheme="majorBidi" w:cstheme="majorBidi"/>
                <w:sz w:val="20"/>
                <w:szCs w:val="20"/>
              </w:rPr>
              <w:t>-</w:t>
            </w:r>
            <w:r w:rsidR="00130360">
              <w:rPr>
                <w:rFonts w:asciiTheme="majorBidi" w:hAnsiTheme="majorBidi" w:cstheme="majorBidi"/>
                <w:sz w:val="20"/>
                <w:szCs w:val="20"/>
              </w:rPr>
              <w:t>0.</w:t>
            </w:r>
            <w:r>
              <w:rPr>
                <w:rFonts w:asciiTheme="majorBidi" w:hAnsiTheme="majorBidi" w:cstheme="majorBidi"/>
                <w:sz w:val="20"/>
                <w:szCs w:val="20"/>
              </w:rPr>
              <w:t>5</w:t>
            </w:r>
          </w:p>
        </w:tc>
        <w:tc>
          <w:tcPr>
            <w:tcW w:w="992" w:type="dxa"/>
            <w:tcBorders>
              <w:left w:val="single" w:sz="4" w:space="0" w:color="auto"/>
              <w:bottom w:val="single" w:sz="4" w:space="0" w:color="auto"/>
              <w:right w:val="nil"/>
            </w:tcBorders>
            <w:shd w:val="clear" w:color="auto" w:fill="auto"/>
          </w:tcPr>
          <w:p w14:paraId="0834EC58" w14:textId="25D12154" w:rsidR="00130360" w:rsidRDefault="00B45809" w:rsidP="00B45809">
            <w:pPr>
              <w:bidi w:val="0"/>
              <w:jc w:val="center"/>
              <w:rPr>
                <w:rFonts w:asciiTheme="majorBidi" w:hAnsiTheme="majorBidi" w:cstheme="majorBidi"/>
                <w:sz w:val="20"/>
                <w:szCs w:val="20"/>
              </w:rPr>
            </w:pPr>
            <w:r>
              <w:rPr>
                <w:rFonts w:asciiTheme="majorBidi" w:hAnsiTheme="majorBidi" w:cstheme="majorBidi"/>
                <w:sz w:val="20"/>
                <w:szCs w:val="20"/>
              </w:rPr>
              <w:t>2.5</w:t>
            </w:r>
          </w:p>
        </w:tc>
        <w:tc>
          <w:tcPr>
            <w:tcW w:w="1422" w:type="dxa"/>
            <w:tcBorders>
              <w:left w:val="nil"/>
              <w:bottom w:val="single" w:sz="4" w:space="0" w:color="auto"/>
              <w:right w:val="single" w:sz="4" w:space="0" w:color="auto"/>
            </w:tcBorders>
            <w:shd w:val="clear" w:color="auto" w:fill="C6D9F1" w:themeFill="text2" w:themeFillTint="33"/>
          </w:tcPr>
          <w:p w14:paraId="715BA31D" w14:textId="62F85D18" w:rsidR="00130360" w:rsidRDefault="00B45809" w:rsidP="00B45809">
            <w:pPr>
              <w:bidi w:val="0"/>
              <w:jc w:val="center"/>
              <w:rPr>
                <w:rFonts w:asciiTheme="majorBidi" w:hAnsiTheme="majorBidi" w:cstheme="majorBidi"/>
                <w:sz w:val="20"/>
                <w:szCs w:val="20"/>
              </w:rPr>
            </w:pPr>
            <w:r>
              <w:rPr>
                <w:rFonts w:asciiTheme="majorBidi" w:hAnsiTheme="majorBidi" w:cstheme="majorBidi"/>
                <w:sz w:val="20"/>
                <w:szCs w:val="20"/>
              </w:rPr>
              <w:t>-</w:t>
            </w:r>
            <w:r w:rsidR="00130360">
              <w:rPr>
                <w:rFonts w:asciiTheme="majorBidi" w:hAnsiTheme="majorBidi" w:cstheme="majorBidi"/>
                <w:sz w:val="20"/>
                <w:szCs w:val="20"/>
              </w:rPr>
              <w:t>0.5</w:t>
            </w:r>
          </w:p>
        </w:tc>
      </w:tr>
      <w:tr w:rsidR="00130360" w:rsidRPr="007A4B17" w14:paraId="68B0F784" w14:textId="77777777" w:rsidTr="00B45809">
        <w:tc>
          <w:tcPr>
            <w:tcW w:w="4680" w:type="dxa"/>
            <w:tcBorders>
              <w:bottom w:val="nil"/>
            </w:tcBorders>
            <w:vAlign w:val="bottom"/>
          </w:tcPr>
          <w:p w14:paraId="47042C19" w14:textId="77777777" w:rsidR="00130360" w:rsidRPr="00A50C95" w:rsidRDefault="00130360" w:rsidP="00B45809">
            <w:pPr>
              <w:bidi w:val="0"/>
              <w:rPr>
                <w:sz w:val="20"/>
                <w:szCs w:val="20"/>
              </w:rPr>
            </w:pPr>
            <w:r>
              <w:rPr>
                <w:sz w:val="20"/>
                <w:szCs w:val="20"/>
              </w:rPr>
              <w:t>Civilian imports (excl. diamonds, ships, and aircraft)</w:t>
            </w:r>
          </w:p>
        </w:tc>
        <w:tc>
          <w:tcPr>
            <w:tcW w:w="1269" w:type="dxa"/>
            <w:tcBorders>
              <w:bottom w:val="single" w:sz="4" w:space="0" w:color="auto"/>
              <w:right w:val="single" w:sz="4" w:space="0" w:color="auto"/>
            </w:tcBorders>
          </w:tcPr>
          <w:p w14:paraId="061CA2A3" w14:textId="74C77A60" w:rsidR="00130360" w:rsidRPr="00A50C95" w:rsidRDefault="00B45809" w:rsidP="00B45809">
            <w:pPr>
              <w:bidi w:val="0"/>
              <w:jc w:val="center"/>
              <w:rPr>
                <w:rFonts w:asciiTheme="majorBidi" w:hAnsiTheme="majorBidi" w:cstheme="majorBidi"/>
                <w:sz w:val="20"/>
                <w:szCs w:val="20"/>
              </w:rPr>
            </w:pPr>
            <w:r>
              <w:rPr>
                <w:rFonts w:asciiTheme="majorBidi" w:hAnsiTheme="majorBidi" w:cstheme="majorBidi"/>
                <w:sz w:val="20"/>
                <w:szCs w:val="20"/>
              </w:rPr>
              <w:t>12.1</w:t>
            </w:r>
          </w:p>
        </w:tc>
        <w:tc>
          <w:tcPr>
            <w:tcW w:w="992" w:type="dxa"/>
            <w:tcBorders>
              <w:left w:val="single" w:sz="4" w:space="0" w:color="auto"/>
              <w:bottom w:val="nil"/>
              <w:right w:val="nil"/>
            </w:tcBorders>
            <w:shd w:val="clear" w:color="auto" w:fill="auto"/>
          </w:tcPr>
          <w:p w14:paraId="1397FBBE" w14:textId="0100F178" w:rsidR="00130360" w:rsidRPr="003C7BEB" w:rsidRDefault="00B45809" w:rsidP="00B45809">
            <w:pPr>
              <w:bidi w:val="0"/>
              <w:jc w:val="center"/>
              <w:rPr>
                <w:rFonts w:asciiTheme="majorBidi" w:hAnsiTheme="majorBidi" w:cstheme="majorBidi"/>
                <w:sz w:val="20"/>
                <w:szCs w:val="20"/>
              </w:rPr>
            </w:pPr>
            <w:r>
              <w:rPr>
                <w:rFonts w:asciiTheme="majorBidi" w:hAnsiTheme="majorBidi" w:cstheme="majorBidi"/>
                <w:sz w:val="20"/>
                <w:szCs w:val="20"/>
              </w:rPr>
              <w:t>1.5</w:t>
            </w:r>
          </w:p>
        </w:tc>
        <w:tc>
          <w:tcPr>
            <w:tcW w:w="1276" w:type="dxa"/>
            <w:tcBorders>
              <w:left w:val="nil"/>
              <w:bottom w:val="single" w:sz="4" w:space="0" w:color="auto"/>
              <w:right w:val="single" w:sz="4" w:space="0" w:color="auto"/>
            </w:tcBorders>
            <w:shd w:val="clear" w:color="auto" w:fill="C6D9F1" w:themeFill="text2" w:themeFillTint="33"/>
            <w:vAlign w:val="bottom"/>
          </w:tcPr>
          <w:p w14:paraId="48A16829" w14:textId="4D8BB3B4" w:rsidR="00130360" w:rsidRPr="003C7BEB" w:rsidRDefault="00130360" w:rsidP="00B45809">
            <w:pPr>
              <w:bidi w:val="0"/>
              <w:jc w:val="center"/>
              <w:rPr>
                <w:rFonts w:asciiTheme="majorBidi" w:hAnsiTheme="majorBidi" w:cstheme="majorBidi"/>
                <w:sz w:val="20"/>
                <w:szCs w:val="20"/>
              </w:rPr>
            </w:pPr>
            <w:r>
              <w:rPr>
                <w:rFonts w:asciiTheme="majorBidi" w:hAnsiTheme="majorBidi" w:cstheme="majorBidi"/>
                <w:sz w:val="20"/>
                <w:szCs w:val="20"/>
              </w:rPr>
              <w:t>-1.</w:t>
            </w:r>
            <w:r w:rsidR="00B45809">
              <w:rPr>
                <w:rFonts w:asciiTheme="majorBidi" w:hAnsiTheme="majorBidi" w:cstheme="majorBidi"/>
                <w:sz w:val="20"/>
                <w:szCs w:val="20"/>
              </w:rPr>
              <w:t>5</w:t>
            </w:r>
          </w:p>
        </w:tc>
        <w:tc>
          <w:tcPr>
            <w:tcW w:w="992" w:type="dxa"/>
            <w:tcBorders>
              <w:left w:val="single" w:sz="4" w:space="0" w:color="auto"/>
              <w:bottom w:val="nil"/>
              <w:right w:val="nil"/>
            </w:tcBorders>
            <w:shd w:val="clear" w:color="auto" w:fill="auto"/>
          </w:tcPr>
          <w:p w14:paraId="7325D950" w14:textId="75CB3E96" w:rsidR="00130360" w:rsidRPr="003C7BEB" w:rsidRDefault="00B45809" w:rsidP="00B45809">
            <w:pPr>
              <w:bidi w:val="0"/>
              <w:jc w:val="center"/>
              <w:rPr>
                <w:rFonts w:asciiTheme="majorBidi" w:hAnsiTheme="majorBidi" w:cstheme="majorBidi"/>
                <w:sz w:val="20"/>
                <w:szCs w:val="20"/>
              </w:rPr>
            </w:pPr>
            <w:r>
              <w:rPr>
                <w:rFonts w:asciiTheme="majorBidi" w:hAnsiTheme="majorBidi" w:cstheme="majorBidi"/>
                <w:sz w:val="20"/>
                <w:szCs w:val="20"/>
              </w:rPr>
              <w:t>4</w:t>
            </w:r>
            <w:r w:rsidR="00130360">
              <w:rPr>
                <w:rFonts w:asciiTheme="majorBidi" w:hAnsiTheme="majorBidi" w:cstheme="majorBidi"/>
                <w:sz w:val="20"/>
                <w:szCs w:val="20"/>
              </w:rPr>
              <w:t>.0</w:t>
            </w:r>
          </w:p>
        </w:tc>
        <w:tc>
          <w:tcPr>
            <w:tcW w:w="1422" w:type="dxa"/>
            <w:tcBorders>
              <w:left w:val="nil"/>
              <w:bottom w:val="single" w:sz="4" w:space="0" w:color="auto"/>
              <w:right w:val="single" w:sz="4" w:space="0" w:color="auto"/>
            </w:tcBorders>
            <w:shd w:val="clear" w:color="auto" w:fill="C6D9F1" w:themeFill="text2" w:themeFillTint="33"/>
          </w:tcPr>
          <w:p w14:paraId="0E0ECBE6" w14:textId="2D1BE5AA" w:rsidR="00130360" w:rsidRDefault="00B45809" w:rsidP="00B45809">
            <w:pPr>
              <w:bidi w:val="0"/>
              <w:jc w:val="center"/>
              <w:rPr>
                <w:rFonts w:asciiTheme="majorBidi" w:hAnsiTheme="majorBidi" w:cstheme="majorBidi"/>
                <w:sz w:val="20"/>
                <w:szCs w:val="20"/>
              </w:rPr>
            </w:pPr>
            <w:r>
              <w:rPr>
                <w:rFonts w:asciiTheme="majorBidi" w:hAnsiTheme="majorBidi" w:cstheme="majorBidi"/>
                <w:sz w:val="20"/>
                <w:szCs w:val="20"/>
              </w:rPr>
              <w:t>-2.</w:t>
            </w:r>
            <w:r w:rsidR="00130360">
              <w:rPr>
                <w:rFonts w:asciiTheme="majorBidi" w:hAnsiTheme="majorBidi" w:cstheme="majorBidi"/>
                <w:sz w:val="20"/>
                <w:szCs w:val="20"/>
              </w:rPr>
              <w:t>0</w:t>
            </w:r>
          </w:p>
        </w:tc>
      </w:tr>
      <w:tr w:rsidR="00130360" w:rsidRPr="007A4B17" w14:paraId="1BB72DF7" w14:textId="77777777" w:rsidTr="00B45809">
        <w:tc>
          <w:tcPr>
            <w:tcW w:w="4680" w:type="dxa"/>
            <w:tcBorders>
              <w:bottom w:val="single" w:sz="4" w:space="0" w:color="auto"/>
            </w:tcBorders>
            <w:vAlign w:val="bottom"/>
          </w:tcPr>
          <w:p w14:paraId="68146F4C" w14:textId="77777777" w:rsidR="00130360" w:rsidRPr="00404ACD" w:rsidRDefault="00130360" w:rsidP="00B45809">
            <w:pPr>
              <w:bidi w:val="0"/>
              <w:rPr>
                <w:b/>
                <w:bCs/>
                <w:sz w:val="20"/>
                <w:szCs w:val="20"/>
              </w:rPr>
            </w:pPr>
            <w:r>
              <w:rPr>
                <w:b/>
                <w:bCs/>
                <w:sz w:val="20"/>
                <w:szCs w:val="20"/>
              </w:rPr>
              <w:t xml:space="preserve">GDP deviation from the </w:t>
            </w:r>
            <w:proofErr w:type="spellStart"/>
            <w:r>
              <w:rPr>
                <w:b/>
                <w:bCs/>
                <w:sz w:val="20"/>
                <w:szCs w:val="20"/>
              </w:rPr>
              <w:t>precrisis</w:t>
            </w:r>
            <w:proofErr w:type="spellEnd"/>
            <w:r>
              <w:rPr>
                <w:b/>
                <w:bCs/>
                <w:sz w:val="20"/>
                <w:szCs w:val="20"/>
              </w:rPr>
              <w:t xml:space="preserve"> trend (percent)</w:t>
            </w:r>
          </w:p>
        </w:tc>
        <w:tc>
          <w:tcPr>
            <w:tcW w:w="1269" w:type="dxa"/>
            <w:tcBorders>
              <w:bottom w:val="single" w:sz="4" w:space="0" w:color="auto"/>
              <w:right w:val="single" w:sz="4" w:space="0" w:color="auto"/>
            </w:tcBorders>
          </w:tcPr>
          <w:p w14:paraId="72FEA979" w14:textId="77777777" w:rsidR="00130360" w:rsidRPr="00404ACD" w:rsidRDefault="00130360" w:rsidP="00B45809">
            <w:pPr>
              <w:bidi w:val="0"/>
              <w:jc w:val="center"/>
              <w:rPr>
                <w:rFonts w:asciiTheme="majorBidi" w:hAnsiTheme="majorBidi" w:cstheme="majorBidi"/>
                <w:b/>
                <w:bCs/>
                <w:sz w:val="20"/>
                <w:szCs w:val="20"/>
              </w:rPr>
            </w:pPr>
            <w:r>
              <w:rPr>
                <w:rFonts w:asciiTheme="majorBidi" w:hAnsiTheme="majorBidi" w:cstheme="majorBidi"/>
                <w:b/>
                <w:bCs/>
                <w:sz w:val="20"/>
                <w:szCs w:val="20"/>
              </w:rPr>
              <w:t>0.9</w:t>
            </w:r>
          </w:p>
        </w:tc>
        <w:tc>
          <w:tcPr>
            <w:tcW w:w="992" w:type="dxa"/>
            <w:tcBorders>
              <w:left w:val="single" w:sz="4" w:space="0" w:color="auto"/>
              <w:bottom w:val="single" w:sz="4" w:space="0" w:color="auto"/>
              <w:right w:val="nil"/>
            </w:tcBorders>
            <w:shd w:val="clear" w:color="auto" w:fill="auto"/>
          </w:tcPr>
          <w:p w14:paraId="2EB87241" w14:textId="1D3ACC9F" w:rsidR="00130360" w:rsidRPr="00404ACD" w:rsidRDefault="00B45809" w:rsidP="00B45809">
            <w:pPr>
              <w:bidi w:val="0"/>
              <w:jc w:val="center"/>
              <w:rPr>
                <w:rFonts w:asciiTheme="majorBidi" w:hAnsiTheme="majorBidi" w:cstheme="majorBidi"/>
                <w:b/>
                <w:bCs/>
                <w:sz w:val="20"/>
                <w:szCs w:val="20"/>
              </w:rPr>
            </w:pPr>
            <w:r>
              <w:rPr>
                <w:rFonts w:asciiTheme="majorBidi" w:hAnsiTheme="majorBidi" w:cstheme="majorBidi"/>
                <w:b/>
                <w:bCs/>
                <w:sz w:val="20"/>
                <w:szCs w:val="20"/>
              </w:rPr>
              <w:t>-0.1</w:t>
            </w:r>
          </w:p>
        </w:tc>
        <w:tc>
          <w:tcPr>
            <w:tcW w:w="1276" w:type="dxa"/>
            <w:tcBorders>
              <w:left w:val="nil"/>
              <w:bottom w:val="single" w:sz="4" w:space="0" w:color="auto"/>
              <w:right w:val="single" w:sz="4" w:space="0" w:color="auto"/>
            </w:tcBorders>
            <w:shd w:val="clear" w:color="auto" w:fill="C6D9F1" w:themeFill="text2" w:themeFillTint="33"/>
            <w:vAlign w:val="bottom"/>
          </w:tcPr>
          <w:p w14:paraId="750405A5" w14:textId="72F4A64A" w:rsidR="00130360" w:rsidRPr="00404ACD" w:rsidRDefault="00130360" w:rsidP="00B45809">
            <w:pPr>
              <w:bidi w:val="0"/>
              <w:jc w:val="center"/>
              <w:rPr>
                <w:rFonts w:asciiTheme="majorBidi" w:hAnsiTheme="majorBidi" w:cstheme="majorBidi"/>
                <w:b/>
                <w:bCs/>
                <w:sz w:val="20"/>
                <w:szCs w:val="20"/>
              </w:rPr>
            </w:pPr>
            <w:r>
              <w:rPr>
                <w:rFonts w:asciiTheme="majorBidi" w:hAnsiTheme="majorBidi" w:cstheme="majorBidi"/>
                <w:b/>
                <w:bCs/>
                <w:sz w:val="20"/>
                <w:szCs w:val="20"/>
              </w:rPr>
              <w:t>0.</w:t>
            </w:r>
            <w:r w:rsidR="00B45809">
              <w:rPr>
                <w:rFonts w:asciiTheme="majorBidi" w:hAnsiTheme="majorBidi" w:cstheme="majorBidi"/>
                <w:b/>
                <w:bCs/>
                <w:sz w:val="20"/>
                <w:szCs w:val="20"/>
              </w:rPr>
              <w:t>4</w:t>
            </w:r>
          </w:p>
        </w:tc>
        <w:tc>
          <w:tcPr>
            <w:tcW w:w="992" w:type="dxa"/>
            <w:tcBorders>
              <w:left w:val="single" w:sz="4" w:space="0" w:color="auto"/>
              <w:bottom w:val="single" w:sz="4" w:space="0" w:color="auto"/>
              <w:right w:val="nil"/>
            </w:tcBorders>
            <w:shd w:val="clear" w:color="auto" w:fill="auto"/>
          </w:tcPr>
          <w:p w14:paraId="36598992" w14:textId="3FB3DC30" w:rsidR="00130360" w:rsidRPr="00404ACD" w:rsidRDefault="00130360" w:rsidP="00B45809">
            <w:pPr>
              <w:bidi w:val="0"/>
              <w:jc w:val="center"/>
              <w:rPr>
                <w:rFonts w:asciiTheme="majorBidi" w:hAnsiTheme="majorBidi" w:cstheme="majorBidi"/>
                <w:b/>
                <w:bCs/>
                <w:sz w:val="20"/>
                <w:szCs w:val="20"/>
              </w:rPr>
            </w:pPr>
            <w:r>
              <w:rPr>
                <w:rFonts w:asciiTheme="majorBidi" w:hAnsiTheme="majorBidi" w:cstheme="majorBidi"/>
                <w:b/>
                <w:bCs/>
                <w:sz w:val="20"/>
                <w:szCs w:val="20"/>
              </w:rPr>
              <w:t>-1.</w:t>
            </w:r>
            <w:r w:rsidR="00B45809">
              <w:rPr>
                <w:rFonts w:asciiTheme="majorBidi" w:hAnsiTheme="majorBidi" w:cstheme="majorBidi"/>
                <w:b/>
                <w:bCs/>
                <w:sz w:val="20"/>
                <w:szCs w:val="20"/>
              </w:rPr>
              <w:t>1</w:t>
            </w:r>
          </w:p>
        </w:tc>
        <w:tc>
          <w:tcPr>
            <w:tcW w:w="1422" w:type="dxa"/>
            <w:tcBorders>
              <w:left w:val="nil"/>
              <w:bottom w:val="single" w:sz="4" w:space="0" w:color="auto"/>
              <w:right w:val="single" w:sz="4" w:space="0" w:color="auto"/>
            </w:tcBorders>
            <w:shd w:val="clear" w:color="auto" w:fill="C6D9F1" w:themeFill="text2" w:themeFillTint="33"/>
          </w:tcPr>
          <w:p w14:paraId="23FF7EFB" w14:textId="77777777" w:rsidR="00130360" w:rsidRPr="002C2B40" w:rsidRDefault="00130360" w:rsidP="00B45809">
            <w:pPr>
              <w:bidi w:val="0"/>
              <w:jc w:val="center"/>
              <w:rPr>
                <w:rFonts w:asciiTheme="majorBidi" w:hAnsiTheme="majorBidi" w:cstheme="majorBidi"/>
                <w:b/>
                <w:bCs/>
                <w:color w:val="FF0000"/>
                <w:sz w:val="20"/>
                <w:szCs w:val="20"/>
              </w:rPr>
            </w:pPr>
            <w:r w:rsidRPr="00472053">
              <w:rPr>
                <w:rFonts w:asciiTheme="majorBidi" w:hAnsiTheme="majorBidi" w:cstheme="majorBidi"/>
                <w:b/>
                <w:bCs/>
                <w:sz w:val="20"/>
                <w:szCs w:val="20"/>
              </w:rPr>
              <w:t>-0.1</w:t>
            </w:r>
          </w:p>
        </w:tc>
      </w:tr>
      <w:tr w:rsidR="00130360" w:rsidRPr="007A4B17" w14:paraId="38D0534D" w14:textId="77777777" w:rsidTr="00B45809">
        <w:tc>
          <w:tcPr>
            <w:tcW w:w="4680" w:type="dxa"/>
            <w:tcBorders>
              <w:bottom w:val="single" w:sz="4" w:space="0" w:color="auto"/>
            </w:tcBorders>
            <w:vAlign w:val="bottom"/>
          </w:tcPr>
          <w:p w14:paraId="5D6B1AD8" w14:textId="77777777" w:rsidR="00130360" w:rsidRPr="00A50C95" w:rsidRDefault="00130360" w:rsidP="00B45809">
            <w:pPr>
              <w:bidi w:val="0"/>
              <w:rPr>
                <w:sz w:val="20"/>
                <w:szCs w:val="20"/>
              </w:rPr>
            </w:pPr>
            <w:r>
              <w:rPr>
                <w:sz w:val="20"/>
                <w:szCs w:val="20"/>
              </w:rPr>
              <w:t>Unemployment</w:t>
            </w:r>
            <w:r w:rsidRPr="00A50C95">
              <w:rPr>
                <w:sz w:val="20"/>
                <w:szCs w:val="20"/>
              </w:rPr>
              <w:t xml:space="preserve"> rat</w:t>
            </w:r>
            <w:r>
              <w:rPr>
                <w:sz w:val="20"/>
                <w:szCs w:val="20"/>
              </w:rPr>
              <w:t>e (average for the year, age 25–64)</w:t>
            </w:r>
          </w:p>
        </w:tc>
        <w:tc>
          <w:tcPr>
            <w:tcW w:w="1269" w:type="dxa"/>
            <w:tcBorders>
              <w:bottom w:val="single" w:sz="4" w:space="0" w:color="auto"/>
              <w:right w:val="single" w:sz="4" w:space="0" w:color="auto"/>
            </w:tcBorders>
          </w:tcPr>
          <w:p w14:paraId="70F1C08F" w14:textId="77777777" w:rsidR="00130360" w:rsidRPr="00A50C95" w:rsidRDefault="00130360" w:rsidP="00B45809">
            <w:pPr>
              <w:bidi w:val="0"/>
              <w:jc w:val="center"/>
              <w:rPr>
                <w:rFonts w:asciiTheme="majorBidi" w:hAnsiTheme="majorBidi" w:cstheme="majorBidi"/>
                <w:sz w:val="20"/>
                <w:szCs w:val="20"/>
              </w:rPr>
            </w:pPr>
            <w:r>
              <w:rPr>
                <w:rFonts w:asciiTheme="majorBidi" w:hAnsiTheme="majorBidi" w:cstheme="majorBidi"/>
                <w:sz w:val="20"/>
                <w:szCs w:val="20"/>
              </w:rPr>
              <w:t>3.3</w:t>
            </w:r>
          </w:p>
        </w:tc>
        <w:tc>
          <w:tcPr>
            <w:tcW w:w="992" w:type="dxa"/>
            <w:tcBorders>
              <w:left w:val="single" w:sz="4" w:space="0" w:color="auto"/>
              <w:bottom w:val="single" w:sz="4" w:space="0" w:color="auto"/>
              <w:right w:val="nil"/>
            </w:tcBorders>
            <w:shd w:val="clear" w:color="auto" w:fill="auto"/>
          </w:tcPr>
          <w:p w14:paraId="057523F7" w14:textId="466E3B57" w:rsidR="00130360" w:rsidRPr="003C7BEB" w:rsidRDefault="00B45809" w:rsidP="00B45809">
            <w:pPr>
              <w:bidi w:val="0"/>
              <w:jc w:val="center"/>
              <w:rPr>
                <w:rFonts w:asciiTheme="majorBidi" w:hAnsiTheme="majorBidi" w:cstheme="majorBidi"/>
                <w:sz w:val="20"/>
                <w:szCs w:val="20"/>
              </w:rPr>
            </w:pPr>
            <w:r>
              <w:rPr>
                <w:rFonts w:asciiTheme="majorBidi" w:hAnsiTheme="majorBidi" w:cstheme="majorBidi"/>
                <w:sz w:val="20"/>
                <w:szCs w:val="20"/>
              </w:rPr>
              <w:t>3.7</w:t>
            </w:r>
          </w:p>
        </w:tc>
        <w:tc>
          <w:tcPr>
            <w:tcW w:w="1276" w:type="dxa"/>
            <w:tcBorders>
              <w:left w:val="nil"/>
              <w:bottom w:val="single" w:sz="4" w:space="0" w:color="auto"/>
              <w:right w:val="single" w:sz="4" w:space="0" w:color="auto"/>
            </w:tcBorders>
            <w:shd w:val="clear" w:color="auto" w:fill="C6D9F1" w:themeFill="text2" w:themeFillTint="33"/>
            <w:vAlign w:val="bottom"/>
          </w:tcPr>
          <w:p w14:paraId="79F17180" w14:textId="5C2A7372" w:rsidR="00130360" w:rsidRPr="003C7BEB" w:rsidRDefault="00B45809" w:rsidP="000C0CAD">
            <w:pPr>
              <w:bidi w:val="0"/>
              <w:jc w:val="center"/>
              <w:rPr>
                <w:rFonts w:asciiTheme="majorBidi" w:hAnsiTheme="majorBidi" w:cstheme="majorBidi"/>
                <w:sz w:val="20"/>
                <w:szCs w:val="20"/>
              </w:rPr>
            </w:pPr>
            <w:r>
              <w:rPr>
                <w:rFonts w:asciiTheme="majorBidi" w:hAnsiTheme="majorBidi" w:cstheme="majorBidi"/>
                <w:sz w:val="20"/>
                <w:szCs w:val="20"/>
              </w:rPr>
              <w:t>-</w:t>
            </w:r>
            <w:r w:rsidR="00130360">
              <w:rPr>
                <w:rFonts w:asciiTheme="majorBidi" w:hAnsiTheme="majorBidi" w:cstheme="majorBidi"/>
                <w:sz w:val="20"/>
                <w:szCs w:val="20"/>
              </w:rPr>
              <w:t>0.</w:t>
            </w:r>
            <w:r w:rsidR="000C0CAD">
              <w:rPr>
                <w:rFonts w:asciiTheme="majorBidi" w:hAnsiTheme="majorBidi" w:cstheme="majorBidi"/>
                <w:sz w:val="20"/>
                <w:szCs w:val="20"/>
              </w:rPr>
              <w:t>4</w:t>
            </w:r>
          </w:p>
        </w:tc>
        <w:tc>
          <w:tcPr>
            <w:tcW w:w="992" w:type="dxa"/>
            <w:tcBorders>
              <w:left w:val="single" w:sz="4" w:space="0" w:color="auto"/>
              <w:bottom w:val="single" w:sz="4" w:space="0" w:color="auto"/>
              <w:right w:val="nil"/>
            </w:tcBorders>
            <w:shd w:val="clear" w:color="auto" w:fill="auto"/>
          </w:tcPr>
          <w:p w14:paraId="3E9C333C" w14:textId="533E045C" w:rsidR="00130360" w:rsidRPr="003C7BEB" w:rsidRDefault="00130360" w:rsidP="00B45809">
            <w:pPr>
              <w:bidi w:val="0"/>
              <w:jc w:val="center"/>
              <w:rPr>
                <w:rFonts w:asciiTheme="majorBidi" w:hAnsiTheme="majorBidi" w:cstheme="majorBidi"/>
                <w:sz w:val="20"/>
                <w:szCs w:val="20"/>
              </w:rPr>
            </w:pPr>
            <w:r>
              <w:rPr>
                <w:rFonts w:asciiTheme="majorBidi" w:hAnsiTheme="majorBidi" w:cstheme="majorBidi"/>
                <w:sz w:val="20"/>
                <w:szCs w:val="20"/>
              </w:rPr>
              <w:t>4.</w:t>
            </w:r>
            <w:r w:rsidR="00B45809">
              <w:rPr>
                <w:rFonts w:asciiTheme="majorBidi" w:hAnsiTheme="majorBidi" w:cstheme="majorBidi"/>
                <w:sz w:val="20"/>
                <w:szCs w:val="20"/>
              </w:rPr>
              <w:t>1</w:t>
            </w:r>
          </w:p>
        </w:tc>
        <w:tc>
          <w:tcPr>
            <w:tcW w:w="1422" w:type="dxa"/>
            <w:tcBorders>
              <w:left w:val="nil"/>
              <w:bottom w:val="single" w:sz="4" w:space="0" w:color="auto"/>
              <w:right w:val="single" w:sz="4" w:space="0" w:color="auto"/>
            </w:tcBorders>
            <w:shd w:val="clear" w:color="auto" w:fill="C6D9F1" w:themeFill="text2" w:themeFillTint="33"/>
          </w:tcPr>
          <w:p w14:paraId="096668D4" w14:textId="09D488EB" w:rsidR="00130360" w:rsidRDefault="00130360" w:rsidP="00B45809">
            <w:pPr>
              <w:bidi w:val="0"/>
              <w:jc w:val="center"/>
              <w:rPr>
                <w:rFonts w:asciiTheme="majorBidi" w:hAnsiTheme="majorBidi" w:cstheme="majorBidi"/>
                <w:sz w:val="20"/>
                <w:szCs w:val="20"/>
              </w:rPr>
            </w:pPr>
            <w:r>
              <w:rPr>
                <w:rFonts w:asciiTheme="majorBidi" w:hAnsiTheme="majorBidi" w:cstheme="majorBidi"/>
                <w:sz w:val="20"/>
                <w:szCs w:val="20"/>
              </w:rPr>
              <w:t>0.</w:t>
            </w:r>
            <w:r w:rsidR="00B45809">
              <w:rPr>
                <w:rFonts w:asciiTheme="majorBidi" w:hAnsiTheme="majorBidi" w:cstheme="majorBidi"/>
                <w:sz w:val="20"/>
                <w:szCs w:val="20"/>
              </w:rPr>
              <w:t>1</w:t>
            </w:r>
          </w:p>
        </w:tc>
      </w:tr>
      <w:tr w:rsidR="00130360" w:rsidRPr="007A4B17" w14:paraId="28D7B939" w14:textId="77777777" w:rsidTr="00B45809">
        <w:tc>
          <w:tcPr>
            <w:tcW w:w="4680" w:type="dxa"/>
            <w:tcBorders>
              <w:top w:val="single" w:sz="4" w:space="0" w:color="auto"/>
              <w:bottom w:val="single" w:sz="4" w:space="0" w:color="auto"/>
            </w:tcBorders>
            <w:vAlign w:val="bottom"/>
          </w:tcPr>
          <w:p w14:paraId="2B1872FC" w14:textId="77777777" w:rsidR="00130360" w:rsidRPr="00DC3F7B" w:rsidRDefault="00130360" w:rsidP="00B45809">
            <w:pPr>
              <w:bidi w:val="0"/>
              <w:rPr>
                <w:b/>
                <w:bCs/>
                <w:sz w:val="20"/>
                <w:szCs w:val="20"/>
              </w:rPr>
            </w:pPr>
            <w:r>
              <w:rPr>
                <w:sz w:val="20"/>
                <w:szCs w:val="20"/>
              </w:rPr>
              <w:t>Employment rate (average for the year, ages 25–64)</w:t>
            </w:r>
          </w:p>
        </w:tc>
        <w:tc>
          <w:tcPr>
            <w:tcW w:w="1269" w:type="dxa"/>
            <w:tcBorders>
              <w:top w:val="single" w:sz="4" w:space="0" w:color="auto"/>
              <w:bottom w:val="single" w:sz="4" w:space="0" w:color="auto"/>
              <w:right w:val="single" w:sz="4" w:space="0" w:color="auto"/>
            </w:tcBorders>
          </w:tcPr>
          <w:p w14:paraId="6400085C" w14:textId="77777777" w:rsidR="00130360" w:rsidRPr="00404ACD" w:rsidRDefault="00130360" w:rsidP="00B45809">
            <w:pPr>
              <w:bidi w:val="0"/>
              <w:jc w:val="center"/>
              <w:rPr>
                <w:rFonts w:asciiTheme="majorBidi" w:hAnsiTheme="majorBidi" w:cstheme="majorBidi"/>
                <w:b/>
                <w:bCs/>
                <w:sz w:val="20"/>
                <w:szCs w:val="20"/>
              </w:rPr>
            </w:pPr>
            <w:r>
              <w:rPr>
                <w:rFonts w:asciiTheme="majorBidi" w:hAnsiTheme="majorBidi" w:cstheme="majorBidi"/>
                <w:b/>
                <w:bCs/>
                <w:sz w:val="20"/>
                <w:szCs w:val="20"/>
              </w:rPr>
              <w:t>78.6</w:t>
            </w:r>
          </w:p>
        </w:tc>
        <w:tc>
          <w:tcPr>
            <w:tcW w:w="992" w:type="dxa"/>
            <w:tcBorders>
              <w:top w:val="single" w:sz="4" w:space="0" w:color="auto"/>
              <w:left w:val="single" w:sz="4" w:space="0" w:color="auto"/>
              <w:bottom w:val="single" w:sz="4" w:space="0" w:color="auto"/>
              <w:right w:val="nil"/>
            </w:tcBorders>
            <w:shd w:val="clear" w:color="auto" w:fill="auto"/>
          </w:tcPr>
          <w:p w14:paraId="704D90F4" w14:textId="7078F49D" w:rsidR="00130360" w:rsidRPr="00404ACD" w:rsidRDefault="00B45809" w:rsidP="00B45809">
            <w:pPr>
              <w:bidi w:val="0"/>
              <w:jc w:val="center"/>
              <w:rPr>
                <w:rFonts w:asciiTheme="majorBidi" w:hAnsiTheme="majorBidi" w:cstheme="majorBidi"/>
                <w:b/>
                <w:bCs/>
                <w:sz w:val="20"/>
                <w:szCs w:val="20"/>
              </w:rPr>
            </w:pPr>
            <w:r>
              <w:rPr>
                <w:rFonts w:asciiTheme="majorBidi" w:hAnsiTheme="majorBidi" w:cstheme="majorBidi"/>
                <w:b/>
                <w:bCs/>
                <w:sz w:val="20"/>
                <w:szCs w:val="20"/>
              </w:rPr>
              <w:t>77.9</w:t>
            </w:r>
          </w:p>
        </w:tc>
        <w:tc>
          <w:tcPr>
            <w:tcW w:w="1276" w:type="dxa"/>
            <w:tcBorders>
              <w:top w:val="single" w:sz="4" w:space="0" w:color="auto"/>
              <w:left w:val="nil"/>
              <w:bottom w:val="single" w:sz="4" w:space="0" w:color="auto"/>
              <w:right w:val="single" w:sz="4" w:space="0" w:color="auto"/>
            </w:tcBorders>
            <w:shd w:val="clear" w:color="auto" w:fill="C6D9F1" w:themeFill="text2" w:themeFillTint="33"/>
            <w:vAlign w:val="bottom"/>
          </w:tcPr>
          <w:p w14:paraId="6ABED12E" w14:textId="6752914B" w:rsidR="00130360" w:rsidRPr="00404ACD" w:rsidRDefault="00130360" w:rsidP="000C0CAD">
            <w:pPr>
              <w:bidi w:val="0"/>
              <w:jc w:val="center"/>
              <w:rPr>
                <w:rFonts w:asciiTheme="majorBidi" w:hAnsiTheme="majorBidi" w:cstheme="majorBidi"/>
                <w:b/>
                <w:bCs/>
                <w:sz w:val="20"/>
                <w:szCs w:val="20"/>
              </w:rPr>
            </w:pPr>
            <w:r>
              <w:rPr>
                <w:rFonts w:asciiTheme="majorBidi" w:hAnsiTheme="majorBidi" w:cstheme="majorBidi"/>
                <w:b/>
                <w:bCs/>
                <w:sz w:val="20"/>
                <w:szCs w:val="20"/>
              </w:rPr>
              <w:t>0.</w:t>
            </w:r>
            <w:r w:rsidR="000C0CAD">
              <w:rPr>
                <w:rFonts w:asciiTheme="majorBidi" w:hAnsiTheme="majorBidi" w:cstheme="majorBidi"/>
                <w:b/>
                <w:bCs/>
                <w:sz w:val="20"/>
                <w:szCs w:val="20"/>
              </w:rPr>
              <w:t>4</w:t>
            </w:r>
          </w:p>
        </w:tc>
        <w:tc>
          <w:tcPr>
            <w:tcW w:w="992" w:type="dxa"/>
            <w:tcBorders>
              <w:top w:val="single" w:sz="4" w:space="0" w:color="auto"/>
              <w:left w:val="single" w:sz="4" w:space="0" w:color="auto"/>
              <w:bottom w:val="single" w:sz="4" w:space="0" w:color="auto"/>
              <w:right w:val="nil"/>
            </w:tcBorders>
            <w:shd w:val="clear" w:color="auto" w:fill="auto"/>
          </w:tcPr>
          <w:p w14:paraId="356BCB52" w14:textId="44560F49" w:rsidR="00130360" w:rsidRPr="00404ACD" w:rsidRDefault="00130360" w:rsidP="00B45809">
            <w:pPr>
              <w:bidi w:val="0"/>
              <w:jc w:val="center"/>
              <w:rPr>
                <w:rFonts w:asciiTheme="majorBidi" w:hAnsiTheme="majorBidi" w:cstheme="majorBidi"/>
                <w:b/>
                <w:bCs/>
                <w:sz w:val="20"/>
                <w:szCs w:val="20"/>
              </w:rPr>
            </w:pPr>
            <w:r>
              <w:rPr>
                <w:rFonts w:asciiTheme="majorBidi" w:hAnsiTheme="majorBidi" w:cstheme="majorBidi"/>
                <w:b/>
                <w:bCs/>
                <w:sz w:val="20"/>
                <w:szCs w:val="20"/>
              </w:rPr>
              <w:t>77.</w:t>
            </w:r>
            <w:r w:rsidR="00B45809">
              <w:rPr>
                <w:rFonts w:asciiTheme="majorBidi" w:hAnsiTheme="majorBidi" w:cstheme="majorBidi"/>
                <w:b/>
                <w:bCs/>
                <w:sz w:val="20"/>
                <w:szCs w:val="20"/>
              </w:rPr>
              <w:t>2</w:t>
            </w:r>
          </w:p>
        </w:tc>
        <w:tc>
          <w:tcPr>
            <w:tcW w:w="1422" w:type="dxa"/>
            <w:tcBorders>
              <w:top w:val="single" w:sz="4" w:space="0" w:color="auto"/>
              <w:left w:val="nil"/>
              <w:bottom w:val="single" w:sz="4" w:space="0" w:color="auto"/>
              <w:right w:val="single" w:sz="4" w:space="0" w:color="auto"/>
            </w:tcBorders>
            <w:shd w:val="clear" w:color="auto" w:fill="C6D9F1" w:themeFill="text2" w:themeFillTint="33"/>
          </w:tcPr>
          <w:p w14:paraId="0363DB10" w14:textId="48D2F129" w:rsidR="00130360" w:rsidRDefault="00B45809" w:rsidP="00B45809">
            <w:pPr>
              <w:bidi w:val="0"/>
              <w:jc w:val="center"/>
              <w:rPr>
                <w:rFonts w:asciiTheme="majorBidi" w:hAnsiTheme="majorBidi" w:cstheme="majorBidi"/>
                <w:b/>
                <w:bCs/>
                <w:sz w:val="20"/>
                <w:szCs w:val="20"/>
              </w:rPr>
            </w:pPr>
            <w:r>
              <w:rPr>
                <w:rFonts w:asciiTheme="majorBidi" w:hAnsiTheme="majorBidi" w:cstheme="majorBidi"/>
                <w:b/>
                <w:bCs/>
                <w:sz w:val="20"/>
                <w:szCs w:val="20"/>
              </w:rPr>
              <w:t>-</w:t>
            </w:r>
            <w:r w:rsidR="00130360">
              <w:rPr>
                <w:rFonts w:asciiTheme="majorBidi" w:hAnsiTheme="majorBidi" w:cstheme="majorBidi" w:hint="cs"/>
                <w:b/>
                <w:bCs/>
                <w:sz w:val="20"/>
                <w:szCs w:val="20"/>
                <w:rtl/>
              </w:rPr>
              <w:t>0</w:t>
            </w:r>
            <w:r>
              <w:rPr>
                <w:rFonts w:asciiTheme="majorBidi" w:hAnsiTheme="majorBidi" w:cstheme="majorBidi"/>
                <w:b/>
                <w:bCs/>
                <w:sz w:val="20"/>
                <w:szCs w:val="20"/>
              </w:rPr>
              <w:t>.2</w:t>
            </w:r>
          </w:p>
        </w:tc>
      </w:tr>
      <w:tr w:rsidR="00130360" w:rsidRPr="007A4B17" w14:paraId="0D53A1AC" w14:textId="77777777" w:rsidTr="00B45809">
        <w:tc>
          <w:tcPr>
            <w:tcW w:w="4680" w:type="dxa"/>
            <w:tcBorders>
              <w:top w:val="single" w:sz="4" w:space="0" w:color="auto"/>
              <w:bottom w:val="single" w:sz="4" w:space="0" w:color="auto"/>
            </w:tcBorders>
            <w:vAlign w:val="bottom"/>
          </w:tcPr>
          <w:p w14:paraId="76E99353" w14:textId="77777777" w:rsidR="00130360" w:rsidRPr="00A50C95" w:rsidRDefault="00130360" w:rsidP="00B45809">
            <w:pPr>
              <w:bidi w:val="0"/>
              <w:rPr>
                <w:sz w:val="20"/>
                <w:szCs w:val="20"/>
              </w:rPr>
            </w:pPr>
            <w:r>
              <w:rPr>
                <w:sz w:val="20"/>
                <w:szCs w:val="20"/>
              </w:rPr>
              <w:t>Government deficit (percent of GDP)</w:t>
            </w:r>
          </w:p>
        </w:tc>
        <w:tc>
          <w:tcPr>
            <w:tcW w:w="1269" w:type="dxa"/>
            <w:tcBorders>
              <w:top w:val="single" w:sz="4" w:space="0" w:color="auto"/>
              <w:bottom w:val="single" w:sz="4" w:space="0" w:color="auto"/>
              <w:right w:val="single" w:sz="4" w:space="0" w:color="auto"/>
            </w:tcBorders>
          </w:tcPr>
          <w:p w14:paraId="79C5CC43" w14:textId="77777777" w:rsidR="00130360" w:rsidRDefault="00130360" w:rsidP="00B45809">
            <w:pPr>
              <w:bidi w:val="0"/>
              <w:jc w:val="center"/>
              <w:rPr>
                <w:rFonts w:asciiTheme="majorBidi" w:hAnsiTheme="majorBidi" w:cstheme="majorBidi"/>
                <w:sz w:val="20"/>
                <w:szCs w:val="20"/>
              </w:rPr>
            </w:pPr>
            <w:r>
              <w:rPr>
                <w:rFonts w:asciiTheme="majorBidi" w:hAnsiTheme="majorBidi" w:cstheme="majorBidi"/>
                <w:sz w:val="20"/>
                <w:szCs w:val="20"/>
              </w:rPr>
              <w:t>-0.6</w:t>
            </w:r>
          </w:p>
        </w:tc>
        <w:tc>
          <w:tcPr>
            <w:tcW w:w="992" w:type="dxa"/>
            <w:tcBorders>
              <w:top w:val="single" w:sz="4" w:space="0" w:color="auto"/>
              <w:left w:val="single" w:sz="4" w:space="0" w:color="auto"/>
              <w:bottom w:val="single" w:sz="4" w:space="0" w:color="auto"/>
              <w:right w:val="nil"/>
            </w:tcBorders>
            <w:shd w:val="clear" w:color="auto" w:fill="auto"/>
          </w:tcPr>
          <w:p w14:paraId="343A22F2" w14:textId="2C9B3A17" w:rsidR="00130360" w:rsidRDefault="00B45809" w:rsidP="00B45809">
            <w:pPr>
              <w:bidi w:val="0"/>
              <w:jc w:val="center"/>
              <w:rPr>
                <w:rFonts w:asciiTheme="majorBidi" w:hAnsiTheme="majorBidi" w:cstheme="majorBidi"/>
                <w:sz w:val="20"/>
                <w:szCs w:val="20"/>
              </w:rPr>
            </w:pPr>
            <w:r>
              <w:rPr>
                <w:rFonts w:asciiTheme="majorBidi" w:hAnsiTheme="majorBidi" w:cstheme="majorBidi"/>
                <w:sz w:val="20"/>
                <w:szCs w:val="20"/>
              </w:rPr>
              <w:t>1.3</w:t>
            </w:r>
          </w:p>
        </w:tc>
        <w:tc>
          <w:tcPr>
            <w:tcW w:w="1276" w:type="dxa"/>
            <w:tcBorders>
              <w:top w:val="single" w:sz="4" w:space="0" w:color="auto"/>
              <w:left w:val="nil"/>
              <w:bottom w:val="single" w:sz="4" w:space="0" w:color="auto"/>
              <w:right w:val="single" w:sz="4" w:space="0" w:color="auto"/>
            </w:tcBorders>
            <w:shd w:val="clear" w:color="auto" w:fill="C6D9F1" w:themeFill="text2" w:themeFillTint="33"/>
            <w:vAlign w:val="bottom"/>
          </w:tcPr>
          <w:p w14:paraId="355B7A74" w14:textId="10BB46E3" w:rsidR="00130360" w:rsidRDefault="00130360" w:rsidP="00B45809">
            <w:pPr>
              <w:bidi w:val="0"/>
              <w:jc w:val="center"/>
              <w:rPr>
                <w:rFonts w:asciiTheme="majorBidi" w:hAnsiTheme="majorBidi" w:cstheme="majorBidi"/>
                <w:sz w:val="20"/>
                <w:szCs w:val="20"/>
              </w:rPr>
            </w:pPr>
            <w:r>
              <w:rPr>
                <w:rFonts w:asciiTheme="majorBidi" w:hAnsiTheme="majorBidi" w:cstheme="majorBidi"/>
                <w:sz w:val="20"/>
                <w:szCs w:val="20"/>
              </w:rPr>
              <w:t>0.</w:t>
            </w:r>
            <w:r w:rsidR="00B45809">
              <w:rPr>
                <w:rFonts w:asciiTheme="majorBidi" w:hAnsiTheme="majorBidi" w:cstheme="majorBidi"/>
                <w:sz w:val="20"/>
                <w:szCs w:val="20"/>
              </w:rPr>
              <w:t>4</w:t>
            </w:r>
          </w:p>
        </w:tc>
        <w:tc>
          <w:tcPr>
            <w:tcW w:w="992" w:type="dxa"/>
            <w:tcBorders>
              <w:top w:val="single" w:sz="4" w:space="0" w:color="auto"/>
              <w:left w:val="single" w:sz="4" w:space="0" w:color="auto"/>
              <w:bottom w:val="single" w:sz="4" w:space="0" w:color="auto"/>
              <w:right w:val="nil"/>
            </w:tcBorders>
            <w:shd w:val="clear" w:color="auto" w:fill="auto"/>
          </w:tcPr>
          <w:p w14:paraId="11757422" w14:textId="43E9985E" w:rsidR="00130360" w:rsidRDefault="00B45809" w:rsidP="00B45809">
            <w:pPr>
              <w:bidi w:val="0"/>
              <w:jc w:val="center"/>
              <w:rPr>
                <w:rFonts w:asciiTheme="majorBidi" w:hAnsiTheme="majorBidi" w:cstheme="majorBidi"/>
                <w:sz w:val="20"/>
                <w:szCs w:val="20"/>
              </w:rPr>
            </w:pPr>
            <w:r>
              <w:rPr>
                <w:rFonts w:asciiTheme="majorBidi" w:hAnsiTheme="majorBidi" w:cstheme="majorBidi"/>
                <w:sz w:val="20"/>
                <w:szCs w:val="20"/>
              </w:rPr>
              <w:t>1.5</w:t>
            </w:r>
          </w:p>
        </w:tc>
        <w:tc>
          <w:tcPr>
            <w:tcW w:w="1422" w:type="dxa"/>
            <w:tcBorders>
              <w:top w:val="single" w:sz="4" w:space="0" w:color="auto"/>
              <w:left w:val="nil"/>
              <w:bottom w:val="single" w:sz="4" w:space="0" w:color="auto"/>
              <w:right w:val="single" w:sz="4" w:space="0" w:color="auto"/>
            </w:tcBorders>
            <w:shd w:val="clear" w:color="auto" w:fill="C6D9F1" w:themeFill="text2" w:themeFillTint="33"/>
          </w:tcPr>
          <w:p w14:paraId="61F4F479" w14:textId="524341D8" w:rsidR="00130360" w:rsidRDefault="00B45809" w:rsidP="00B45809">
            <w:pPr>
              <w:bidi w:val="0"/>
              <w:jc w:val="center"/>
              <w:rPr>
                <w:rFonts w:asciiTheme="majorBidi" w:hAnsiTheme="majorBidi" w:cstheme="majorBidi"/>
                <w:sz w:val="20"/>
                <w:szCs w:val="20"/>
              </w:rPr>
            </w:pPr>
            <w:r>
              <w:rPr>
                <w:rFonts w:asciiTheme="majorBidi" w:hAnsiTheme="majorBidi" w:cstheme="majorBidi"/>
                <w:sz w:val="20"/>
                <w:szCs w:val="20"/>
              </w:rPr>
              <w:t>0.6</w:t>
            </w:r>
          </w:p>
        </w:tc>
      </w:tr>
      <w:tr w:rsidR="00130360" w:rsidRPr="007A4B17" w14:paraId="26A42038" w14:textId="77777777" w:rsidTr="00B45809">
        <w:tc>
          <w:tcPr>
            <w:tcW w:w="4680" w:type="dxa"/>
            <w:tcBorders>
              <w:top w:val="single" w:sz="4" w:space="0" w:color="auto"/>
              <w:bottom w:val="single" w:sz="4" w:space="0" w:color="auto"/>
            </w:tcBorders>
            <w:vAlign w:val="bottom"/>
          </w:tcPr>
          <w:p w14:paraId="5C6E038C" w14:textId="77777777" w:rsidR="00130360" w:rsidRDefault="00130360" w:rsidP="00B45809">
            <w:pPr>
              <w:bidi w:val="0"/>
              <w:rPr>
                <w:sz w:val="20"/>
                <w:szCs w:val="20"/>
              </w:rPr>
            </w:pPr>
            <w:r>
              <w:rPr>
                <w:sz w:val="20"/>
                <w:szCs w:val="20"/>
              </w:rPr>
              <w:t>Debt to GDP ratio (percent)</w:t>
            </w:r>
          </w:p>
        </w:tc>
        <w:tc>
          <w:tcPr>
            <w:tcW w:w="1269" w:type="dxa"/>
            <w:tcBorders>
              <w:top w:val="single" w:sz="4" w:space="0" w:color="auto"/>
              <w:bottom w:val="single" w:sz="4" w:space="0" w:color="auto"/>
              <w:right w:val="single" w:sz="4" w:space="0" w:color="auto"/>
            </w:tcBorders>
          </w:tcPr>
          <w:p w14:paraId="038AF751" w14:textId="77777777" w:rsidR="00130360" w:rsidRDefault="00130360" w:rsidP="00B45809">
            <w:pPr>
              <w:bidi w:val="0"/>
              <w:jc w:val="center"/>
              <w:rPr>
                <w:rFonts w:asciiTheme="majorBidi" w:hAnsiTheme="majorBidi" w:cstheme="majorBidi"/>
                <w:sz w:val="20"/>
                <w:szCs w:val="20"/>
                <w:rtl/>
              </w:rPr>
            </w:pPr>
            <w:r>
              <w:rPr>
                <w:rFonts w:asciiTheme="majorBidi" w:hAnsiTheme="majorBidi" w:cstheme="majorBidi"/>
                <w:sz w:val="20"/>
                <w:szCs w:val="20"/>
              </w:rPr>
              <w:t>60.7</w:t>
            </w:r>
          </w:p>
        </w:tc>
        <w:tc>
          <w:tcPr>
            <w:tcW w:w="992" w:type="dxa"/>
            <w:tcBorders>
              <w:top w:val="single" w:sz="4" w:space="0" w:color="auto"/>
              <w:left w:val="single" w:sz="4" w:space="0" w:color="auto"/>
              <w:bottom w:val="single" w:sz="4" w:space="0" w:color="auto"/>
              <w:right w:val="nil"/>
            </w:tcBorders>
            <w:shd w:val="clear" w:color="auto" w:fill="auto"/>
          </w:tcPr>
          <w:p w14:paraId="053E8FA8" w14:textId="56107815" w:rsidR="00130360" w:rsidRDefault="00B45809" w:rsidP="00B45809">
            <w:pPr>
              <w:bidi w:val="0"/>
              <w:jc w:val="center"/>
              <w:rPr>
                <w:rFonts w:asciiTheme="majorBidi" w:hAnsiTheme="majorBidi" w:cstheme="majorBidi"/>
                <w:sz w:val="20"/>
                <w:szCs w:val="20"/>
              </w:rPr>
            </w:pPr>
            <w:r>
              <w:rPr>
                <w:rFonts w:asciiTheme="majorBidi" w:hAnsiTheme="majorBidi" w:cstheme="majorBidi"/>
                <w:sz w:val="20"/>
                <w:szCs w:val="20"/>
              </w:rPr>
              <w:t>60</w:t>
            </w:r>
          </w:p>
        </w:tc>
        <w:tc>
          <w:tcPr>
            <w:tcW w:w="1276" w:type="dxa"/>
            <w:tcBorders>
              <w:top w:val="single" w:sz="4" w:space="0" w:color="auto"/>
              <w:left w:val="nil"/>
              <w:bottom w:val="single" w:sz="4" w:space="0" w:color="auto"/>
              <w:right w:val="single" w:sz="4" w:space="0" w:color="auto"/>
            </w:tcBorders>
            <w:shd w:val="clear" w:color="auto" w:fill="C6D9F1" w:themeFill="text2" w:themeFillTint="33"/>
            <w:vAlign w:val="bottom"/>
          </w:tcPr>
          <w:p w14:paraId="4C19E078" w14:textId="12423052" w:rsidR="00130360" w:rsidRDefault="00B45809" w:rsidP="00B45809">
            <w:pPr>
              <w:bidi w:val="0"/>
              <w:jc w:val="center"/>
              <w:rPr>
                <w:rFonts w:asciiTheme="majorBidi" w:hAnsiTheme="majorBidi" w:cstheme="majorBidi"/>
                <w:sz w:val="20"/>
                <w:szCs w:val="20"/>
              </w:rPr>
            </w:pPr>
            <w:r>
              <w:rPr>
                <w:rFonts w:asciiTheme="majorBidi" w:hAnsiTheme="majorBidi" w:cstheme="majorBidi"/>
                <w:sz w:val="20"/>
                <w:szCs w:val="20"/>
              </w:rPr>
              <w:t>1</w:t>
            </w:r>
            <w:r w:rsidR="00130360">
              <w:rPr>
                <w:rFonts w:asciiTheme="majorBidi" w:hAnsiTheme="majorBidi" w:cstheme="majorBidi"/>
                <w:sz w:val="20"/>
                <w:szCs w:val="20"/>
              </w:rPr>
              <w:t>.0</w:t>
            </w:r>
          </w:p>
        </w:tc>
        <w:tc>
          <w:tcPr>
            <w:tcW w:w="992" w:type="dxa"/>
            <w:tcBorders>
              <w:top w:val="single" w:sz="4" w:space="0" w:color="auto"/>
              <w:left w:val="single" w:sz="4" w:space="0" w:color="auto"/>
              <w:bottom w:val="single" w:sz="4" w:space="0" w:color="auto"/>
              <w:right w:val="nil"/>
            </w:tcBorders>
            <w:shd w:val="clear" w:color="auto" w:fill="auto"/>
          </w:tcPr>
          <w:p w14:paraId="17C53D87" w14:textId="2BB64029" w:rsidR="00130360" w:rsidRDefault="00130360" w:rsidP="00B45809">
            <w:pPr>
              <w:bidi w:val="0"/>
              <w:jc w:val="center"/>
              <w:rPr>
                <w:rFonts w:asciiTheme="majorBidi" w:hAnsiTheme="majorBidi" w:cstheme="majorBidi"/>
                <w:sz w:val="20"/>
                <w:szCs w:val="20"/>
              </w:rPr>
            </w:pPr>
            <w:r>
              <w:rPr>
                <w:rFonts w:asciiTheme="majorBidi" w:hAnsiTheme="majorBidi" w:cstheme="majorBidi"/>
                <w:sz w:val="20"/>
                <w:szCs w:val="20"/>
              </w:rPr>
              <w:t>5</w:t>
            </w:r>
            <w:r w:rsidR="00B45809">
              <w:rPr>
                <w:rFonts w:asciiTheme="majorBidi" w:hAnsiTheme="majorBidi" w:cstheme="majorBidi"/>
                <w:sz w:val="20"/>
                <w:szCs w:val="20"/>
              </w:rPr>
              <w:t>9</w:t>
            </w:r>
          </w:p>
        </w:tc>
        <w:tc>
          <w:tcPr>
            <w:tcW w:w="1422" w:type="dxa"/>
            <w:tcBorders>
              <w:top w:val="single" w:sz="4" w:space="0" w:color="auto"/>
              <w:left w:val="nil"/>
              <w:bottom w:val="single" w:sz="4" w:space="0" w:color="auto"/>
              <w:right w:val="single" w:sz="4" w:space="0" w:color="auto"/>
            </w:tcBorders>
            <w:shd w:val="clear" w:color="auto" w:fill="C6D9F1" w:themeFill="text2" w:themeFillTint="33"/>
          </w:tcPr>
          <w:p w14:paraId="04D62708" w14:textId="2568BE90" w:rsidR="00130360" w:rsidRDefault="00B45809" w:rsidP="00B45809">
            <w:pPr>
              <w:bidi w:val="0"/>
              <w:jc w:val="center"/>
              <w:rPr>
                <w:rFonts w:asciiTheme="majorBidi" w:hAnsiTheme="majorBidi" w:cstheme="majorBidi"/>
                <w:sz w:val="20"/>
                <w:szCs w:val="20"/>
              </w:rPr>
            </w:pPr>
            <w:r>
              <w:rPr>
                <w:rFonts w:asciiTheme="majorBidi" w:hAnsiTheme="majorBidi" w:cstheme="majorBidi"/>
                <w:sz w:val="20"/>
                <w:szCs w:val="20"/>
              </w:rPr>
              <w:t>1</w:t>
            </w:r>
            <w:r w:rsidR="00130360">
              <w:rPr>
                <w:rFonts w:asciiTheme="majorBidi" w:hAnsiTheme="majorBidi" w:cstheme="majorBidi"/>
                <w:sz w:val="20"/>
                <w:szCs w:val="20"/>
              </w:rPr>
              <w:t>.0</w:t>
            </w:r>
          </w:p>
        </w:tc>
      </w:tr>
      <w:tr w:rsidR="00130360" w:rsidRPr="007A4B17" w14:paraId="13CAD673" w14:textId="77777777" w:rsidTr="00B45809">
        <w:tc>
          <w:tcPr>
            <w:tcW w:w="4680" w:type="dxa"/>
            <w:tcBorders>
              <w:top w:val="single" w:sz="4" w:space="0" w:color="auto"/>
              <w:bottom w:val="single" w:sz="4" w:space="0" w:color="auto"/>
            </w:tcBorders>
            <w:vAlign w:val="bottom"/>
          </w:tcPr>
          <w:p w14:paraId="0174D4AC" w14:textId="77777777" w:rsidR="00130360" w:rsidRPr="009F1F95" w:rsidRDefault="00130360" w:rsidP="00B45809">
            <w:pPr>
              <w:bidi w:val="0"/>
              <w:rPr>
                <w:sz w:val="20"/>
                <w:szCs w:val="20"/>
                <w:vertAlign w:val="superscript"/>
              </w:rPr>
            </w:pPr>
            <w:r>
              <w:rPr>
                <w:sz w:val="20"/>
                <w:szCs w:val="20"/>
              </w:rPr>
              <w:t>Inflation (percent)</w:t>
            </w:r>
            <w:r>
              <w:rPr>
                <w:sz w:val="20"/>
                <w:szCs w:val="20"/>
                <w:vertAlign w:val="superscript"/>
              </w:rPr>
              <w:t>b</w:t>
            </w:r>
          </w:p>
        </w:tc>
        <w:tc>
          <w:tcPr>
            <w:tcW w:w="1269" w:type="dxa"/>
            <w:tcBorders>
              <w:top w:val="single" w:sz="4" w:space="0" w:color="auto"/>
              <w:bottom w:val="single" w:sz="4" w:space="0" w:color="auto"/>
              <w:right w:val="single" w:sz="4" w:space="0" w:color="auto"/>
            </w:tcBorders>
          </w:tcPr>
          <w:p w14:paraId="7A0F732B" w14:textId="7A0121D3" w:rsidR="00130360" w:rsidRDefault="00B45809" w:rsidP="00B45809">
            <w:pPr>
              <w:bidi w:val="0"/>
              <w:jc w:val="center"/>
              <w:rPr>
                <w:rFonts w:asciiTheme="majorBidi" w:hAnsiTheme="majorBidi" w:cstheme="majorBidi"/>
                <w:sz w:val="20"/>
                <w:szCs w:val="20"/>
              </w:rPr>
            </w:pPr>
            <w:r>
              <w:rPr>
                <w:rFonts w:asciiTheme="majorBidi" w:hAnsiTheme="majorBidi" w:cstheme="majorBidi"/>
                <w:sz w:val="20"/>
                <w:szCs w:val="20"/>
              </w:rPr>
              <w:t>5.1</w:t>
            </w:r>
          </w:p>
        </w:tc>
        <w:tc>
          <w:tcPr>
            <w:tcW w:w="992" w:type="dxa"/>
            <w:tcBorders>
              <w:top w:val="single" w:sz="4" w:space="0" w:color="auto"/>
              <w:left w:val="single" w:sz="4" w:space="0" w:color="auto"/>
              <w:bottom w:val="single" w:sz="4" w:space="0" w:color="auto"/>
              <w:right w:val="nil"/>
            </w:tcBorders>
            <w:shd w:val="clear" w:color="auto" w:fill="auto"/>
          </w:tcPr>
          <w:p w14:paraId="3DC22AAA" w14:textId="5A8F8170" w:rsidR="00130360" w:rsidRDefault="00130360" w:rsidP="00B45809">
            <w:pPr>
              <w:bidi w:val="0"/>
              <w:jc w:val="center"/>
              <w:rPr>
                <w:rFonts w:asciiTheme="majorBidi" w:hAnsiTheme="majorBidi" w:cstheme="majorBidi"/>
                <w:sz w:val="20"/>
                <w:szCs w:val="20"/>
              </w:rPr>
            </w:pPr>
            <w:r>
              <w:rPr>
                <w:rFonts w:asciiTheme="majorBidi" w:hAnsiTheme="majorBidi" w:cstheme="majorBidi"/>
                <w:sz w:val="20"/>
                <w:szCs w:val="20"/>
              </w:rPr>
              <w:t>3.</w:t>
            </w:r>
            <w:r w:rsidR="00B45809">
              <w:rPr>
                <w:rFonts w:asciiTheme="majorBidi" w:hAnsiTheme="majorBidi" w:cstheme="majorBidi"/>
                <w:sz w:val="20"/>
                <w:szCs w:val="20"/>
              </w:rPr>
              <w:t>5</w:t>
            </w:r>
          </w:p>
        </w:tc>
        <w:tc>
          <w:tcPr>
            <w:tcW w:w="1276" w:type="dxa"/>
            <w:tcBorders>
              <w:top w:val="single" w:sz="4" w:space="0" w:color="auto"/>
              <w:left w:val="nil"/>
              <w:bottom w:val="single" w:sz="4" w:space="0" w:color="auto"/>
              <w:right w:val="single" w:sz="4" w:space="0" w:color="auto"/>
            </w:tcBorders>
            <w:shd w:val="clear" w:color="auto" w:fill="C6D9F1" w:themeFill="text2" w:themeFillTint="33"/>
            <w:vAlign w:val="bottom"/>
          </w:tcPr>
          <w:p w14:paraId="5CEB8C4E" w14:textId="34BA7F3C" w:rsidR="00130360" w:rsidRDefault="00B45809" w:rsidP="00B45809">
            <w:pPr>
              <w:bidi w:val="0"/>
              <w:jc w:val="center"/>
              <w:rPr>
                <w:rFonts w:asciiTheme="majorBidi" w:hAnsiTheme="majorBidi" w:cstheme="majorBidi"/>
                <w:sz w:val="20"/>
                <w:szCs w:val="20"/>
              </w:rPr>
            </w:pPr>
            <w:r>
              <w:rPr>
                <w:rFonts w:asciiTheme="majorBidi" w:hAnsiTheme="majorBidi" w:cstheme="majorBidi"/>
                <w:sz w:val="20"/>
                <w:szCs w:val="20"/>
              </w:rPr>
              <w:t>-</w:t>
            </w:r>
            <w:r w:rsidR="00130360">
              <w:rPr>
                <w:rFonts w:asciiTheme="majorBidi" w:hAnsiTheme="majorBidi" w:cstheme="majorBidi"/>
                <w:sz w:val="20"/>
                <w:szCs w:val="20"/>
              </w:rPr>
              <w:t>0.</w:t>
            </w:r>
            <w:r>
              <w:rPr>
                <w:rFonts w:asciiTheme="majorBidi" w:hAnsiTheme="majorBidi" w:cstheme="majorBidi"/>
                <w:sz w:val="20"/>
                <w:szCs w:val="20"/>
              </w:rPr>
              <w:t>4</w:t>
            </w:r>
          </w:p>
        </w:tc>
        <w:tc>
          <w:tcPr>
            <w:tcW w:w="992" w:type="dxa"/>
            <w:tcBorders>
              <w:top w:val="single" w:sz="4" w:space="0" w:color="auto"/>
              <w:left w:val="single" w:sz="4" w:space="0" w:color="auto"/>
              <w:bottom w:val="single" w:sz="4" w:space="0" w:color="auto"/>
              <w:right w:val="nil"/>
            </w:tcBorders>
            <w:shd w:val="clear" w:color="auto" w:fill="auto"/>
          </w:tcPr>
          <w:p w14:paraId="5372704A" w14:textId="07B90AAF" w:rsidR="00130360" w:rsidRDefault="00130360" w:rsidP="00B45809">
            <w:pPr>
              <w:bidi w:val="0"/>
              <w:jc w:val="center"/>
              <w:rPr>
                <w:rFonts w:asciiTheme="majorBidi" w:hAnsiTheme="majorBidi" w:cstheme="majorBidi"/>
                <w:sz w:val="20"/>
                <w:szCs w:val="20"/>
              </w:rPr>
            </w:pPr>
            <w:r>
              <w:rPr>
                <w:rFonts w:asciiTheme="majorBidi" w:hAnsiTheme="majorBidi" w:cstheme="majorBidi"/>
                <w:sz w:val="20"/>
                <w:szCs w:val="20"/>
              </w:rPr>
              <w:t>2.</w:t>
            </w:r>
            <w:r w:rsidR="00B45809">
              <w:rPr>
                <w:rFonts w:asciiTheme="majorBidi" w:hAnsiTheme="majorBidi" w:cstheme="majorBidi"/>
                <w:sz w:val="20"/>
                <w:szCs w:val="20"/>
              </w:rPr>
              <w:t>4</w:t>
            </w:r>
          </w:p>
        </w:tc>
        <w:tc>
          <w:tcPr>
            <w:tcW w:w="1422" w:type="dxa"/>
            <w:tcBorders>
              <w:top w:val="single" w:sz="4" w:space="0" w:color="auto"/>
              <w:left w:val="nil"/>
              <w:bottom w:val="single" w:sz="4" w:space="0" w:color="auto"/>
              <w:right w:val="single" w:sz="4" w:space="0" w:color="auto"/>
            </w:tcBorders>
            <w:shd w:val="clear" w:color="auto" w:fill="C6D9F1" w:themeFill="text2" w:themeFillTint="33"/>
          </w:tcPr>
          <w:p w14:paraId="684AAC8F" w14:textId="611A4242" w:rsidR="00130360" w:rsidRDefault="00130360" w:rsidP="00B45809">
            <w:pPr>
              <w:bidi w:val="0"/>
              <w:jc w:val="center"/>
              <w:rPr>
                <w:rFonts w:asciiTheme="majorBidi" w:hAnsiTheme="majorBidi" w:cstheme="majorBidi"/>
                <w:sz w:val="20"/>
                <w:szCs w:val="20"/>
              </w:rPr>
            </w:pPr>
            <w:r>
              <w:rPr>
                <w:rFonts w:asciiTheme="majorBidi" w:hAnsiTheme="majorBidi" w:cstheme="majorBidi"/>
                <w:sz w:val="20"/>
                <w:szCs w:val="20"/>
              </w:rPr>
              <w:t>0.</w:t>
            </w:r>
            <w:r w:rsidR="00B45809">
              <w:rPr>
                <w:rFonts w:asciiTheme="majorBidi" w:hAnsiTheme="majorBidi" w:cstheme="majorBidi"/>
                <w:sz w:val="20"/>
                <w:szCs w:val="20"/>
              </w:rPr>
              <w:t>1</w:t>
            </w:r>
          </w:p>
        </w:tc>
      </w:tr>
      <w:tr w:rsidR="00130360" w:rsidRPr="007A4B17" w14:paraId="2ED0E109" w14:textId="77777777" w:rsidTr="00B45809">
        <w:tc>
          <w:tcPr>
            <w:tcW w:w="10631" w:type="dxa"/>
            <w:gridSpan w:val="6"/>
            <w:tcBorders>
              <w:top w:val="single" w:sz="4" w:space="0" w:color="auto"/>
              <w:bottom w:val="single" w:sz="4" w:space="0" w:color="auto"/>
              <w:right w:val="single" w:sz="4" w:space="0" w:color="auto"/>
            </w:tcBorders>
            <w:vAlign w:val="bottom"/>
          </w:tcPr>
          <w:p w14:paraId="6791ADDA" w14:textId="77777777" w:rsidR="00130360" w:rsidRDefault="00130360" w:rsidP="00B45809">
            <w:pPr>
              <w:bidi w:val="0"/>
              <w:rPr>
                <w:rFonts w:asciiTheme="majorBidi" w:hAnsiTheme="majorBidi" w:cstheme="majorBidi"/>
                <w:sz w:val="18"/>
                <w:szCs w:val="18"/>
              </w:rPr>
            </w:pPr>
            <w:proofErr w:type="spellStart"/>
            <w:proofErr w:type="gramStart"/>
            <w:r w:rsidRPr="009F1F95">
              <w:rPr>
                <w:rFonts w:asciiTheme="majorBidi" w:hAnsiTheme="majorBidi" w:cstheme="majorBidi"/>
                <w:sz w:val="18"/>
                <w:szCs w:val="18"/>
                <w:vertAlign w:val="superscript"/>
              </w:rPr>
              <w:t>a</w:t>
            </w:r>
            <w:proofErr w:type="spellEnd"/>
            <w:proofErr w:type="gramEnd"/>
            <w:r w:rsidRPr="009F1F95">
              <w:rPr>
                <w:rFonts w:asciiTheme="majorBidi" w:hAnsiTheme="majorBidi" w:cstheme="majorBidi"/>
                <w:sz w:val="18"/>
                <w:szCs w:val="18"/>
                <w:vertAlign w:val="superscript"/>
              </w:rPr>
              <w:t xml:space="preserve"> </w:t>
            </w:r>
            <w:r w:rsidRPr="009F1F95">
              <w:rPr>
                <w:rFonts w:asciiTheme="majorBidi" w:hAnsiTheme="majorBidi" w:cstheme="majorBidi"/>
                <w:sz w:val="18"/>
                <w:szCs w:val="18"/>
              </w:rPr>
              <w:t>In the forecast of National Accounts components, the rate of change is rounded to the nearest half percentage point.</w:t>
            </w:r>
          </w:p>
          <w:p w14:paraId="5AC76740" w14:textId="77777777" w:rsidR="00130360" w:rsidRPr="009F1F95" w:rsidRDefault="00130360" w:rsidP="00B45809">
            <w:pPr>
              <w:bidi w:val="0"/>
              <w:rPr>
                <w:rFonts w:asciiTheme="majorBidi" w:hAnsiTheme="majorBidi" w:cstheme="majorBidi"/>
                <w:sz w:val="18"/>
                <w:szCs w:val="18"/>
                <w:vertAlign w:val="superscript"/>
              </w:rPr>
            </w:pPr>
            <w:proofErr w:type="gramStart"/>
            <w:r>
              <w:rPr>
                <w:rFonts w:asciiTheme="majorBidi" w:hAnsiTheme="majorBidi" w:cstheme="majorBidi"/>
                <w:sz w:val="18"/>
                <w:szCs w:val="18"/>
                <w:vertAlign w:val="superscript"/>
              </w:rPr>
              <w:t>b</w:t>
            </w:r>
            <w:proofErr w:type="gramEnd"/>
            <w:r>
              <w:rPr>
                <w:rFonts w:asciiTheme="majorBidi" w:hAnsiTheme="majorBidi" w:cstheme="majorBidi"/>
                <w:sz w:val="18"/>
                <w:szCs w:val="18"/>
              </w:rPr>
              <w:t xml:space="preserve"> The average of the Consumer Price Index in the last quarter of the year compared with the average in the last quarter of the previous year.</w:t>
            </w:r>
          </w:p>
        </w:tc>
      </w:tr>
    </w:tbl>
    <w:p w14:paraId="0037B78D" w14:textId="603AC967" w:rsidR="00B32D05" w:rsidRDefault="00B32D05" w:rsidP="00B32D05">
      <w:pPr>
        <w:bidi w:val="0"/>
        <w:jc w:val="both"/>
      </w:pPr>
    </w:p>
    <w:p w14:paraId="66F48950" w14:textId="108A165D" w:rsidR="00A21D01" w:rsidRPr="005C08DC" w:rsidRDefault="00A21D01" w:rsidP="00184744">
      <w:pPr>
        <w:numPr>
          <w:ilvl w:val="0"/>
          <w:numId w:val="9"/>
        </w:numPr>
        <w:bidi w:val="0"/>
        <w:spacing w:line="360" w:lineRule="auto"/>
        <w:ind w:left="357" w:hanging="357"/>
        <w:jc w:val="both"/>
        <w:rPr>
          <w:b/>
          <w:bCs/>
        </w:rPr>
      </w:pPr>
      <w:r w:rsidRPr="005C08DC">
        <w:rPr>
          <w:b/>
          <w:bCs/>
        </w:rPr>
        <w:t xml:space="preserve">Inflation and interest rates </w:t>
      </w:r>
    </w:p>
    <w:p w14:paraId="2C9E37C6" w14:textId="6ABD1496" w:rsidR="005A3805" w:rsidRDefault="004F6E9A" w:rsidP="000C0CAD">
      <w:pPr>
        <w:bidi w:val="0"/>
        <w:jc w:val="both"/>
      </w:pPr>
      <w:r>
        <w:t xml:space="preserve">According to our assessment, </w:t>
      </w:r>
      <w:r w:rsidR="002260C5">
        <w:rPr>
          <w:b/>
          <w:bCs/>
        </w:rPr>
        <w:t>inflation in the next four quarters</w:t>
      </w:r>
      <w:r w:rsidR="00541457">
        <w:rPr>
          <w:b/>
          <w:bCs/>
        </w:rPr>
        <w:t xml:space="preserve"> (ending in the </w:t>
      </w:r>
      <w:r w:rsidR="00B45809">
        <w:rPr>
          <w:b/>
          <w:bCs/>
        </w:rPr>
        <w:t>second</w:t>
      </w:r>
      <w:r w:rsidR="00541457">
        <w:rPr>
          <w:b/>
          <w:bCs/>
        </w:rPr>
        <w:t xml:space="preserve"> quarter of 202</w:t>
      </w:r>
      <w:r w:rsidR="002C2B40">
        <w:rPr>
          <w:b/>
          <w:bCs/>
        </w:rPr>
        <w:t>4</w:t>
      </w:r>
      <w:r w:rsidR="00541457">
        <w:rPr>
          <w:b/>
          <w:bCs/>
        </w:rPr>
        <w:t>)</w:t>
      </w:r>
      <w:r w:rsidR="002260C5">
        <w:rPr>
          <w:b/>
          <w:bCs/>
        </w:rPr>
        <w:t xml:space="preserve"> is expected to be </w:t>
      </w:r>
      <w:r w:rsidR="005A3805">
        <w:rPr>
          <w:b/>
          <w:bCs/>
        </w:rPr>
        <w:t>3.</w:t>
      </w:r>
      <w:r w:rsidR="00B45809">
        <w:rPr>
          <w:b/>
          <w:bCs/>
        </w:rPr>
        <w:t>0</w:t>
      </w:r>
      <w:r w:rsidR="002260C5">
        <w:rPr>
          <w:b/>
          <w:bCs/>
        </w:rPr>
        <w:t xml:space="preserve"> percent</w:t>
      </w:r>
      <w:r w:rsidR="00B8089B">
        <w:t xml:space="preserve"> (Table 2</w:t>
      </w:r>
      <w:r w:rsidR="00B8089B">
        <w:rPr>
          <w:rFonts w:hint="cs"/>
          <w:rtl/>
        </w:rPr>
        <w:t>(</w:t>
      </w:r>
      <w:r w:rsidR="00F71FEA" w:rsidRPr="00B8089B">
        <w:t>.</w:t>
      </w:r>
      <w:r w:rsidR="009523E0">
        <w:t xml:space="preserve"> Inflation in 202</w:t>
      </w:r>
      <w:r w:rsidR="005A3805">
        <w:t>4</w:t>
      </w:r>
      <w:r w:rsidR="009523E0">
        <w:t xml:space="preserve"> is expected to be </w:t>
      </w:r>
      <w:r w:rsidR="005A3805">
        <w:t>2.</w:t>
      </w:r>
      <w:r w:rsidR="00B45809">
        <w:t>4</w:t>
      </w:r>
      <w:r w:rsidR="002C2B40">
        <w:t xml:space="preserve"> percent (Table 1).</w:t>
      </w:r>
      <w:r w:rsidR="005A3805">
        <w:t xml:space="preserve"> </w:t>
      </w:r>
      <w:r w:rsidR="00B45809">
        <w:t xml:space="preserve">Similar to the previous forecast, the trend of moderation in the annual inflation rate during the forecast period is influenced by developments in the prices of goods and energy, as well as by the moderation in demand for domestic output.  This is partly influenced by </w:t>
      </w:r>
      <w:r w:rsidR="00995A4F">
        <w:t xml:space="preserve">the restraining monetary policy in Israel and abroad.  The lower inflation rate at the starting point (relative to our previous assessments) also contributed </w:t>
      </w:r>
      <w:r w:rsidR="000C0CAD">
        <w:t>the moderation of</w:t>
      </w:r>
      <w:r w:rsidR="00995A4F">
        <w:t xml:space="preserve"> inflation.  In contrast, the depreciation of the shekel since the April forecast, and the high level of economic activity, contributed to the upward revision of the inflation forecast for the coming four quarters. </w:t>
      </w:r>
    </w:p>
    <w:p w14:paraId="762FD6F1" w14:textId="77777777" w:rsidR="009523E0" w:rsidRDefault="009523E0" w:rsidP="009523E0">
      <w:pPr>
        <w:bidi w:val="0"/>
        <w:jc w:val="both"/>
      </w:pPr>
    </w:p>
    <w:p w14:paraId="79A93321" w14:textId="7C70C79A" w:rsidR="000C3AA1" w:rsidRPr="000C3AA1" w:rsidRDefault="005C4E0D" w:rsidP="005A37A5">
      <w:pPr>
        <w:bidi w:val="0"/>
        <w:jc w:val="both"/>
      </w:pPr>
      <w:r w:rsidRPr="005C4E0D">
        <w:rPr>
          <w:b/>
          <w:bCs/>
        </w:rPr>
        <w:t>The</w:t>
      </w:r>
      <w:r w:rsidR="000C3AA1" w:rsidRPr="005C4E0D">
        <w:rPr>
          <w:b/>
          <w:bCs/>
        </w:rPr>
        <w:t xml:space="preserve"> </w:t>
      </w:r>
      <w:r w:rsidR="000C3AA1">
        <w:rPr>
          <w:b/>
          <w:bCs/>
        </w:rPr>
        <w:t xml:space="preserve">interest rate </w:t>
      </w:r>
      <w:r>
        <w:rPr>
          <w:b/>
          <w:bCs/>
        </w:rPr>
        <w:t>is expected</w:t>
      </w:r>
      <w:r w:rsidR="000C3AA1">
        <w:rPr>
          <w:b/>
          <w:bCs/>
        </w:rPr>
        <w:t xml:space="preserve"> </w:t>
      </w:r>
      <w:r w:rsidR="00777384">
        <w:rPr>
          <w:b/>
          <w:bCs/>
        </w:rPr>
        <w:t xml:space="preserve">to </w:t>
      </w:r>
      <w:r w:rsidR="007638FC">
        <w:rPr>
          <w:b/>
          <w:bCs/>
        </w:rPr>
        <w:t>average</w:t>
      </w:r>
      <w:r w:rsidR="000C3AA1">
        <w:rPr>
          <w:b/>
          <w:bCs/>
        </w:rPr>
        <w:t xml:space="preserve"> </w:t>
      </w:r>
      <w:r>
        <w:rPr>
          <w:b/>
          <w:bCs/>
        </w:rPr>
        <w:t>4.</w:t>
      </w:r>
      <w:r w:rsidR="00060A3E">
        <w:rPr>
          <w:b/>
          <w:bCs/>
        </w:rPr>
        <w:t>75</w:t>
      </w:r>
      <w:r w:rsidR="000C3AA1">
        <w:rPr>
          <w:b/>
          <w:bCs/>
        </w:rPr>
        <w:t xml:space="preserve"> </w:t>
      </w:r>
      <w:r w:rsidR="005A37A5">
        <w:rPr>
          <w:b/>
          <w:bCs/>
        </w:rPr>
        <w:t xml:space="preserve">or 5 </w:t>
      </w:r>
      <w:r w:rsidR="000C3AA1">
        <w:rPr>
          <w:b/>
          <w:bCs/>
        </w:rPr>
        <w:t xml:space="preserve">percent in </w:t>
      </w:r>
      <w:r w:rsidR="009523E0">
        <w:rPr>
          <w:b/>
          <w:bCs/>
        </w:rPr>
        <w:t xml:space="preserve">the </w:t>
      </w:r>
      <w:r w:rsidR="00995A4F">
        <w:rPr>
          <w:b/>
          <w:bCs/>
        </w:rPr>
        <w:t>second</w:t>
      </w:r>
      <w:r w:rsidR="009523E0">
        <w:rPr>
          <w:b/>
          <w:bCs/>
        </w:rPr>
        <w:t xml:space="preserve"> quarter of 202</w:t>
      </w:r>
      <w:r w:rsidR="00060A3E">
        <w:rPr>
          <w:b/>
          <w:bCs/>
        </w:rPr>
        <w:t>4</w:t>
      </w:r>
      <w:r w:rsidR="000C3AA1">
        <w:t xml:space="preserve"> (Table 2)</w:t>
      </w:r>
      <w:r w:rsidR="00995A4F">
        <w:t xml:space="preserve">.  </w:t>
      </w:r>
      <w:r w:rsidR="000C0CAD">
        <w:t>The interest rate level during the forecast period will he</w:t>
      </w:r>
      <w:r w:rsidR="00060A3E">
        <w:t xml:space="preserve">lp </w:t>
      </w:r>
      <w:r w:rsidR="00995A4F">
        <w:t xml:space="preserve">expected </w:t>
      </w:r>
      <w:r w:rsidR="00060A3E">
        <w:t xml:space="preserve">inflation </w:t>
      </w:r>
      <w:r w:rsidR="00995A4F">
        <w:t xml:space="preserve">become entrenched within </w:t>
      </w:r>
      <w:r w:rsidR="00060A3E">
        <w:t xml:space="preserve">the target range during </w:t>
      </w:r>
      <w:r w:rsidR="00995A4F">
        <w:t>forecast period</w:t>
      </w:r>
      <w:r w:rsidR="00060A3E">
        <w:t>.</w:t>
      </w:r>
      <w:r w:rsidR="009523E0">
        <w:t xml:space="preserve"> </w:t>
      </w:r>
    </w:p>
    <w:p w14:paraId="2138C6BC" w14:textId="2E946BD0" w:rsidR="00C45ED5" w:rsidRDefault="00C45ED5" w:rsidP="00C45ED5">
      <w:pPr>
        <w:bidi w:val="0"/>
        <w:jc w:val="both"/>
      </w:pPr>
    </w:p>
    <w:p w14:paraId="5C1B51C5" w14:textId="484BDB7A" w:rsidR="00682563" w:rsidRDefault="00682563" w:rsidP="00995A4F">
      <w:pPr>
        <w:bidi w:val="0"/>
        <w:jc w:val="both"/>
      </w:pPr>
      <w:r>
        <w:t xml:space="preserve">Table 2 shows that the Research Department’s staff forecast regarding </w:t>
      </w:r>
      <w:r w:rsidR="005C4E0D">
        <w:t>inflation</w:t>
      </w:r>
      <w:r w:rsidR="00995A4F">
        <w:t xml:space="preserve"> is similar to expectations derived from the capital market and slightly higher than the </w:t>
      </w:r>
      <w:r>
        <w:t>average of the private forecasters’ projections</w:t>
      </w:r>
      <w:r w:rsidR="005C4E0D">
        <w:t>.</w:t>
      </w:r>
      <w:r w:rsidR="00995A4F">
        <w:t xml:space="preserve">  Regarding the interest rate, the staff forecast</w:t>
      </w:r>
      <w:r>
        <w:t xml:space="preserve"> </w:t>
      </w:r>
      <w:r w:rsidR="00995A4F">
        <w:t>is similar to expectations derived from the capital market and 0.5</w:t>
      </w:r>
      <w:r w:rsidR="005A37A5">
        <w:t>/0.75</w:t>
      </w:r>
      <w:r w:rsidR="00995A4F">
        <w:t xml:space="preserve"> percentage points higher than the average of the private forecasters’ projections.  </w:t>
      </w:r>
    </w:p>
    <w:p w14:paraId="32C18420" w14:textId="77777777" w:rsidR="0010114F" w:rsidRDefault="0010114F" w:rsidP="006E2552">
      <w:pPr>
        <w:bidi w:val="0"/>
        <w:jc w:val="both"/>
      </w:pPr>
    </w:p>
    <w:p w14:paraId="44F6950B" w14:textId="77777777" w:rsidR="005F6371" w:rsidRPr="00C031F8" w:rsidRDefault="005F6371" w:rsidP="005F6371">
      <w:pPr>
        <w:bidi w:val="0"/>
        <w:jc w:val="both"/>
      </w:pPr>
    </w:p>
    <w:tbl>
      <w:tblPr>
        <w:tblW w:w="8233" w:type="dxa"/>
        <w:tblInd w:w="93" w:type="dxa"/>
        <w:tblLook w:val="04A0" w:firstRow="1" w:lastRow="0" w:firstColumn="1" w:lastColumn="0" w:noHBand="0" w:noVBand="1"/>
      </w:tblPr>
      <w:tblGrid>
        <w:gridCol w:w="2480"/>
        <w:gridCol w:w="2094"/>
        <w:gridCol w:w="1540"/>
        <w:gridCol w:w="2119"/>
      </w:tblGrid>
      <w:tr w:rsidR="00A21D01" w:rsidRPr="00B23575" w14:paraId="734E7EC1" w14:textId="77777777" w:rsidTr="00211EF7">
        <w:trPr>
          <w:trHeight w:val="316"/>
          <w:tblHeader/>
        </w:trPr>
        <w:tc>
          <w:tcPr>
            <w:tcW w:w="8233" w:type="dxa"/>
            <w:gridSpan w:val="4"/>
            <w:tcBorders>
              <w:top w:val="nil"/>
              <w:left w:val="nil"/>
              <w:bottom w:val="nil"/>
              <w:right w:val="nil"/>
            </w:tcBorders>
            <w:shd w:val="clear" w:color="000000" w:fill="FFFFFF"/>
            <w:noWrap/>
            <w:vAlign w:val="center"/>
            <w:hideMark/>
          </w:tcPr>
          <w:p w14:paraId="42C0A388" w14:textId="77777777" w:rsidR="00A21D01" w:rsidRPr="00F75C0A" w:rsidRDefault="002945D2" w:rsidP="006E2552">
            <w:pPr>
              <w:bidi w:val="0"/>
              <w:rPr>
                <w:rFonts w:asciiTheme="majorBidi" w:hAnsiTheme="majorBidi" w:cstheme="majorBidi"/>
                <w:b/>
                <w:bCs/>
                <w:color w:val="0070C0"/>
              </w:rPr>
            </w:pPr>
            <w:r w:rsidRPr="00F75C0A">
              <w:rPr>
                <w:color w:val="0070C0"/>
              </w:rPr>
              <w:lastRenderedPageBreak/>
              <w:br w:type="page"/>
            </w:r>
            <w:r w:rsidR="00A21D01" w:rsidRPr="00F75C0A">
              <w:rPr>
                <w:rFonts w:asciiTheme="majorBidi" w:hAnsiTheme="majorBidi" w:cstheme="majorBidi"/>
                <w:b/>
                <w:bCs/>
                <w:color w:val="0070C0"/>
              </w:rPr>
              <w:t xml:space="preserve">Table </w:t>
            </w:r>
            <w:r w:rsidR="006E2552">
              <w:rPr>
                <w:rFonts w:asciiTheme="majorBidi" w:hAnsiTheme="majorBidi" w:cstheme="majorBidi"/>
                <w:b/>
                <w:bCs/>
                <w:color w:val="0070C0"/>
              </w:rPr>
              <w:t>2</w:t>
            </w:r>
          </w:p>
        </w:tc>
      </w:tr>
      <w:tr w:rsidR="00A21D01" w:rsidRPr="00B23575" w14:paraId="30B4D728" w14:textId="77777777" w:rsidTr="00211EF7">
        <w:trPr>
          <w:trHeight w:val="316"/>
          <w:tblHeader/>
        </w:trPr>
        <w:tc>
          <w:tcPr>
            <w:tcW w:w="8233" w:type="dxa"/>
            <w:gridSpan w:val="4"/>
            <w:tcBorders>
              <w:top w:val="nil"/>
              <w:left w:val="nil"/>
              <w:bottom w:val="nil"/>
              <w:right w:val="nil"/>
            </w:tcBorders>
            <w:shd w:val="clear" w:color="000000" w:fill="FFFFFF"/>
            <w:noWrap/>
            <w:vAlign w:val="center"/>
            <w:hideMark/>
          </w:tcPr>
          <w:p w14:paraId="2561B6F7" w14:textId="72B11D2D" w:rsidR="00A21D01" w:rsidRPr="00F75C0A" w:rsidRDefault="00453D2B" w:rsidP="00D62B59">
            <w:pPr>
              <w:bidi w:val="0"/>
              <w:rPr>
                <w:rFonts w:asciiTheme="majorBidi" w:hAnsiTheme="majorBidi" w:cstheme="majorBidi"/>
                <w:b/>
                <w:bCs/>
                <w:color w:val="0070C0"/>
              </w:rPr>
            </w:pPr>
            <w:r w:rsidRPr="00F75C0A">
              <w:rPr>
                <w:rFonts w:asciiTheme="majorBidi" w:hAnsiTheme="majorBidi" w:cstheme="majorBidi"/>
                <w:b/>
                <w:bCs/>
                <w:color w:val="0070C0"/>
              </w:rPr>
              <w:t>I</w:t>
            </w:r>
            <w:r w:rsidR="00A21D01" w:rsidRPr="00F75C0A">
              <w:rPr>
                <w:rFonts w:asciiTheme="majorBidi" w:hAnsiTheme="majorBidi" w:cstheme="majorBidi"/>
                <w:b/>
                <w:bCs/>
                <w:color w:val="0070C0"/>
              </w:rPr>
              <w:t xml:space="preserve">nflation </w:t>
            </w:r>
            <w:r w:rsidRPr="00F75C0A">
              <w:rPr>
                <w:rFonts w:asciiTheme="majorBidi" w:hAnsiTheme="majorBidi" w:cstheme="majorBidi"/>
                <w:b/>
                <w:bCs/>
                <w:color w:val="0070C0"/>
              </w:rPr>
              <w:t xml:space="preserve">forecast </w:t>
            </w:r>
            <w:r w:rsidR="00A21D01" w:rsidRPr="00F75C0A">
              <w:rPr>
                <w:rFonts w:asciiTheme="majorBidi" w:hAnsiTheme="majorBidi" w:cstheme="majorBidi"/>
                <w:b/>
                <w:bCs/>
                <w:color w:val="0070C0"/>
              </w:rPr>
              <w:t>for the coming year</w:t>
            </w:r>
            <w:r w:rsidR="00D62B59">
              <w:rPr>
                <w:rFonts w:asciiTheme="majorBidi" w:hAnsiTheme="majorBidi" w:cstheme="majorBidi"/>
                <w:b/>
                <w:bCs/>
                <w:color w:val="0070C0"/>
              </w:rPr>
              <w:t xml:space="preserve"> </w:t>
            </w:r>
            <w:r w:rsidR="00D62B59" w:rsidRPr="00F75C0A">
              <w:rPr>
                <w:rFonts w:asciiTheme="majorBidi" w:hAnsiTheme="majorBidi" w:cstheme="majorBidi"/>
                <w:b/>
                <w:bCs/>
                <w:color w:val="0070C0"/>
              </w:rPr>
              <w:t>and interest rate</w:t>
            </w:r>
            <w:r w:rsidR="00D62B59">
              <w:rPr>
                <w:rFonts w:asciiTheme="majorBidi" w:hAnsiTheme="majorBidi" w:cstheme="majorBidi"/>
                <w:b/>
                <w:bCs/>
                <w:color w:val="0070C0"/>
              </w:rPr>
              <w:t xml:space="preserve"> forecast for one year from now</w:t>
            </w:r>
          </w:p>
        </w:tc>
      </w:tr>
      <w:tr w:rsidR="00A21D01" w:rsidRPr="00B23575" w14:paraId="63E9D5A4" w14:textId="77777777" w:rsidTr="00211EF7">
        <w:trPr>
          <w:trHeight w:val="316"/>
          <w:tblHeader/>
        </w:trPr>
        <w:tc>
          <w:tcPr>
            <w:tcW w:w="8233" w:type="dxa"/>
            <w:gridSpan w:val="4"/>
            <w:tcBorders>
              <w:top w:val="nil"/>
              <w:left w:val="nil"/>
              <w:bottom w:val="single" w:sz="4" w:space="0" w:color="auto"/>
              <w:right w:val="nil"/>
            </w:tcBorders>
            <w:shd w:val="clear" w:color="000000" w:fill="FFFFFF"/>
            <w:noWrap/>
            <w:vAlign w:val="center"/>
            <w:hideMark/>
          </w:tcPr>
          <w:p w14:paraId="24AEE091" w14:textId="77777777" w:rsidR="00A21D01" w:rsidRPr="00F75C0A" w:rsidRDefault="00A21D01" w:rsidP="00211EF7">
            <w:pPr>
              <w:bidi w:val="0"/>
              <w:jc w:val="right"/>
              <w:rPr>
                <w:rFonts w:asciiTheme="majorBidi" w:hAnsiTheme="majorBidi" w:cstheme="majorBidi"/>
                <w:color w:val="0070C0"/>
                <w:sz w:val="22"/>
                <w:szCs w:val="22"/>
              </w:rPr>
            </w:pPr>
            <w:r w:rsidRPr="00F75C0A">
              <w:rPr>
                <w:rFonts w:asciiTheme="majorBidi" w:hAnsiTheme="majorBidi" w:cstheme="majorBidi"/>
                <w:color w:val="0070C0"/>
                <w:sz w:val="22"/>
                <w:szCs w:val="22"/>
              </w:rPr>
              <w:t>(percent)</w:t>
            </w:r>
          </w:p>
        </w:tc>
      </w:tr>
      <w:tr w:rsidR="00A21D01" w:rsidRPr="00B23575" w14:paraId="5DA895D4" w14:textId="77777777" w:rsidTr="0044397B">
        <w:trPr>
          <w:trHeight w:val="683"/>
          <w:tblHeader/>
        </w:trPr>
        <w:tc>
          <w:tcPr>
            <w:tcW w:w="2480" w:type="dxa"/>
            <w:tcBorders>
              <w:top w:val="nil"/>
              <w:left w:val="nil"/>
              <w:bottom w:val="nil"/>
              <w:right w:val="nil"/>
            </w:tcBorders>
            <w:shd w:val="clear" w:color="000000" w:fill="FFFFFF"/>
            <w:vAlign w:val="center"/>
            <w:hideMark/>
          </w:tcPr>
          <w:p w14:paraId="1CB5F2E9" w14:textId="77777777" w:rsidR="00A21D01" w:rsidRPr="00211EF7" w:rsidRDefault="00A21D01" w:rsidP="0044397B">
            <w:pPr>
              <w:bidi w:val="0"/>
              <w:jc w:val="center"/>
              <w:rPr>
                <w:rFonts w:asciiTheme="majorBidi" w:hAnsiTheme="majorBidi" w:cstheme="majorBidi"/>
              </w:rPr>
            </w:pPr>
          </w:p>
        </w:tc>
        <w:tc>
          <w:tcPr>
            <w:tcW w:w="2094" w:type="dxa"/>
            <w:tcBorders>
              <w:top w:val="nil"/>
              <w:left w:val="nil"/>
              <w:bottom w:val="nil"/>
              <w:right w:val="nil"/>
            </w:tcBorders>
            <w:shd w:val="clear" w:color="000000" w:fill="FFFFFF"/>
            <w:vAlign w:val="center"/>
            <w:hideMark/>
          </w:tcPr>
          <w:p w14:paraId="0B349191" w14:textId="77777777" w:rsidR="00A21D01" w:rsidRPr="00211EF7" w:rsidRDefault="00A21D01" w:rsidP="0044397B">
            <w:pPr>
              <w:bidi w:val="0"/>
              <w:jc w:val="center"/>
              <w:rPr>
                <w:rFonts w:asciiTheme="majorBidi" w:hAnsiTheme="majorBidi" w:cstheme="majorBidi"/>
              </w:rPr>
            </w:pPr>
            <w:r w:rsidRPr="00211EF7">
              <w:rPr>
                <w:rFonts w:asciiTheme="majorBidi" w:hAnsiTheme="majorBidi" w:cstheme="majorBidi"/>
              </w:rPr>
              <w:t>Bank of Israel Research Department</w:t>
            </w:r>
          </w:p>
        </w:tc>
        <w:tc>
          <w:tcPr>
            <w:tcW w:w="1540" w:type="dxa"/>
            <w:tcBorders>
              <w:top w:val="nil"/>
              <w:left w:val="nil"/>
              <w:bottom w:val="nil"/>
              <w:right w:val="nil"/>
            </w:tcBorders>
            <w:shd w:val="clear" w:color="000000" w:fill="FFFFFF"/>
            <w:vAlign w:val="center"/>
            <w:hideMark/>
          </w:tcPr>
          <w:p w14:paraId="7AC10EA3" w14:textId="77777777" w:rsidR="00A21D01" w:rsidRPr="00211EF7" w:rsidRDefault="00A21D01" w:rsidP="0044397B">
            <w:pPr>
              <w:bidi w:val="0"/>
              <w:jc w:val="center"/>
              <w:rPr>
                <w:rFonts w:asciiTheme="majorBidi" w:hAnsiTheme="majorBidi" w:cstheme="majorBidi"/>
              </w:rPr>
            </w:pPr>
            <w:r w:rsidRPr="00211EF7">
              <w:rPr>
                <w:rFonts w:asciiTheme="majorBidi" w:hAnsiTheme="majorBidi" w:cstheme="majorBidi"/>
              </w:rPr>
              <w:t xml:space="preserve">Capital </w:t>
            </w:r>
            <w:proofErr w:type="spellStart"/>
            <w:r w:rsidRPr="00211EF7">
              <w:rPr>
                <w:rFonts w:asciiTheme="majorBidi" w:hAnsiTheme="majorBidi" w:cstheme="majorBidi"/>
              </w:rPr>
              <w:t>markets</w:t>
            </w:r>
            <w:r w:rsidR="00446B32" w:rsidRPr="00211EF7">
              <w:rPr>
                <w:rFonts w:asciiTheme="majorBidi" w:hAnsiTheme="majorBidi" w:cstheme="majorBidi"/>
                <w:vertAlign w:val="superscript"/>
              </w:rPr>
              <w:t>a</w:t>
            </w:r>
            <w:proofErr w:type="spellEnd"/>
          </w:p>
        </w:tc>
        <w:tc>
          <w:tcPr>
            <w:tcW w:w="2119" w:type="dxa"/>
            <w:tcBorders>
              <w:top w:val="nil"/>
              <w:left w:val="nil"/>
              <w:bottom w:val="nil"/>
              <w:right w:val="nil"/>
            </w:tcBorders>
            <w:shd w:val="clear" w:color="000000" w:fill="FFFFFF"/>
            <w:vAlign w:val="center"/>
            <w:hideMark/>
          </w:tcPr>
          <w:p w14:paraId="5B5B6E70" w14:textId="77777777" w:rsidR="00A21D01" w:rsidRPr="00211EF7" w:rsidRDefault="00A21D01" w:rsidP="0044397B">
            <w:pPr>
              <w:bidi w:val="0"/>
              <w:jc w:val="center"/>
              <w:rPr>
                <w:rFonts w:asciiTheme="majorBidi" w:hAnsiTheme="majorBidi" w:cstheme="majorBidi"/>
              </w:rPr>
            </w:pPr>
            <w:r w:rsidRPr="00211EF7">
              <w:rPr>
                <w:rFonts w:asciiTheme="majorBidi" w:hAnsiTheme="majorBidi" w:cstheme="majorBidi"/>
              </w:rPr>
              <w:t xml:space="preserve">Private </w:t>
            </w:r>
            <w:proofErr w:type="spellStart"/>
            <w:r w:rsidRPr="00211EF7">
              <w:rPr>
                <w:rFonts w:asciiTheme="majorBidi" w:hAnsiTheme="majorBidi" w:cstheme="majorBidi"/>
              </w:rPr>
              <w:t>forecasters</w:t>
            </w:r>
            <w:r w:rsidR="00446B32" w:rsidRPr="00211EF7">
              <w:rPr>
                <w:rFonts w:asciiTheme="majorBidi" w:hAnsiTheme="majorBidi" w:cstheme="majorBidi"/>
                <w:vertAlign w:val="superscript"/>
              </w:rPr>
              <w:t>b</w:t>
            </w:r>
            <w:proofErr w:type="spellEnd"/>
          </w:p>
        </w:tc>
      </w:tr>
      <w:tr w:rsidR="00F53855" w:rsidRPr="00B23575" w14:paraId="26D4E56E" w14:textId="77777777" w:rsidTr="00BE556B">
        <w:trPr>
          <w:trHeight w:val="280"/>
          <w:tblHeader/>
        </w:trPr>
        <w:tc>
          <w:tcPr>
            <w:tcW w:w="2480" w:type="dxa"/>
            <w:tcBorders>
              <w:top w:val="single" w:sz="4" w:space="0" w:color="auto"/>
              <w:left w:val="nil"/>
              <w:bottom w:val="nil"/>
              <w:right w:val="nil"/>
            </w:tcBorders>
            <w:shd w:val="clear" w:color="auto" w:fill="auto"/>
            <w:vAlign w:val="center"/>
            <w:hideMark/>
          </w:tcPr>
          <w:p w14:paraId="2788C95F" w14:textId="77777777" w:rsidR="00F53855" w:rsidRPr="00211EF7" w:rsidRDefault="00F53855" w:rsidP="0044397B">
            <w:pPr>
              <w:bidi w:val="0"/>
              <w:jc w:val="center"/>
              <w:rPr>
                <w:rFonts w:asciiTheme="majorBidi" w:hAnsiTheme="majorBidi" w:cstheme="majorBidi"/>
              </w:rPr>
            </w:pPr>
            <w:r w:rsidRPr="00211EF7">
              <w:rPr>
                <w:rFonts w:asciiTheme="majorBidi" w:hAnsiTheme="majorBidi" w:cstheme="majorBidi"/>
              </w:rPr>
              <w:t xml:space="preserve">Inflation </w:t>
            </w:r>
            <w:proofErr w:type="spellStart"/>
            <w:r w:rsidRPr="00211EF7">
              <w:rPr>
                <w:rFonts w:asciiTheme="majorBidi" w:hAnsiTheme="majorBidi" w:cstheme="majorBidi"/>
              </w:rPr>
              <w:t>rate</w:t>
            </w:r>
            <w:r w:rsidR="00446B32" w:rsidRPr="00211EF7">
              <w:rPr>
                <w:rFonts w:asciiTheme="majorBidi" w:hAnsiTheme="majorBidi" w:cstheme="majorBidi"/>
                <w:vertAlign w:val="superscript"/>
              </w:rPr>
              <w:t>c</w:t>
            </w:r>
            <w:proofErr w:type="spellEnd"/>
          </w:p>
        </w:tc>
        <w:tc>
          <w:tcPr>
            <w:tcW w:w="2094" w:type="dxa"/>
            <w:tcBorders>
              <w:top w:val="single" w:sz="4" w:space="0" w:color="auto"/>
              <w:left w:val="nil"/>
              <w:bottom w:val="nil"/>
              <w:right w:val="nil"/>
            </w:tcBorders>
            <w:shd w:val="clear" w:color="auto" w:fill="auto"/>
            <w:vAlign w:val="center"/>
          </w:tcPr>
          <w:p w14:paraId="45A215CE" w14:textId="7EF9A8BB" w:rsidR="00A2696D" w:rsidRPr="00211EF7" w:rsidRDefault="00862770" w:rsidP="00060A3E">
            <w:pPr>
              <w:bidi w:val="0"/>
              <w:jc w:val="center"/>
              <w:rPr>
                <w:rFonts w:asciiTheme="majorBidi" w:hAnsiTheme="majorBidi" w:cstheme="majorBidi"/>
              </w:rPr>
            </w:pPr>
            <w:r>
              <w:rPr>
                <w:rFonts w:asciiTheme="majorBidi" w:hAnsiTheme="majorBidi" w:cstheme="majorBidi"/>
              </w:rPr>
              <w:t>3.</w:t>
            </w:r>
            <w:r w:rsidR="00995A4F">
              <w:rPr>
                <w:rFonts w:asciiTheme="majorBidi" w:hAnsiTheme="majorBidi" w:cstheme="majorBidi"/>
              </w:rPr>
              <w:t>0</w:t>
            </w:r>
          </w:p>
        </w:tc>
        <w:tc>
          <w:tcPr>
            <w:tcW w:w="1540" w:type="dxa"/>
            <w:tcBorders>
              <w:top w:val="single" w:sz="4" w:space="0" w:color="auto"/>
              <w:left w:val="nil"/>
              <w:bottom w:val="nil"/>
              <w:right w:val="nil"/>
            </w:tcBorders>
            <w:shd w:val="clear" w:color="auto" w:fill="auto"/>
            <w:vAlign w:val="center"/>
          </w:tcPr>
          <w:p w14:paraId="762B66EF" w14:textId="63C979EF" w:rsidR="00F53855" w:rsidRPr="00211EF7" w:rsidRDefault="000C0CAD" w:rsidP="00DA623D">
            <w:pPr>
              <w:bidi w:val="0"/>
              <w:jc w:val="center"/>
              <w:rPr>
                <w:rFonts w:asciiTheme="majorBidi" w:hAnsiTheme="majorBidi" w:cstheme="majorBidi"/>
              </w:rPr>
            </w:pPr>
            <w:r>
              <w:rPr>
                <w:rFonts w:asciiTheme="majorBidi" w:hAnsiTheme="majorBidi" w:cstheme="majorBidi"/>
              </w:rPr>
              <w:t>3.0</w:t>
            </w:r>
          </w:p>
        </w:tc>
        <w:tc>
          <w:tcPr>
            <w:tcW w:w="2119" w:type="dxa"/>
            <w:tcBorders>
              <w:top w:val="single" w:sz="4" w:space="0" w:color="auto"/>
              <w:left w:val="nil"/>
              <w:bottom w:val="nil"/>
              <w:right w:val="nil"/>
            </w:tcBorders>
            <w:shd w:val="clear" w:color="auto" w:fill="auto"/>
            <w:vAlign w:val="center"/>
          </w:tcPr>
          <w:p w14:paraId="7A18DCA0" w14:textId="13DA7CBD" w:rsidR="00F53855" w:rsidRPr="00211EF7" w:rsidRDefault="00995A4F" w:rsidP="00995A4F">
            <w:pPr>
              <w:bidi w:val="0"/>
              <w:jc w:val="center"/>
              <w:rPr>
                <w:rFonts w:asciiTheme="majorBidi" w:hAnsiTheme="majorBidi" w:cstheme="majorBidi"/>
              </w:rPr>
            </w:pPr>
            <w:r>
              <w:rPr>
                <w:rFonts w:asciiTheme="majorBidi" w:hAnsiTheme="majorBidi" w:cstheme="majorBidi"/>
              </w:rPr>
              <w:t>2.8</w:t>
            </w:r>
            <w:r w:rsidR="00AD21E2">
              <w:rPr>
                <w:rFonts w:asciiTheme="majorBidi" w:hAnsiTheme="majorBidi" w:cstheme="majorBidi"/>
              </w:rPr>
              <w:t xml:space="preserve"> </w:t>
            </w:r>
            <w:r w:rsidR="00A2696D">
              <w:rPr>
                <w:rFonts w:asciiTheme="majorBidi" w:hAnsiTheme="majorBidi" w:cstheme="majorBidi"/>
              </w:rPr>
              <w:t>(</w:t>
            </w:r>
            <w:r w:rsidR="00862770">
              <w:rPr>
                <w:rFonts w:asciiTheme="majorBidi" w:hAnsiTheme="majorBidi" w:cstheme="majorBidi"/>
              </w:rPr>
              <w:t>2</w:t>
            </w:r>
            <w:r w:rsidR="00A2696D">
              <w:rPr>
                <w:rFonts w:asciiTheme="majorBidi" w:hAnsiTheme="majorBidi" w:cstheme="majorBidi"/>
              </w:rPr>
              <w:t>.</w:t>
            </w:r>
            <w:r>
              <w:rPr>
                <w:rFonts w:asciiTheme="majorBidi" w:hAnsiTheme="majorBidi" w:cstheme="majorBidi"/>
              </w:rPr>
              <w:t>4</w:t>
            </w:r>
            <w:r w:rsidR="00AD21E2">
              <w:rPr>
                <w:rFonts w:asciiTheme="majorBidi" w:hAnsiTheme="majorBidi" w:cstheme="majorBidi"/>
              </w:rPr>
              <w:t>–</w:t>
            </w:r>
            <w:r w:rsidR="00A53FEA">
              <w:rPr>
                <w:rFonts w:asciiTheme="majorBidi" w:hAnsiTheme="majorBidi" w:cstheme="majorBidi"/>
              </w:rPr>
              <w:t>3.</w:t>
            </w:r>
            <w:r>
              <w:rPr>
                <w:rFonts w:asciiTheme="majorBidi" w:hAnsiTheme="majorBidi" w:cstheme="majorBidi"/>
              </w:rPr>
              <w:t>4</w:t>
            </w:r>
            <w:r w:rsidR="00AD21E2">
              <w:rPr>
                <w:rFonts w:asciiTheme="majorBidi" w:hAnsiTheme="majorBidi" w:cstheme="majorBidi"/>
              </w:rPr>
              <w:t>)</w:t>
            </w:r>
          </w:p>
        </w:tc>
      </w:tr>
      <w:tr w:rsidR="00F53855" w:rsidRPr="00B23575" w14:paraId="2C889543" w14:textId="77777777" w:rsidTr="00BE556B">
        <w:trPr>
          <w:trHeight w:val="281"/>
          <w:tblHeader/>
        </w:trPr>
        <w:tc>
          <w:tcPr>
            <w:tcW w:w="2480" w:type="dxa"/>
            <w:tcBorders>
              <w:top w:val="nil"/>
              <w:left w:val="nil"/>
              <w:bottom w:val="single" w:sz="4" w:space="0" w:color="auto"/>
              <w:right w:val="nil"/>
            </w:tcBorders>
            <w:shd w:val="clear" w:color="auto" w:fill="auto"/>
            <w:vAlign w:val="center"/>
            <w:hideMark/>
          </w:tcPr>
          <w:p w14:paraId="507277D0" w14:textId="77777777" w:rsidR="00F53855" w:rsidRPr="00211EF7" w:rsidRDefault="00F53855" w:rsidP="0044397B">
            <w:pPr>
              <w:bidi w:val="0"/>
              <w:jc w:val="center"/>
              <w:rPr>
                <w:rFonts w:asciiTheme="majorBidi" w:hAnsiTheme="majorBidi" w:cstheme="majorBidi"/>
              </w:rPr>
            </w:pPr>
            <w:r w:rsidRPr="00211EF7">
              <w:rPr>
                <w:rFonts w:asciiTheme="majorBidi" w:hAnsiTheme="majorBidi" w:cstheme="majorBidi"/>
              </w:rPr>
              <w:t>(range of forecasts)</w:t>
            </w:r>
          </w:p>
        </w:tc>
        <w:tc>
          <w:tcPr>
            <w:tcW w:w="2094" w:type="dxa"/>
            <w:tcBorders>
              <w:top w:val="nil"/>
              <w:left w:val="nil"/>
              <w:bottom w:val="single" w:sz="4" w:space="0" w:color="auto"/>
              <w:right w:val="nil"/>
            </w:tcBorders>
            <w:shd w:val="clear" w:color="auto" w:fill="auto"/>
            <w:vAlign w:val="center"/>
          </w:tcPr>
          <w:p w14:paraId="526B5202" w14:textId="77777777" w:rsidR="00F53855" w:rsidRPr="00211EF7" w:rsidRDefault="00F53855" w:rsidP="0044397B">
            <w:pPr>
              <w:bidi w:val="0"/>
              <w:jc w:val="center"/>
              <w:rPr>
                <w:rFonts w:asciiTheme="majorBidi" w:hAnsiTheme="majorBidi" w:cstheme="majorBidi"/>
              </w:rPr>
            </w:pPr>
          </w:p>
        </w:tc>
        <w:tc>
          <w:tcPr>
            <w:tcW w:w="1540" w:type="dxa"/>
            <w:tcBorders>
              <w:top w:val="nil"/>
              <w:left w:val="nil"/>
              <w:bottom w:val="single" w:sz="4" w:space="0" w:color="auto"/>
              <w:right w:val="nil"/>
            </w:tcBorders>
            <w:shd w:val="clear" w:color="auto" w:fill="auto"/>
            <w:vAlign w:val="center"/>
          </w:tcPr>
          <w:p w14:paraId="7A3602B2" w14:textId="77777777" w:rsidR="00F53855" w:rsidRPr="00211EF7" w:rsidRDefault="00F53855" w:rsidP="0044397B">
            <w:pPr>
              <w:bidi w:val="0"/>
              <w:jc w:val="center"/>
              <w:rPr>
                <w:rFonts w:asciiTheme="majorBidi" w:hAnsiTheme="majorBidi" w:cstheme="majorBidi"/>
              </w:rPr>
            </w:pPr>
          </w:p>
        </w:tc>
        <w:tc>
          <w:tcPr>
            <w:tcW w:w="2119" w:type="dxa"/>
            <w:tcBorders>
              <w:top w:val="nil"/>
              <w:left w:val="nil"/>
              <w:bottom w:val="nil"/>
              <w:right w:val="nil"/>
            </w:tcBorders>
            <w:shd w:val="clear" w:color="auto" w:fill="auto"/>
            <w:noWrap/>
            <w:vAlign w:val="center"/>
          </w:tcPr>
          <w:p w14:paraId="05125D0E" w14:textId="0C1C8116" w:rsidR="00F53855" w:rsidRPr="00211EF7" w:rsidRDefault="00F53855" w:rsidP="00B540ED">
            <w:pPr>
              <w:bidi w:val="0"/>
              <w:jc w:val="center"/>
              <w:rPr>
                <w:rFonts w:asciiTheme="majorBidi" w:hAnsiTheme="majorBidi" w:cstheme="majorBidi"/>
              </w:rPr>
            </w:pPr>
          </w:p>
        </w:tc>
      </w:tr>
      <w:tr w:rsidR="00F53855" w:rsidRPr="00B23575" w14:paraId="7BEB1FB0" w14:textId="77777777" w:rsidTr="004C2B26">
        <w:trPr>
          <w:trHeight w:val="274"/>
          <w:tblHeader/>
        </w:trPr>
        <w:tc>
          <w:tcPr>
            <w:tcW w:w="2480" w:type="dxa"/>
            <w:tcBorders>
              <w:top w:val="nil"/>
              <w:left w:val="nil"/>
              <w:bottom w:val="nil"/>
              <w:right w:val="nil"/>
            </w:tcBorders>
            <w:shd w:val="clear" w:color="auto" w:fill="auto"/>
            <w:vAlign w:val="center"/>
            <w:hideMark/>
          </w:tcPr>
          <w:p w14:paraId="0ED30781" w14:textId="77777777" w:rsidR="00F53855" w:rsidRPr="00211EF7" w:rsidRDefault="00F53855" w:rsidP="0044397B">
            <w:pPr>
              <w:bidi w:val="0"/>
              <w:jc w:val="center"/>
              <w:rPr>
                <w:rFonts w:asciiTheme="majorBidi" w:hAnsiTheme="majorBidi" w:cstheme="majorBidi"/>
              </w:rPr>
            </w:pPr>
            <w:r w:rsidRPr="00211EF7">
              <w:rPr>
                <w:rFonts w:asciiTheme="majorBidi" w:hAnsiTheme="majorBidi" w:cstheme="majorBidi"/>
              </w:rPr>
              <w:t>Interest rate</w:t>
            </w:r>
            <w:r w:rsidR="00446B32" w:rsidRPr="00211EF7">
              <w:rPr>
                <w:rFonts w:asciiTheme="majorBidi" w:hAnsiTheme="majorBidi" w:cstheme="majorBidi"/>
                <w:vertAlign w:val="superscript"/>
              </w:rPr>
              <w:t>d</w:t>
            </w:r>
          </w:p>
        </w:tc>
        <w:tc>
          <w:tcPr>
            <w:tcW w:w="2094" w:type="dxa"/>
            <w:tcBorders>
              <w:top w:val="nil"/>
              <w:left w:val="nil"/>
              <w:bottom w:val="nil"/>
              <w:right w:val="nil"/>
            </w:tcBorders>
            <w:shd w:val="clear" w:color="auto" w:fill="auto"/>
            <w:vAlign w:val="center"/>
          </w:tcPr>
          <w:p w14:paraId="50D3A35F" w14:textId="5A353D1B" w:rsidR="00F53855" w:rsidRPr="00211EF7" w:rsidRDefault="00862770" w:rsidP="00060A3E">
            <w:pPr>
              <w:bidi w:val="0"/>
              <w:jc w:val="center"/>
              <w:rPr>
                <w:rFonts w:asciiTheme="majorBidi" w:hAnsiTheme="majorBidi" w:cstheme="majorBidi"/>
              </w:rPr>
            </w:pPr>
            <w:r>
              <w:rPr>
                <w:rFonts w:asciiTheme="majorBidi" w:hAnsiTheme="majorBidi" w:cstheme="majorBidi"/>
              </w:rPr>
              <w:t>4.</w:t>
            </w:r>
            <w:r w:rsidR="00060A3E">
              <w:rPr>
                <w:rFonts w:asciiTheme="majorBidi" w:hAnsiTheme="majorBidi" w:cstheme="majorBidi"/>
              </w:rPr>
              <w:t>75</w:t>
            </w:r>
            <w:r w:rsidR="005A37A5">
              <w:rPr>
                <w:rFonts w:asciiTheme="majorBidi" w:hAnsiTheme="majorBidi" w:cstheme="majorBidi"/>
              </w:rPr>
              <w:t>/5.0</w:t>
            </w:r>
          </w:p>
        </w:tc>
        <w:tc>
          <w:tcPr>
            <w:tcW w:w="1540" w:type="dxa"/>
            <w:tcBorders>
              <w:top w:val="nil"/>
              <w:left w:val="nil"/>
              <w:bottom w:val="nil"/>
              <w:right w:val="nil"/>
            </w:tcBorders>
            <w:shd w:val="clear" w:color="auto" w:fill="auto"/>
            <w:vAlign w:val="center"/>
          </w:tcPr>
          <w:p w14:paraId="622F669A" w14:textId="5CADEB17" w:rsidR="004C2B26" w:rsidRPr="00211EF7" w:rsidRDefault="00131338" w:rsidP="00C45D20">
            <w:pPr>
              <w:bidi w:val="0"/>
              <w:jc w:val="center"/>
              <w:rPr>
                <w:rFonts w:asciiTheme="majorBidi" w:hAnsiTheme="majorBidi" w:cstheme="majorBidi"/>
              </w:rPr>
            </w:pPr>
            <w:r>
              <w:rPr>
                <w:rFonts w:asciiTheme="majorBidi" w:hAnsiTheme="majorBidi" w:cstheme="majorBidi"/>
              </w:rPr>
              <w:t>4.6</w:t>
            </w:r>
          </w:p>
        </w:tc>
        <w:tc>
          <w:tcPr>
            <w:tcW w:w="2119" w:type="dxa"/>
            <w:tcBorders>
              <w:top w:val="single" w:sz="4" w:space="0" w:color="auto"/>
              <w:left w:val="nil"/>
              <w:bottom w:val="nil"/>
              <w:right w:val="nil"/>
            </w:tcBorders>
            <w:shd w:val="clear" w:color="auto" w:fill="auto"/>
            <w:vAlign w:val="center"/>
            <w:hideMark/>
          </w:tcPr>
          <w:p w14:paraId="4F7FFBC9" w14:textId="31275242" w:rsidR="00F53855" w:rsidRPr="00211EF7" w:rsidRDefault="00060A3E" w:rsidP="00995A4F">
            <w:pPr>
              <w:bidi w:val="0"/>
              <w:jc w:val="center"/>
              <w:rPr>
                <w:rFonts w:asciiTheme="majorBidi" w:hAnsiTheme="majorBidi" w:cstheme="majorBidi"/>
              </w:rPr>
            </w:pPr>
            <w:r>
              <w:rPr>
                <w:rFonts w:asciiTheme="majorBidi" w:hAnsiTheme="majorBidi" w:cstheme="majorBidi"/>
              </w:rPr>
              <w:t>4.</w:t>
            </w:r>
            <w:r w:rsidR="00995A4F">
              <w:rPr>
                <w:rFonts w:asciiTheme="majorBidi" w:hAnsiTheme="majorBidi" w:cstheme="majorBidi"/>
              </w:rPr>
              <w:t>25</w:t>
            </w:r>
          </w:p>
        </w:tc>
      </w:tr>
      <w:tr w:rsidR="00F53855" w:rsidRPr="00B23575" w14:paraId="6A9F3F13" w14:textId="77777777" w:rsidTr="00211EF7">
        <w:trPr>
          <w:trHeight w:val="275"/>
          <w:tblHeader/>
        </w:trPr>
        <w:tc>
          <w:tcPr>
            <w:tcW w:w="2480" w:type="dxa"/>
            <w:tcBorders>
              <w:top w:val="nil"/>
              <w:left w:val="nil"/>
              <w:bottom w:val="single" w:sz="4" w:space="0" w:color="auto"/>
              <w:right w:val="nil"/>
            </w:tcBorders>
            <w:shd w:val="clear" w:color="auto" w:fill="auto"/>
            <w:vAlign w:val="center"/>
            <w:hideMark/>
          </w:tcPr>
          <w:p w14:paraId="062BA2B2" w14:textId="77777777" w:rsidR="00F53855" w:rsidRPr="00211EF7" w:rsidRDefault="00F53855" w:rsidP="0044397B">
            <w:pPr>
              <w:bidi w:val="0"/>
              <w:jc w:val="center"/>
              <w:rPr>
                <w:rFonts w:asciiTheme="majorBidi" w:hAnsiTheme="majorBidi" w:cstheme="majorBidi"/>
              </w:rPr>
            </w:pPr>
            <w:r w:rsidRPr="00211EF7">
              <w:rPr>
                <w:rFonts w:asciiTheme="majorBidi" w:hAnsiTheme="majorBidi" w:cstheme="majorBidi"/>
              </w:rPr>
              <w:t>(range of forecasts)</w:t>
            </w:r>
          </w:p>
        </w:tc>
        <w:tc>
          <w:tcPr>
            <w:tcW w:w="2094" w:type="dxa"/>
            <w:tcBorders>
              <w:top w:val="nil"/>
              <w:left w:val="nil"/>
              <w:bottom w:val="single" w:sz="4" w:space="0" w:color="auto"/>
              <w:right w:val="nil"/>
            </w:tcBorders>
            <w:shd w:val="clear" w:color="auto" w:fill="auto"/>
            <w:vAlign w:val="center"/>
            <w:hideMark/>
          </w:tcPr>
          <w:p w14:paraId="530D2E9A" w14:textId="77777777" w:rsidR="00F53855" w:rsidRPr="00211EF7" w:rsidRDefault="00F53855" w:rsidP="0044397B">
            <w:pPr>
              <w:bidi w:val="0"/>
              <w:jc w:val="center"/>
              <w:rPr>
                <w:rFonts w:asciiTheme="majorBidi" w:hAnsiTheme="majorBidi" w:cstheme="majorBidi"/>
              </w:rPr>
            </w:pPr>
          </w:p>
        </w:tc>
        <w:tc>
          <w:tcPr>
            <w:tcW w:w="1540" w:type="dxa"/>
            <w:tcBorders>
              <w:top w:val="nil"/>
              <w:left w:val="nil"/>
              <w:bottom w:val="single" w:sz="4" w:space="0" w:color="auto"/>
              <w:right w:val="nil"/>
            </w:tcBorders>
            <w:shd w:val="clear" w:color="auto" w:fill="auto"/>
            <w:vAlign w:val="center"/>
            <w:hideMark/>
          </w:tcPr>
          <w:p w14:paraId="3BC19CAB" w14:textId="77777777" w:rsidR="00F53855" w:rsidRPr="00211EF7" w:rsidRDefault="00F53855" w:rsidP="0044397B">
            <w:pPr>
              <w:bidi w:val="0"/>
              <w:jc w:val="center"/>
              <w:rPr>
                <w:rFonts w:asciiTheme="majorBidi" w:hAnsiTheme="majorBidi" w:cstheme="majorBidi"/>
              </w:rPr>
            </w:pPr>
          </w:p>
        </w:tc>
        <w:tc>
          <w:tcPr>
            <w:tcW w:w="2119" w:type="dxa"/>
            <w:tcBorders>
              <w:top w:val="nil"/>
              <w:left w:val="nil"/>
              <w:bottom w:val="single" w:sz="4" w:space="0" w:color="auto"/>
              <w:right w:val="nil"/>
            </w:tcBorders>
            <w:shd w:val="clear" w:color="auto" w:fill="auto"/>
            <w:noWrap/>
            <w:vAlign w:val="center"/>
            <w:hideMark/>
          </w:tcPr>
          <w:p w14:paraId="0DA413FB" w14:textId="3C436281" w:rsidR="00F53855" w:rsidRPr="00211EF7" w:rsidRDefault="00F53855" w:rsidP="00995A4F">
            <w:pPr>
              <w:bidi w:val="0"/>
              <w:jc w:val="center"/>
              <w:rPr>
                <w:rFonts w:asciiTheme="majorBidi" w:hAnsiTheme="majorBidi" w:cstheme="majorBidi"/>
              </w:rPr>
            </w:pPr>
            <w:r w:rsidRPr="00211EF7">
              <w:rPr>
                <w:rFonts w:asciiTheme="majorBidi" w:hAnsiTheme="majorBidi" w:cstheme="majorBidi"/>
              </w:rPr>
              <w:t>(</w:t>
            </w:r>
            <w:r w:rsidR="00060A3E">
              <w:rPr>
                <w:rFonts w:asciiTheme="majorBidi" w:hAnsiTheme="majorBidi" w:cstheme="majorBidi"/>
              </w:rPr>
              <w:t>3.0</w:t>
            </w:r>
            <w:r w:rsidR="00A2696D">
              <w:rPr>
                <w:rFonts w:asciiTheme="majorBidi" w:hAnsiTheme="majorBidi" w:cstheme="majorBidi"/>
              </w:rPr>
              <w:t>–</w:t>
            </w:r>
            <w:r w:rsidR="00995A4F">
              <w:rPr>
                <w:rFonts w:asciiTheme="majorBidi" w:hAnsiTheme="majorBidi" w:cstheme="majorBidi"/>
              </w:rPr>
              <w:t>4.75</w:t>
            </w:r>
            <w:r w:rsidR="001C55F7">
              <w:rPr>
                <w:rFonts w:asciiTheme="majorBidi" w:hAnsiTheme="majorBidi" w:cstheme="majorBidi"/>
              </w:rPr>
              <w:t>)</w:t>
            </w:r>
          </w:p>
        </w:tc>
      </w:tr>
      <w:tr w:rsidR="00A21D01" w:rsidRPr="00B23575" w14:paraId="6D890833" w14:textId="77777777" w:rsidTr="00A21D01">
        <w:trPr>
          <w:trHeight w:val="257"/>
          <w:tblHeader/>
        </w:trPr>
        <w:tc>
          <w:tcPr>
            <w:tcW w:w="8233" w:type="dxa"/>
            <w:gridSpan w:val="4"/>
            <w:tcBorders>
              <w:top w:val="nil"/>
              <w:left w:val="nil"/>
              <w:bottom w:val="nil"/>
              <w:right w:val="nil"/>
            </w:tcBorders>
            <w:shd w:val="clear" w:color="auto" w:fill="auto"/>
            <w:hideMark/>
          </w:tcPr>
          <w:p w14:paraId="7A43B343" w14:textId="16E90A4F" w:rsidR="00446B32" w:rsidRDefault="00446B32" w:rsidP="005A37A5">
            <w:pPr>
              <w:bidi w:val="0"/>
              <w:rPr>
                <w:rFonts w:asciiTheme="majorBidi" w:hAnsiTheme="majorBidi" w:cstheme="majorBidi"/>
                <w:sz w:val="20"/>
                <w:szCs w:val="20"/>
              </w:rPr>
            </w:pPr>
            <w:r>
              <w:rPr>
                <w:rFonts w:asciiTheme="majorBidi" w:hAnsiTheme="majorBidi" w:cstheme="majorBidi"/>
                <w:sz w:val="20"/>
                <w:szCs w:val="20"/>
              </w:rPr>
              <w:t xml:space="preserve">a) </w:t>
            </w:r>
            <w:r w:rsidR="00D62B59">
              <w:rPr>
                <w:rFonts w:asciiTheme="majorBidi" w:hAnsiTheme="majorBidi" w:cstheme="majorBidi"/>
                <w:sz w:val="20"/>
                <w:szCs w:val="20"/>
              </w:rPr>
              <w:t>Inflation expectations are seasonally adjusted</w:t>
            </w:r>
            <w:r w:rsidR="00A53FEA">
              <w:rPr>
                <w:rFonts w:asciiTheme="majorBidi" w:hAnsiTheme="majorBidi" w:cstheme="majorBidi"/>
                <w:sz w:val="20"/>
                <w:szCs w:val="20"/>
              </w:rPr>
              <w:t xml:space="preserve"> (</w:t>
            </w:r>
            <w:r w:rsidR="00DA623D">
              <w:rPr>
                <w:rFonts w:asciiTheme="majorBidi" w:hAnsiTheme="majorBidi" w:cstheme="majorBidi"/>
                <w:sz w:val="20"/>
                <w:szCs w:val="20"/>
              </w:rPr>
              <w:t>a</w:t>
            </w:r>
            <w:r w:rsidR="00862770">
              <w:rPr>
                <w:rFonts w:asciiTheme="majorBidi" w:hAnsiTheme="majorBidi" w:cstheme="majorBidi"/>
                <w:sz w:val="20"/>
                <w:szCs w:val="20"/>
              </w:rPr>
              <w:t xml:space="preserve">s of </w:t>
            </w:r>
            <w:r w:rsidR="00995A4F">
              <w:rPr>
                <w:rFonts w:asciiTheme="majorBidi" w:hAnsiTheme="majorBidi" w:cstheme="majorBidi"/>
                <w:sz w:val="20"/>
                <w:szCs w:val="20"/>
              </w:rPr>
              <w:t xml:space="preserve">July </w:t>
            </w:r>
            <w:r w:rsidR="005A37A5">
              <w:rPr>
                <w:rFonts w:asciiTheme="majorBidi" w:hAnsiTheme="majorBidi" w:cstheme="majorBidi"/>
                <w:sz w:val="20"/>
                <w:szCs w:val="20"/>
              </w:rPr>
              <w:t>6</w:t>
            </w:r>
            <w:r w:rsidR="00862770">
              <w:rPr>
                <w:rFonts w:asciiTheme="majorBidi" w:hAnsiTheme="majorBidi" w:cstheme="majorBidi"/>
                <w:sz w:val="20"/>
                <w:szCs w:val="20"/>
              </w:rPr>
              <w:t>, 202</w:t>
            </w:r>
            <w:r w:rsidR="00DA623D">
              <w:rPr>
                <w:rFonts w:asciiTheme="majorBidi" w:hAnsiTheme="majorBidi" w:cstheme="majorBidi"/>
                <w:sz w:val="20"/>
                <w:szCs w:val="20"/>
              </w:rPr>
              <w:t>3)</w:t>
            </w:r>
            <w:r w:rsidR="005650EE">
              <w:rPr>
                <w:rFonts w:asciiTheme="majorBidi" w:hAnsiTheme="majorBidi" w:cstheme="majorBidi"/>
                <w:sz w:val="20"/>
                <w:szCs w:val="20"/>
              </w:rPr>
              <w:t>.</w:t>
            </w:r>
          </w:p>
          <w:p w14:paraId="1240F8BE" w14:textId="3912EF32" w:rsidR="00446B32" w:rsidRDefault="00446B32" w:rsidP="00995A4F">
            <w:pPr>
              <w:bidi w:val="0"/>
              <w:rPr>
                <w:rFonts w:asciiTheme="majorBidi" w:hAnsiTheme="majorBidi" w:cstheme="majorBidi"/>
                <w:sz w:val="20"/>
                <w:szCs w:val="20"/>
              </w:rPr>
            </w:pPr>
            <w:r>
              <w:rPr>
                <w:rFonts w:asciiTheme="majorBidi" w:hAnsiTheme="majorBidi" w:cstheme="majorBidi"/>
                <w:sz w:val="20"/>
                <w:szCs w:val="20"/>
              </w:rPr>
              <w:t xml:space="preserve">b) </w:t>
            </w:r>
            <w:r w:rsidR="00046EE6">
              <w:rPr>
                <w:rFonts w:asciiTheme="majorBidi" w:hAnsiTheme="majorBidi" w:cstheme="majorBidi"/>
                <w:sz w:val="20"/>
                <w:szCs w:val="20"/>
              </w:rPr>
              <w:t xml:space="preserve">The </w:t>
            </w:r>
            <w:r w:rsidR="00BE556B">
              <w:rPr>
                <w:rFonts w:asciiTheme="majorBidi" w:hAnsiTheme="majorBidi" w:cstheme="majorBidi"/>
                <w:sz w:val="20"/>
                <w:szCs w:val="20"/>
              </w:rPr>
              <w:t xml:space="preserve">average of </w:t>
            </w:r>
            <w:r w:rsidR="00046EE6">
              <w:rPr>
                <w:rFonts w:asciiTheme="majorBidi" w:hAnsiTheme="majorBidi" w:cstheme="majorBidi"/>
                <w:sz w:val="20"/>
                <w:szCs w:val="20"/>
              </w:rPr>
              <w:t xml:space="preserve">forecasts published </w:t>
            </w:r>
            <w:r w:rsidR="00D62B59">
              <w:rPr>
                <w:rFonts w:asciiTheme="majorBidi" w:hAnsiTheme="majorBidi" w:cstheme="majorBidi"/>
                <w:sz w:val="20"/>
                <w:szCs w:val="20"/>
              </w:rPr>
              <w:t xml:space="preserve">following the publication of the Consumer Price Index for </w:t>
            </w:r>
            <w:r w:rsidR="00995A4F">
              <w:rPr>
                <w:rFonts w:asciiTheme="majorBidi" w:hAnsiTheme="majorBidi" w:cstheme="majorBidi"/>
                <w:sz w:val="20"/>
                <w:szCs w:val="20"/>
              </w:rPr>
              <w:t>May</w:t>
            </w:r>
            <w:r>
              <w:rPr>
                <w:rFonts w:asciiTheme="majorBidi" w:hAnsiTheme="majorBidi" w:cstheme="majorBidi"/>
                <w:sz w:val="20"/>
                <w:szCs w:val="20"/>
              </w:rPr>
              <w:t>.</w:t>
            </w:r>
          </w:p>
          <w:p w14:paraId="61935DF9" w14:textId="4D89F0EB" w:rsidR="00A21D01" w:rsidRPr="00B23575" w:rsidRDefault="00446B32" w:rsidP="00995A4F">
            <w:pPr>
              <w:bidi w:val="0"/>
              <w:rPr>
                <w:rFonts w:asciiTheme="majorBidi" w:hAnsiTheme="majorBidi" w:cstheme="majorBidi"/>
                <w:sz w:val="20"/>
                <w:szCs w:val="20"/>
              </w:rPr>
            </w:pPr>
            <w:r>
              <w:rPr>
                <w:rFonts w:asciiTheme="majorBidi" w:hAnsiTheme="majorBidi" w:cstheme="majorBidi"/>
                <w:sz w:val="20"/>
                <w:szCs w:val="20"/>
              </w:rPr>
              <w:t>c</w:t>
            </w:r>
            <w:r w:rsidR="00A21D01" w:rsidRPr="00B23575">
              <w:rPr>
                <w:rFonts w:asciiTheme="majorBidi" w:hAnsiTheme="majorBidi" w:cstheme="majorBidi"/>
                <w:sz w:val="20"/>
                <w:szCs w:val="20"/>
              </w:rPr>
              <w:t xml:space="preserve">) Research </w:t>
            </w:r>
            <w:r w:rsidR="00A21D01" w:rsidRPr="00C378E2">
              <w:rPr>
                <w:rFonts w:asciiTheme="majorBidi" w:hAnsiTheme="majorBidi" w:cstheme="majorBidi"/>
                <w:sz w:val="20"/>
                <w:szCs w:val="20"/>
              </w:rPr>
              <w:t xml:space="preserve">Department: </w:t>
            </w:r>
            <w:r w:rsidR="00D40032">
              <w:rPr>
                <w:rFonts w:asciiTheme="majorBidi" w:hAnsiTheme="majorBidi" w:cstheme="majorBidi"/>
                <w:sz w:val="20"/>
                <w:szCs w:val="20"/>
              </w:rPr>
              <w:t xml:space="preserve">the </w:t>
            </w:r>
            <w:r w:rsidR="00DA623D">
              <w:rPr>
                <w:rFonts w:asciiTheme="majorBidi" w:hAnsiTheme="majorBidi" w:cstheme="majorBidi"/>
                <w:sz w:val="20"/>
                <w:szCs w:val="20"/>
              </w:rPr>
              <w:t>inflation rate</w:t>
            </w:r>
            <w:r w:rsidR="00C51B50">
              <w:rPr>
                <w:rFonts w:asciiTheme="majorBidi" w:hAnsiTheme="majorBidi" w:cstheme="majorBidi"/>
                <w:sz w:val="20"/>
                <w:szCs w:val="20"/>
              </w:rPr>
              <w:t xml:space="preserve"> </w:t>
            </w:r>
            <w:r w:rsidR="00D40032">
              <w:rPr>
                <w:rFonts w:asciiTheme="majorBidi" w:hAnsiTheme="majorBidi" w:cstheme="majorBidi"/>
                <w:sz w:val="20"/>
                <w:szCs w:val="20"/>
              </w:rPr>
              <w:t xml:space="preserve">during the four quarters ending </w:t>
            </w:r>
            <w:r w:rsidR="00C51B50">
              <w:rPr>
                <w:rFonts w:asciiTheme="majorBidi" w:hAnsiTheme="majorBidi" w:cstheme="majorBidi"/>
                <w:sz w:val="20"/>
                <w:szCs w:val="20"/>
              </w:rPr>
              <w:t xml:space="preserve">in the </w:t>
            </w:r>
            <w:r w:rsidR="00995A4F">
              <w:rPr>
                <w:rFonts w:asciiTheme="majorBidi" w:hAnsiTheme="majorBidi" w:cstheme="majorBidi"/>
                <w:sz w:val="20"/>
                <w:szCs w:val="20"/>
              </w:rPr>
              <w:t>second</w:t>
            </w:r>
            <w:r w:rsidR="004C2B26">
              <w:rPr>
                <w:rFonts w:asciiTheme="majorBidi" w:hAnsiTheme="majorBidi" w:cstheme="majorBidi"/>
                <w:sz w:val="20"/>
                <w:szCs w:val="20"/>
              </w:rPr>
              <w:t xml:space="preserve"> </w:t>
            </w:r>
            <w:r w:rsidR="00C51B50">
              <w:rPr>
                <w:rFonts w:asciiTheme="majorBidi" w:hAnsiTheme="majorBidi" w:cstheme="majorBidi"/>
                <w:sz w:val="20"/>
                <w:szCs w:val="20"/>
              </w:rPr>
              <w:t>quarter of 2</w:t>
            </w:r>
            <w:r w:rsidR="00725CB0">
              <w:rPr>
                <w:rFonts w:asciiTheme="majorBidi" w:hAnsiTheme="majorBidi" w:cstheme="majorBidi"/>
                <w:sz w:val="20"/>
                <w:szCs w:val="20"/>
              </w:rPr>
              <w:t>02</w:t>
            </w:r>
            <w:r w:rsidR="00DA623D">
              <w:rPr>
                <w:rFonts w:asciiTheme="majorBidi" w:hAnsiTheme="majorBidi" w:cstheme="majorBidi"/>
                <w:sz w:val="20"/>
                <w:szCs w:val="20"/>
              </w:rPr>
              <w:t>4</w:t>
            </w:r>
            <w:r w:rsidR="007864A7" w:rsidRPr="00C378E2">
              <w:rPr>
                <w:rFonts w:asciiTheme="majorBidi" w:hAnsiTheme="majorBidi" w:cstheme="majorBidi"/>
                <w:sz w:val="20"/>
                <w:szCs w:val="20"/>
              </w:rPr>
              <w:t>.</w:t>
            </w:r>
            <w:r w:rsidR="00DA623D">
              <w:rPr>
                <w:rFonts w:asciiTheme="majorBidi" w:hAnsiTheme="majorBidi" w:cstheme="majorBidi"/>
                <w:sz w:val="20"/>
                <w:szCs w:val="20"/>
              </w:rPr>
              <w:t xml:space="preserve"> Capital markets and private forecasters relate to </w:t>
            </w:r>
            <w:r w:rsidR="00D40032">
              <w:rPr>
                <w:rFonts w:asciiTheme="majorBidi" w:hAnsiTheme="majorBidi" w:cstheme="majorBidi"/>
                <w:sz w:val="20"/>
                <w:szCs w:val="20"/>
              </w:rPr>
              <w:t xml:space="preserve">inflation during the 12 months ending at </w:t>
            </w:r>
            <w:r w:rsidR="00DA623D">
              <w:rPr>
                <w:rFonts w:asciiTheme="majorBidi" w:hAnsiTheme="majorBidi" w:cstheme="majorBidi"/>
                <w:sz w:val="20"/>
                <w:szCs w:val="20"/>
              </w:rPr>
              <w:t xml:space="preserve">the end of the </w:t>
            </w:r>
            <w:r w:rsidR="00995A4F">
              <w:rPr>
                <w:rFonts w:asciiTheme="majorBidi" w:hAnsiTheme="majorBidi" w:cstheme="majorBidi"/>
                <w:sz w:val="20"/>
                <w:szCs w:val="20"/>
              </w:rPr>
              <w:t>second</w:t>
            </w:r>
            <w:r w:rsidR="00DA623D">
              <w:rPr>
                <w:rFonts w:asciiTheme="majorBidi" w:hAnsiTheme="majorBidi" w:cstheme="majorBidi"/>
                <w:sz w:val="20"/>
                <w:szCs w:val="20"/>
              </w:rPr>
              <w:t xml:space="preserve"> quarter of 2024.</w:t>
            </w:r>
          </w:p>
        </w:tc>
      </w:tr>
      <w:tr w:rsidR="00A21D01" w:rsidRPr="00B23575" w14:paraId="27BFA487" w14:textId="77777777" w:rsidTr="00A21D01">
        <w:trPr>
          <w:trHeight w:val="445"/>
          <w:tblHeader/>
        </w:trPr>
        <w:tc>
          <w:tcPr>
            <w:tcW w:w="8233" w:type="dxa"/>
            <w:gridSpan w:val="4"/>
            <w:tcBorders>
              <w:top w:val="nil"/>
              <w:left w:val="nil"/>
              <w:bottom w:val="nil"/>
              <w:right w:val="nil"/>
            </w:tcBorders>
            <w:shd w:val="clear" w:color="auto" w:fill="auto"/>
            <w:hideMark/>
          </w:tcPr>
          <w:p w14:paraId="3D0C7833" w14:textId="184D384F" w:rsidR="00A21D01" w:rsidRDefault="00446B32" w:rsidP="00995A4F">
            <w:pPr>
              <w:bidi w:val="0"/>
              <w:rPr>
                <w:rFonts w:asciiTheme="majorBidi" w:hAnsiTheme="majorBidi" w:cstheme="majorBidi"/>
                <w:sz w:val="20"/>
                <w:szCs w:val="20"/>
              </w:rPr>
            </w:pPr>
            <w:r>
              <w:rPr>
                <w:rFonts w:asciiTheme="majorBidi" w:hAnsiTheme="majorBidi" w:cstheme="majorBidi"/>
                <w:sz w:val="20"/>
                <w:szCs w:val="20"/>
              </w:rPr>
              <w:t>d</w:t>
            </w:r>
            <w:r w:rsidR="00A21D01" w:rsidRPr="00B23575">
              <w:rPr>
                <w:rFonts w:asciiTheme="majorBidi" w:hAnsiTheme="majorBidi" w:cstheme="majorBidi"/>
                <w:sz w:val="20"/>
                <w:szCs w:val="20"/>
              </w:rPr>
              <w:t>)</w:t>
            </w:r>
            <w:r w:rsidR="00A21D01">
              <w:rPr>
                <w:rFonts w:asciiTheme="majorBidi" w:hAnsiTheme="majorBidi" w:cstheme="majorBidi"/>
                <w:sz w:val="20"/>
                <w:szCs w:val="20"/>
              </w:rPr>
              <w:t xml:space="preserve"> </w:t>
            </w:r>
            <w:r w:rsidR="002945D2">
              <w:rPr>
                <w:rFonts w:asciiTheme="majorBidi" w:hAnsiTheme="majorBidi" w:cstheme="majorBidi"/>
                <w:sz w:val="20"/>
                <w:szCs w:val="20"/>
              </w:rPr>
              <w:t>Research Department:</w:t>
            </w:r>
            <w:r w:rsidR="00862770">
              <w:rPr>
                <w:rFonts w:asciiTheme="majorBidi" w:hAnsiTheme="majorBidi" w:cstheme="majorBidi"/>
                <w:sz w:val="20"/>
                <w:szCs w:val="20"/>
              </w:rPr>
              <w:t xml:space="preserve"> </w:t>
            </w:r>
            <w:r w:rsidR="00DA623D">
              <w:rPr>
                <w:rFonts w:asciiTheme="majorBidi" w:hAnsiTheme="majorBidi" w:cstheme="majorBidi"/>
                <w:sz w:val="20"/>
                <w:szCs w:val="20"/>
              </w:rPr>
              <w:t xml:space="preserve">the </w:t>
            </w:r>
            <w:r w:rsidR="00862770">
              <w:rPr>
                <w:rFonts w:asciiTheme="majorBidi" w:hAnsiTheme="majorBidi" w:cstheme="majorBidi"/>
                <w:sz w:val="20"/>
                <w:szCs w:val="20"/>
              </w:rPr>
              <w:t>average interest rate</w:t>
            </w:r>
            <w:r w:rsidR="002945D2">
              <w:rPr>
                <w:rFonts w:asciiTheme="majorBidi" w:hAnsiTheme="majorBidi" w:cstheme="majorBidi"/>
                <w:sz w:val="20"/>
                <w:szCs w:val="20"/>
              </w:rPr>
              <w:t xml:space="preserve"> in the </w:t>
            </w:r>
            <w:r w:rsidR="00995A4F">
              <w:rPr>
                <w:rFonts w:asciiTheme="majorBidi" w:hAnsiTheme="majorBidi" w:cstheme="majorBidi"/>
                <w:sz w:val="20"/>
                <w:szCs w:val="20"/>
              </w:rPr>
              <w:t>second</w:t>
            </w:r>
            <w:r w:rsidR="00725CB0">
              <w:rPr>
                <w:rFonts w:asciiTheme="majorBidi" w:hAnsiTheme="majorBidi" w:cstheme="majorBidi"/>
                <w:sz w:val="20"/>
                <w:szCs w:val="20"/>
              </w:rPr>
              <w:t xml:space="preserve"> </w:t>
            </w:r>
            <w:r w:rsidR="002945D2">
              <w:rPr>
                <w:rFonts w:asciiTheme="majorBidi" w:hAnsiTheme="majorBidi" w:cstheme="majorBidi"/>
                <w:sz w:val="20"/>
                <w:szCs w:val="20"/>
              </w:rPr>
              <w:t>quarter of 20</w:t>
            </w:r>
            <w:r w:rsidR="00725CB0">
              <w:rPr>
                <w:rFonts w:asciiTheme="majorBidi" w:hAnsiTheme="majorBidi" w:cstheme="majorBidi"/>
                <w:sz w:val="20"/>
                <w:szCs w:val="20"/>
              </w:rPr>
              <w:t>2</w:t>
            </w:r>
            <w:r w:rsidR="00995A4F">
              <w:rPr>
                <w:rFonts w:asciiTheme="majorBidi" w:hAnsiTheme="majorBidi" w:cstheme="majorBidi"/>
                <w:sz w:val="20"/>
                <w:szCs w:val="20"/>
              </w:rPr>
              <w:t>4</w:t>
            </w:r>
            <w:r w:rsidR="002945D2">
              <w:rPr>
                <w:rFonts w:asciiTheme="majorBidi" w:hAnsiTheme="majorBidi" w:cstheme="majorBidi"/>
                <w:sz w:val="20"/>
                <w:szCs w:val="20"/>
              </w:rPr>
              <w:t>. Expectations</w:t>
            </w:r>
            <w:r w:rsidR="00046EE6">
              <w:rPr>
                <w:rFonts w:asciiTheme="majorBidi" w:hAnsiTheme="majorBidi" w:cstheme="majorBidi"/>
                <w:sz w:val="20"/>
                <w:szCs w:val="20"/>
              </w:rPr>
              <w:t xml:space="preserve"> derived</w:t>
            </w:r>
            <w:r w:rsidR="002945D2">
              <w:rPr>
                <w:rFonts w:asciiTheme="majorBidi" w:hAnsiTheme="majorBidi" w:cstheme="majorBidi"/>
                <w:sz w:val="20"/>
                <w:szCs w:val="20"/>
              </w:rPr>
              <w:t xml:space="preserve"> from the capital market are b</w:t>
            </w:r>
            <w:r w:rsidR="004E71DD">
              <w:rPr>
                <w:rFonts w:asciiTheme="majorBidi" w:hAnsiTheme="majorBidi" w:cstheme="majorBidi"/>
                <w:sz w:val="20"/>
                <w:szCs w:val="20"/>
              </w:rPr>
              <w:t>a</w:t>
            </w:r>
            <w:r w:rsidR="002945D2">
              <w:rPr>
                <w:rFonts w:asciiTheme="majorBidi" w:hAnsiTheme="majorBidi" w:cstheme="majorBidi"/>
                <w:sz w:val="20"/>
                <w:szCs w:val="20"/>
              </w:rPr>
              <w:t xml:space="preserve">sed on the </w:t>
            </w:r>
            <w:proofErr w:type="spellStart"/>
            <w:r w:rsidR="00D45EF8">
              <w:rPr>
                <w:rFonts w:asciiTheme="majorBidi" w:hAnsiTheme="majorBidi" w:cstheme="majorBidi"/>
                <w:sz w:val="20"/>
                <w:szCs w:val="20"/>
              </w:rPr>
              <w:t>Telbor</w:t>
            </w:r>
            <w:proofErr w:type="spellEnd"/>
            <w:r w:rsidR="00D45EF8">
              <w:rPr>
                <w:rFonts w:asciiTheme="majorBidi" w:hAnsiTheme="majorBidi" w:cstheme="majorBidi"/>
                <w:sz w:val="20"/>
                <w:szCs w:val="20"/>
              </w:rPr>
              <w:t xml:space="preserve"> market</w:t>
            </w:r>
            <w:r w:rsidR="00DA623D">
              <w:rPr>
                <w:rFonts w:asciiTheme="majorBidi" w:hAnsiTheme="majorBidi" w:cstheme="majorBidi"/>
                <w:sz w:val="20"/>
                <w:szCs w:val="20"/>
              </w:rPr>
              <w:t xml:space="preserve"> </w:t>
            </w:r>
            <w:r w:rsidR="00324468">
              <w:rPr>
                <w:rFonts w:asciiTheme="majorBidi" w:hAnsiTheme="majorBidi" w:cstheme="majorBidi"/>
                <w:sz w:val="20"/>
                <w:szCs w:val="20"/>
              </w:rPr>
              <w:t>(</w:t>
            </w:r>
            <w:r w:rsidR="00862770">
              <w:rPr>
                <w:rFonts w:asciiTheme="majorBidi" w:hAnsiTheme="majorBidi" w:cstheme="majorBidi"/>
                <w:sz w:val="20"/>
                <w:szCs w:val="20"/>
              </w:rPr>
              <w:t xml:space="preserve">as of </w:t>
            </w:r>
            <w:r w:rsidR="005A37A5">
              <w:rPr>
                <w:rFonts w:asciiTheme="majorBidi" w:hAnsiTheme="majorBidi" w:cstheme="majorBidi"/>
                <w:sz w:val="20"/>
                <w:szCs w:val="20"/>
              </w:rPr>
              <w:t>July 6</w:t>
            </w:r>
            <w:r w:rsidR="00862770">
              <w:rPr>
                <w:rFonts w:asciiTheme="majorBidi" w:hAnsiTheme="majorBidi" w:cstheme="majorBidi"/>
                <w:sz w:val="20"/>
                <w:szCs w:val="20"/>
              </w:rPr>
              <w:t>, 202</w:t>
            </w:r>
            <w:r w:rsidR="00DA623D">
              <w:rPr>
                <w:rFonts w:asciiTheme="majorBidi" w:hAnsiTheme="majorBidi" w:cstheme="majorBidi"/>
                <w:sz w:val="20"/>
                <w:szCs w:val="20"/>
              </w:rPr>
              <w:t>3</w:t>
            </w:r>
            <w:r w:rsidR="00324468">
              <w:rPr>
                <w:rFonts w:asciiTheme="majorBidi" w:hAnsiTheme="majorBidi" w:cstheme="majorBidi"/>
                <w:sz w:val="20"/>
                <w:szCs w:val="20"/>
              </w:rPr>
              <w:t>)</w:t>
            </w:r>
            <w:r w:rsidR="002945D2">
              <w:rPr>
                <w:rFonts w:asciiTheme="majorBidi" w:hAnsiTheme="majorBidi" w:cstheme="majorBidi"/>
                <w:sz w:val="20"/>
                <w:szCs w:val="20"/>
              </w:rPr>
              <w:t>.</w:t>
            </w:r>
          </w:p>
          <w:p w14:paraId="226C171E" w14:textId="77777777" w:rsidR="00FE6484" w:rsidRPr="00B23575" w:rsidRDefault="00FE6484" w:rsidP="00FE6484">
            <w:pPr>
              <w:bidi w:val="0"/>
              <w:rPr>
                <w:rFonts w:asciiTheme="majorBidi" w:hAnsiTheme="majorBidi" w:cstheme="majorBidi"/>
                <w:sz w:val="20"/>
                <w:szCs w:val="20"/>
                <w:rtl/>
              </w:rPr>
            </w:pPr>
            <w:r>
              <w:rPr>
                <w:rFonts w:asciiTheme="majorBidi" w:hAnsiTheme="majorBidi" w:cstheme="majorBidi"/>
                <w:sz w:val="20"/>
                <w:szCs w:val="20"/>
              </w:rPr>
              <w:t>SOURCE: Bank of Israel.</w:t>
            </w:r>
          </w:p>
        </w:tc>
      </w:tr>
    </w:tbl>
    <w:p w14:paraId="7E17A595" w14:textId="77777777" w:rsidR="00D211EC" w:rsidRDefault="00D211EC" w:rsidP="009335C7">
      <w:pPr>
        <w:bidi w:val="0"/>
        <w:jc w:val="both"/>
        <w:rPr>
          <w:b/>
          <w:bCs/>
        </w:rPr>
      </w:pPr>
    </w:p>
    <w:p w14:paraId="6C383D76" w14:textId="1B516E2B" w:rsidR="00A21D01" w:rsidRDefault="00A21D01" w:rsidP="00A21D01">
      <w:pPr>
        <w:bidi w:val="0"/>
        <w:spacing w:line="300" w:lineRule="exact"/>
        <w:jc w:val="both"/>
      </w:pPr>
    </w:p>
    <w:p w14:paraId="01C20EEA" w14:textId="1788808E" w:rsidR="00A21D01" w:rsidRPr="00CD2FC5" w:rsidRDefault="006648AB" w:rsidP="00202CCB">
      <w:pPr>
        <w:numPr>
          <w:ilvl w:val="0"/>
          <w:numId w:val="9"/>
        </w:numPr>
        <w:bidi w:val="0"/>
        <w:spacing w:line="360" w:lineRule="auto"/>
        <w:ind w:left="357" w:hanging="357"/>
        <w:jc w:val="both"/>
        <w:rPr>
          <w:b/>
          <w:bCs/>
        </w:rPr>
      </w:pPr>
      <w:r>
        <w:rPr>
          <w:b/>
          <w:bCs/>
        </w:rPr>
        <w:t>Main r</w:t>
      </w:r>
      <w:r w:rsidR="00A21D01">
        <w:rPr>
          <w:b/>
          <w:bCs/>
        </w:rPr>
        <w:t xml:space="preserve">isks </w:t>
      </w:r>
      <w:r w:rsidR="00202CCB">
        <w:rPr>
          <w:b/>
          <w:bCs/>
        </w:rPr>
        <w:t xml:space="preserve">to </w:t>
      </w:r>
      <w:r w:rsidR="00A21D01">
        <w:rPr>
          <w:b/>
          <w:bCs/>
        </w:rPr>
        <w:t>the forecast</w:t>
      </w:r>
    </w:p>
    <w:p w14:paraId="3C47F3FD" w14:textId="7DB35786" w:rsidR="00FF22EB" w:rsidRDefault="00FF22EB" w:rsidP="00425B3F">
      <w:pPr>
        <w:bidi w:val="0"/>
        <w:jc w:val="both"/>
      </w:pPr>
    </w:p>
    <w:p w14:paraId="64319A9A" w14:textId="76731E17" w:rsidR="00995A4F" w:rsidRDefault="00995A4F" w:rsidP="00A8038E">
      <w:pPr>
        <w:bidi w:val="0"/>
        <w:jc w:val="both"/>
      </w:pPr>
      <w:r>
        <w:t xml:space="preserve">The revised forecast </w:t>
      </w:r>
      <w:r w:rsidR="005A37A5">
        <w:t>is based on</w:t>
      </w:r>
      <w:r>
        <w:t xml:space="preserve"> </w:t>
      </w:r>
      <w:r w:rsidR="005A37A5">
        <w:t>a</w:t>
      </w:r>
      <w:r>
        <w:t xml:space="preserve"> scenario presented in the April forecast in which developments in the political arena will not have an impact on economic activity moving forward.  </w:t>
      </w:r>
      <w:r w:rsidR="00A8038E">
        <w:t>A main risk is that</w:t>
      </w:r>
      <w:r w:rsidR="00A43FBA">
        <w:t xml:space="preserve"> legislative and institutional changes are accompanied by one or more of the following developments: an increas</w:t>
      </w:r>
      <w:r w:rsidR="00A8038E">
        <w:t>e in the country’s risk premium accompanied by a depreciation of the shekel,</w:t>
      </w:r>
      <w:r w:rsidR="00A43FBA">
        <w:t xml:space="preserve"> </w:t>
      </w:r>
      <w:r w:rsidR="00A8038E">
        <w:t>an adverse impact on</w:t>
      </w:r>
      <w:r w:rsidR="00A43FBA">
        <w:t xml:space="preserve"> exports, a decline in domestic investment, or a decline in private consumption.  The potential effects of these developments—on growth, inflation, the exchange rate, and the interest rate in the economy—are detailed in Table 3 of the April forecast.</w:t>
      </w:r>
    </w:p>
    <w:p w14:paraId="69D81D18" w14:textId="22E1030D" w:rsidR="00A43FBA" w:rsidRDefault="00A43FBA" w:rsidP="00A43FBA">
      <w:pPr>
        <w:bidi w:val="0"/>
        <w:jc w:val="both"/>
      </w:pPr>
    </w:p>
    <w:p w14:paraId="4F32DA15" w14:textId="79EB3F72" w:rsidR="00207CCA" w:rsidRDefault="00207CCA" w:rsidP="00207CCA">
      <w:pPr>
        <w:bidi w:val="0"/>
        <w:jc w:val="both"/>
      </w:pPr>
      <w:r>
        <w:t>Another risk factor to the forecast is inflation abroad, which is expected to converge to around 2 percent during the forecast period.  However, in view of the relatively slow decline in the pace of inflation in the prices of services in the US and in the eurozone, there is a risk that the pace of the convergence will be slower than our assumption in the forecast, which will contribute to higher domestic inflation and more restraining monetary policy.</w:t>
      </w:r>
    </w:p>
    <w:p w14:paraId="50EDF6F8" w14:textId="542859FD" w:rsidR="00207CCA" w:rsidRDefault="00207CCA" w:rsidP="00207CCA">
      <w:pPr>
        <w:bidi w:val="0"/>
        <w:jc w:val="both"/>
      </w:pPr>
    </w:p>
    <w:p w14:paraId="2B112D35" w14:textId="1E5B8142" w:rsidR="00207CCA" w:rsidRDefault="00207CCA" w:rsidP="00207CCA">
      <w:pPr>
        <w:bidi w:val="0"/>
        <w:jc w:val="both"/>
      </w:pPr>
      <w:r>
        <w:t>We have recently seen a decline in the volume of funds raised for investment in Israeli startup companies.  This decline is apparently stronger than the declines in investment in startups abroad, which has even recovered to some extent in contrast to investments in startups in Israel.  While the various activity indices in the Israeli high-tech industry indicate only a slight moderation following the high growth rate of 2022, continued decline in investments in startups is a risk to the growth forecast.</w:t>
      </w:r>
    </w:p>
    <w:sectPr w:rsidR="00207CCA" w:rsidSect="008009B5">
      <w:footerReference w:type="default" r:id="rId12"/>
      <w:footerReference w:type="first" r:id="rId13"/>
      <w:pgSz w:w="11906" w:h="16838"/>
      <w:pgMar w:top="1134" w:right="1416" w:bottom="1276" w:left="1418"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AF7FD" w14:textId="77777777" w:rsidR="00785144" w:rsidRDefault="00785144" w:rsidP="00AD16FC">
      <w:r>
        <w:separator/>
      </w:r>
    </w:p>
  </w:endnote>
  <w:endnote w:type="continuationSeparator" w:id="0">
    <w:p w14:paraId="5D49085B" w14:textId="77777777" w:rsidR="00785144" w:rsidRDefault="00785144" w:rsidP="00AD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BB414" w14:textId="3FAE31BD" w:rsidR="00A16ACA" w:rsidRDefault="00A16ACA" w:rsidP="00995A4F">
    <w:pPr>
      <w:pStyle w:val="a5"/>
      <w:bidi w:val="0"/>
    </w:pPr>
    <w:r>
      <w:t>Bank of Israel — Research Department Macroeconomic Staff Forecast</w:t>
    </w:r>
    <w:r w:rsidR="004A4BD6">
      <w:t xml:space="preserve">, </w:t>
    </w:r>
    <w:r w:rsidR="00995A4F">
      <w:rPr>
        <w:rFonts w:hint="cs"/>
      </w:rPr>
      <w:t>J</w:t>
    </w:r>
    <w:r w:rsidR="00995A4F">
      <w:t>uly</w:t>
    </w:r>
    <w:r w:rsidR="004A4BD6">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6B9CF" w14:textId="43020542" w:rsidR="00AE0ADC" w:rsidRDefault="00AE0ADC" w:rsidP="00E932DD">
    <w:pPr>
      <w:pStyle w:val="a5"/>
      <w:bidi w:val="0"/>
    </w:pPr>
    <w:r>
      <w:t xml:space="preserve">Bank of Israel — Research Department Macroeconomic Staff Forecast, </w:t>
    </w:r>
    <w:r w:rsidR="00E932DD">
      <w:t>April</w:t>
    </w:r>
    <w:r w:rsidR="00E96831">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9DBB1" w14:textId="77777777" w:rsidR="00785144" w:rsidRDefault="00785144" w:rsidP="00AD16FC">
      <w:r>
        <w:separator/>
      </w:r>
    </w:p>
  </w:footnote>
  <w:footnote w:type="continuationSeparator" w:id="0">
    <w:p w14:paraId="4EB1007F" w14:textId="77777777" w:rsidR="00785144" w:rsidRDefault="00785144" w:rsidP="00AD16FC">
      <w:r>
        <w:continuationSeparator/>
      </w:r>
    </w:p>
  </w:footnote>
  <w:footnote w:id="1">
    <w:p w14:paraId="141F00F8" w14:textId="43466A4E" w:rsidR="00A30AC5" w:rsidRDefault="00A30AC5" w:rsidP="00F7707F">
      <w:pPr>
        <w:pStyle w:val="aa"/>
        <w:bidi w:val="0"/>
        <w:jc w:val="both"/>
        <w:rPr>
          <w:rtl/>
        </w:rPr>
      </w:pPr>
      <w:r>
        <w:rPr>
          <w:rStyle w:val="ac"/>
        </w:rPr>
        <w:footnoteRef/>
      </w:r>
      <w:r>
        <w:rPr>
          <w:rtl/>
        </w:rPr>
        <w:t xml:space="preserve"> </w:t>
      </w:r>
      <w:r>
        <w:t xml:space="preserve"> The forecast was presented to the Bank of Israel Monetary Committee on </w:t>
      </w:r>
      <w:r w:rsidR="00F7707F">
        <w:t>July 9</w:t>
      </w:r>
      <w:r>
        <w:t xml:space="preserve">, </w:t>
      </w:r>
      <w:r w:rsidR="009733B5">
        <w:t>2023</w:t>
      </w:r>
      <w:r>
        <w:t xml:space="preserve">, prior to the decision on the interest rate made on </w:t>
      </w:r>
      <w:r w:rsidR="00F7707F">
        <w:t>July 10</w:t>
      </w:r>
      <w:r>
        <w:t xml:space="preserve">, </w:t>
      </w:r>
      <w:r w:rsidR="009733B5">
        <w:t>2023</w:t>
      </w:r>
      <w:r w:rsidR="00D81515">
        <w:t>.</w:t>
      </w:r>
    </w:p>
  </w:footnote>
  <w:footnote w:id="2">
    <w:p w14:paraId="5232C607" w14:textId="1CA7860E" w:rsidR="00F7707F" w:rsidRDefault="00F7707F" w:rsidP="00F7707F">
      <w:pPr>
        <w:pStyle w:val="aa"/>
        <w:bidi w:val="0"/>
      </w:pPr>
      <w:r>
        <w:rPr>
          <w:rStyle w:val="ac"/>
        </w:rPr>
        <w:footnoteRef/>
      </w:r>
      <w:r>
        <w:rPr>
          <w:rtl/>
        </w:rPr>
        <w:t xml:space="preserve"> </w:t>
      </w:r>
      <w:r>
        <w:t>The April 2023 forecast presented a detailed analysis based on a scenario that analyzed the potential economic implications should legislative and institutional changes be accompanied by an increase in the State’s risk premium, harm to exports, and declines in domestic investment and in demand for private consumption.  This scenario is mentioned later in this document, in the section on risks to the forecast.</w:t>
      </w:r>
    </w:p>
  </w:footnote>
  <w:footnote w:id="3">
    <w:p w14:paraId="3ED417E4" w14:textId="2F3D471B" w:rsidR="00F7707F" w:rsidRDefault="00F7707F" w:rsidP="00F7707F">
      <w:pPr>
        <w:pStyle w:val="aa"/>
        <w:bidi w:val="0"/>
      </w:pPr>
      <w:r>
        <w:rPr>
          <w:rStyle w:val="ac"/>
        </w:rPr>
        <w:footnoteRef/>
      </w:r>
      <w:r>
        <w:rPr>
          <w:rtl/>
        </w:rPr>
        <w:t xml:space="preserve"> </w:t>
      </w:r>
      <w:r>
        <w:t>The four quarters ending in the second quarter of 2024.</w:t>
      </w:r>
    </w:p>
  </w:footnote>
  <w:footnote w:id="4">
    <w:p w14:paraId="03D4F331" w14:textId="77777777" w:rsidR="004675C1" w:rsidRDefault="004675C1" w:rsidP="00F7707F">
      <w:pPr>
        <w:bidi w:val="0"/>
        <w:jc w:val="both"/>
      </w:pPr>
      <w:r w:rsidRPr="002E48F4">
        <w:rPr>
          <w:rStyle w:val="ac"/>
          <w:sz w:val="20"/>
          <w:szCs w:val="20"/>
        </w:rPr>
        <w:footnoteRef/>
      </w:r>
      <w:r>
        <w:t xml:space="preserve"> </w:t>
      </w:r>
      <w:r w:rsidRPr="00237ACD">
        <w:rPr>
          <w:sz w:val="20"/>
          <w:szCs w:val="20"/>
        </w:rPr>
        <w:t xml:space="preserve">A Discussion Paper on the </w:t>
      </w:r>
      <w:r>
        <w:rPr>
          <w:sz w:val="20"/>
          <w:szCs w:val="20"/>
        </w:rPr>
        <w:t xml:space="preserve">DSGE </w:t>
      </w:r>
      <w:r w:rsidRPr="00237ACD">
        <w:rPr>
          <w:sz w:val="20"/>
          <w:szCs w:val="20"/>
        </w:rPr>
        <w:t xml:space="preserve">model </w:t>
      </w:r>
      <w:r>
        <w:rPr>
          <w:sz w:val="20"/>
          <w:szCs w:val="20"/>
        </w:rPr>
        <w:t>is available on the Bank of Israel website, under the title: “</w:t>
      </w:r>
      <w:r w:rsidRPr="00237ACD">
        <w:rPr>
          <w:sz w:val="20"/>
          <w:szCs w:val="20"/>
        </w:rPr>
        <w:t>MOISE: A DSGE Model for the Israeli Econom</w:t>
      </w:r>
      <w:r>
        <w:rPr>
          <w:sz w:val="20"/>
          <w:szCs w:val="20"/>
        </w:rPr>
        <w:t>y,” Discussion Paper No. 2012.06</w:t>
      </w:r>
      <w:r w:rsidRPr="00237ACD">
        <w:rPr>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E2D49"/>
    <w:multiLevelType w:val="hybridMultilevel"/>
    <w:tmpl w:val="B8AEA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762CD1"/>
    <w:multiLevelType w:val="multilevel"/>
    <w:tmpl w:val="6C90399E"/>
    <w:lvl w:ilvl="0">
      <w:start w:val="1"/>
      <w:numFmt w:val="decimal"/>
      <w:pStyle w:val="4"/>
      <w:lvlText w:val="%1."/>
      <w:lvlJc w:val="left"/>
      <w:pPr>
        <w:ind w:left="720" w:hanging="360"/>
      </w:pPr>
    </w:lvl>
    <w:lvl w:ilvl="1">
      <w:start w:val="1"/>
      <w:numFmt w:val="decimal"/>
      <w:pStyle w:val="5"/>
      <w:isLgl/>
      <w:lvlText w:val="%1.%2"/>
      <w:lvlJc w:val="left"/>
      <w:pPr>
        <w:ind w:left="720" w:hanging="360"/>
      </w:pPr>
      <w:rPr>
        <w:rFonts w:hint="default"/>
      </w:rPr>
    </w:lvl>
    <w:lvl w:ilvl="2">
      <w:start w:val="1"/>
      <w:numFmt w:val="decimal"/>
      <w:pStyle w:val="6"/>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91E694E"/>
    <w:multiLevelType w:val="hybridMultilevel"/>
    <w:tmpl w:val="CFA4400A"/>
    <w:lvl w:ilvl="0" w:tplc="410611F2">
      <w:start w:val="1"/>
      <w:numFmt w:val="lowerLetter"/>
      <w:lvlText w:val="%1."/>
      <w:lvlJc w:val="left"/>
      <w:pPr>
        <w:tabs>
          <w:tab w:val="num" w:pos="363"/>
        </w:tabs>
        <w:ind w:left="363" w:hanging="360"/>
      </w:pPr>
      <w:rPr>
        <w:rFonts w:cs="Times New Roman" w:hint="default"/>
      </w:rPr>
    </w:lvl>
    <w:lvl w:ilvl="1" w:tplc="04090019" w:tentative="1">
      <w:start w:val="1"/>
      <w:numFmt w:val="lowerLetter"/>
      <w:lvlText w:val="%2."/>
      <w:lvlJc w:val="left"/>
      <w:pPr>
        <w:tabs>
          <w:tab w:val="num" w:pos="1083"/>
        </w:tabs>
        <w:ind w:left="1083" w:hanging="360"/>
      </w:pPr>
      <w:rPr>
        <w:rFonts w:cs="Times New Roman"/>
      </w:rPr>
    </w:lvl>
    <w:lvl w:ilvl="2" w:tplc="0409001B" w:tentative="1">
      <w:start w:val="1"/>
      <w:numFmt w:val="lowerRoman"/>
      <w:lvlText w:val="%3."/>
      <w:lvlJc w:val="right"/>
      <w:pPr>
        <w:tabs>
          <w:tab w:val="num" w:pos="1803"/>
        </w:tabs>
        <w:ind w:left="1803" w:hanging="180"/>
      </w:pPr>
      <w:rPr>
        <w:rFonts w:cs="Times New Roman"/>
      </w:rPr>
    </w:lvl>
    <w:lvl w:ilvl="3" w:tplc="0409000F" w:tentative="1">
      <w:start w:val="1"/>
      <w:numFmt w:val="decimal"/>
      <w:lvlText w:val="%4."/>
      <w:lvlJc w:val="left"/>
      <w:pPr>
        <w:tabs>
          <w:tab w:val="num" w:pos="2523"/>
        </w:tabs>
        <w:ind w:left="2523" w:hanging="360"/>
      </w:pPr>
      <w:rPr>
        <w:rFonts w:cs="Times New Roman"/>
      </w:rPr>
    </w:lvl>
    <w:lvl w:ilvl="4" w:tplc="04090019" w:tentative="1">
      <w:start w:val="1"/>
      <w:numFmt w:val="lowerLetter"/>
      <w:lvlText w:val="%5."/>
      <w:lvlJc w:val="left"/>
      <w:pPr>
        <w:tabs>
          <w:tab w:val="num" w:pos="3243"/>
        </w:tabs>
        <w:ind w:left="3243" w:hanging="360"/>
      </w:pPr>
      <w:rPr>
        <w:rFonts w:cs="Times New Roman"/>
      </w:rPr>
    </w:lvl>
    <w:lvl w:ilvl="5" w:tplc="0409001B" w:tentative="1">
      <w:start w:val="1"/>
      <w:numFmt w:val="lowerRoman"/>
      <w:lvlText w:val="%6."/>
      <w:lvlJc w:val="right"/>
      <w:pPr>
        <w:tabs>
          <w:tab w:val="num" w:pos="3963"/>
        </w:tabs>
        <w:ind w:left="3963" w:hanging="180"/>
      </w:pPr>
      <w:rPr>
        <w:rFonts w:cs="Times New Roman"/>
      </w:rPr>
    </w:lvl>
    <w:lvl w:ilvl="6" w:tplc="0409000F" w:tentative="1">
      <w:start w:val="1"/>
      <w:numFmt w:val="decimal"/>
      <w:lvlText w:val="%7."/>
      <w:lvlJc w:val="left"/>
      <w:pPr>
        <w:tabs>
          <w:tab w:val="num" w:pos="4683"/>
        </w:tabs>
        <w:ind w:left="4683" w:hanging="360"/>
      </w:pPr>
      <w:rPr>
        <w:rFonts w:cs="Times New Roman"/>
      </w:rPr>
    </w:lvl>
    <w:lvl w:ilvl="7" w:tplc="04090019" w:tentative="1">
      <w:start w:val="1"/>
      <w:numFmt w:val="lowerLetter"/>
      <w:lvlText w:val="%8."/>
      <w:lvlJc w:val="left"/>
      <w:pPr>
        <w:tabs>
          <w:tab w:val="num" w:pos="5403"/>
        </w:tabs>
        <w:ind w:left="5403" w:hanging="360"/>
      </w:pPr>
      <w:rPr>
        <w:rFonts w:cs="Times New Roman"/>
      </w:rPr>
    </w:lvl>
    <w:lvl w:ilvl="8" w:tplc="0409001B" w:tentative="1">
      <w:start w:val="1"/>
      <w:numFmt w:val="lowerRoman"/>
      <w:lvlText w:val="%9."/>
      <w:lvlJc w:val="right"/>
      <w:pPr>
        <w:tabs>
          <w:tab w:val="num" w:pos="6123"/>
        </w:tabs>
        <w:ind w:left="6123" w:hanging="180"/>
      </w:pPr>
      <w:rPr>
        <w:rFonts w:cs="Times New Roman"/>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D01"/>
    <w:rsid w:val="000011B9"/>
    <w:rsid w:val="0000410B"/>
    <w:rsid w:val="000062AB"/>
    <w:rsid w:val="00006C8A"/>
    <w:rsid w:val="00007CCB"/>
    <w:rsid w:val="00012A9C"/>
    <w:rsid w:val="00012DBD"/>
    <w:rsid w:val="000212CE"/>
    <w:rsid w:val="00021A8C"/>
    <w:rsid w:val="0002620A"/>
    <w:rsid w:val="000268BA"/>
    <w:rsid w:val="00030DCE"/>
    <w:rsid w:val="00036F1B"/>
    <w:rsid w:val="000379D4"/>
    <w:rsid w:val="0004160A"/>
    <w:rsid w:val="0004176B"/>
    <w:rsid w:val="00044F2F"/>
    <w:rsid w:val="00045015"/>
    <w:rsid w:val="00046EE6"/>
    <w:rsid w:val="000502B3"/>
    <w:rsid w:val="00050365"/>
    <w:rsid w:val="00060A3E"/>
    <w:rsid w:val="00060F00"/>
    <w:rsid w:val="00061D28"/>
    <w:rsid w:val="00064736"/>
    <w:rsid w:val="0006649E"/>
    <w:rsid w:val="00075533"/>
    <w:rsid w:val="00077136"/>
    <w:rsid w:val="00080851"/>
    <w:rsid w:val="000821AD"/>
    <w:rsid w:val="00083E17"/>
    <w:rsid w:val="00087BFF"/>
    <w:rsid w:val="000905F1"/>
    <w:rsid w:val="00090662"/>
    <w:rsid w:val="00090AA3"/>
    <w:rsid w:val="00091EE0"/>
    <w:rsid w:val="00094471"/>
    <w:rsid w:val="00095B99"/>
    <w:rsid w:val="00095D99"/>
    <w:rsid w:val="0009681A"/>
    <w:rsid w:val="000975CA"/>
    <w:rsid w:val="00097B7A"/>
    <w:rsid w:val="000A0CDA"/>
    <w:rsid w:val="000A3230"/>
    <w:rsid w:val="000A5761"/>
    <w:rsid w:val="000B2298"/>
    <w:rsid w:val="000B2D7E"/>
    <w:rsid w:val="000B566D"/>
    <w:rsid w:val="000C0CAD"/>
    <w:rsid w:val="000C3AA1"/>
    <w:rsid w:val="000C4899"/>
    <w:rsid w:val="000C7FAC"/>
    <w:rsid w:val="000D5367"/>
    <w:rsid w:val="000E0ABD"/>
    <w:rsid w:val="000E5247"/>
    <w:rsid w:val="000E5777"/>
    <w:rsid w:val="000E72C6"/>
    <w:rsid w:val="000F2234"/>
    <w:rsid w:val="000F3385"/>
    <w:rsid w:val="000F36F2"/>
    <w:rsid w:val="000F48F1"/>
    <w:rsid w:val="000F6AA3"/>
    <w:rsid w:val="0010114F"/>
    <w:rsid w:val="00101C11"/>
    <w:rsid w:val="001031DD"/>
    <w:rsid w:val="00110005"/>
    <w:rsid w:val="00110630"/>
    <w:rsid w:val="00110CD6"/>
    <w:rsid w:val="00113C06"/>
    <w:rsid w:val="0011502F"/>
    <w:rsid w:val="0011529C"/>
    <w:rsid w:val="001156D4"/>
    <w:rsid w:val="0011627D"/>
    <w:rsid w:val="00117D18"/>
    <w:rsid w:val="001218D4"/>
    <w:rsid w:val="001222A5"/>
    <w:rsid w:val="001222BC"/>
    <w:rsid w:val="00122462"/>
    <w:rsid w:val="00125698"/>
    <w:rsid w:val="00130360"/>
    <w:rsid w:val="00131338"/>
    <w:rsid w:val="00131A6A"/>
    <w:rsid w:val="00134B36"/>
    <w:rsid w:val="00136000"/>
    <w:rsid w:val="00136B68"/>
    <w:rsid w:val="00136F62"/>
    <w:rsid w:val="00144D12"/>
    <w:rsid w:val="00151EC6"/>
    <w:rsid w:val="00153D2D"/>
    <w:rsid w:val="0016240A"/>
    <w:rsid w:val="001626C6"/>
    <w:rsid w:val="0016380B"/>
    <w:rsid w:val="001643BB"/>
    <w:rsid w:val="001723D2"/>
    <w:rsid w:val="00172E4F"/>
    <w:rsid w:val="00176F0B"/>
    <w:rsid w:val="0018085C"/>
    <w:rsid w:val="00184744"/>
    <w:rsid w:val="001914F7"/>
    <w:rsid w:val="00191E60"/>
    <w:rsid w:val="00194094"/>
    <w:rsid w:val="001A27EF"/>
    <w:rsid w:val="001A39E4"/>
    <w:rsid w:val="001A4262"/>
    <w:rsid w:val="001A44B1"/>
    <w:rsid w:val="001A5342"/>
    <w:rsid w:val="001A794B"/>
    <w:rsid w:val="001A7A07"/>
    <w:rsid w:val="001B28EA"/>
    <w:rsid w:val="001B362F"/>
    <w:rsid w:val="001B7045"/>
    <w:rsid w:val="001B7D9D"/>
    <w:rsid w:val="001C2571"/>
    <w:rsid w:val="001C2680"/>
    <w:rsid w:val="001C3544"/>
    <w:rsid w:val="001C55F7"/>
    <w:rsid w:val="001D21D1"/>
    <w:rsid w:val="001D76F5"/>
    <w:rsid w:val="001E0DAC"/>
    <w:rsid w:val="001E1311"/>
    <w:rsid w:val="001E52BF"/>
    <w:rsid w:val="001E5C9F"/>
    <w:rsid w:val="001F2F2F"/>
    <w:rsid w:val="001F390D"/>
    <w:rsid w:val="001F57FB"/>
    <w:rsid w:val="00200E9B"/>
    <w:rsid w:val="00202CCB"/>
    <w:rsid w:val="00205E52"/>
    <w:rsid w:val="00206BD3"/>
    <w:rsid w:val="00207522"/>
    <w:rsid w:val="00207CCA"/>
    <w:rsid w:val="0021167C"/>
    <w:rsid w:val="00211EF7"/>
    <w:rsid w:val="00213E62"/>
    <w:rsid w:val="002142E4"/>
    <w:rsid w:val="00221B38"/>
    <w:rsid w:val="00225FAA"/>
    <w:rsid w:val="002260C5"/>
    <w:rsid w:val="00233A26"/>
    <w:rsid w:val="002345E4"/>
    <w:rsid w:val="00234A33"/>
    <w:rsid w:val="00235170"/>
    <w:rsid w:val="0023631B"/>
    <w:rsid w:val="002363D1"/>
    <w:rsid w:val="00236603"/>
    <w:rsid w:val="00241E66"/>
    <w:rsid w:val="0024200C"/>
    <w:rsid w:val="0024299E"/>
    <w:rsid w:val="0024454F"/>
    <w:rsid w:val="0024467B"/>
    <w:rsid w:val="002452B1"/>
    <w:rsid w:val="002461FF"/>
    <w:rsid w:val="00252B31"/>
    <w:rsid w:val="002558D9"/>
    <w:rsid w:val="00256A10"/>
    <w:rsid w:val="00256BCE"/>
    <w:rsid w:val="00257892"/>
    <w:rsid w:val="002621A5"/>
    <w:rsid w:val="00262227"/>
    <w:rsid w:val="00262C88"/>
    <w:rsid w:val="00266083"/>
    <w:rsid w:val="0026626A"/>
    <w:rsid w:val="00270252"/>
    <w:rsid w:val="00273C4C"/>
    <w:rsid w:val="00275A36"/>
    <w:rsid w:val="00282853"/>
    <w:rsid w:val="00291398"/>
    <w:rsid w:val="002945D2"/>
    <w:rsid w:val="002966D2"/>
    <w:rsid w:val="002A1839"/>
    <w:rsid w:val="002A3BC1"/>
    <w:rsid w:val="002A4261"/>
    <w:rsid w:val="002B1C60"/>
    <w:rsid w:val="002B2C54"/>
    <w:rsid w:val="002C0AF6"/>
    <w:rsid w:val="002C2B40"/>
    <w:rsid w:val="002C67C7"/>
    <w:rsid w:val="002C74F7"/>
    <w:rsid w:val="002D152A"/>
    <w:rsid w:val="002D50CF"/>
    <w:rsid w:val="002E1A22"/>
    <w:rsid w:val="002E2BE2"/>
    <w:rsid w:val="002E37F1"/>
    <w:rsid w:val="002E3EE1"/>
    <w:rsid w:val="002E5ED3"/>
    <w:rsid w:val="002E616F"/>
    <w:rsid w:val="002F0472"/>
    <w:rsid w:val="002F70E9"/>
    <w:rsid w:val="0030038B"/>
    <w:rsid w:val="00300699"/>
    <w:rsid w:val="00302E2F"/>
    <w:rsid w:val="00304398"/>
    <w:rsid w:val="00304BF1"/>
    <w:rsid w:val="003071BC"/>
    <w:rsid w:val="00307FE2"/>
    <w:rsid w:val="0031335E"/>
    <w:rsid w:val="00314260"/>
    <w:rsid w:val="00314D4E"/>
    <w:rsid w:val="00320A7D"/>
    <w:rsid w:val="00322A23"/>
    <w:rsid w:val="00323260"/>
    <w:rsid w:val="00324468"/>
    <w:rsid w:val="00326605"/>
    <w:rsid w:val="00326B5C"/>
    <w:rsid w:val="00327BB0"/>
    <w:rsid w:val="00333B0C"/>
    <w:rsid w:val="003366FD"/>
    <w:rsid w:val="003379D1"/>
    <w:rsid w:val="003415C9"/>
    <w:rsid w:val="0034489A"/>
    <w:rsid w:val="00353C9A"/>
    <w:rsid w:val="00363628"/>
    <w:rsid w:val="003638DE"/>
    <w:rsid w:val="0036663A"/>
    <w:rsid w:val="00371244"/>
    <w:rsid w:val="003723AE"/>
    <w:rsid w:val="00374016"/>
    <w:rsid w:val="0037682D"/>
    <w:rsid w:val="00382474"/>
    <w:rsid w:val="0038300A"/>
    <w:rsid w:val="00391040"/>
    <w:rsid w:val="003936A5"/>
    <w:rsid w:val="00395ECA"/>
    <w:rsid w:val="003979D7"/>
    <w:rsid w:val="003A16A5"/>
    <w:rsid w:val="003A2BCF"/>
    <w:rsid w:val="003A6075"/>
    <w:rsid w:val="003A6415"/>
    <w:rsid w:val="003B0F6C"/>
    <w:rsid w:val="003B1806"/>
    <w:rsid w:val="003B4955"/>
    <w:rsid w:val="003B5BA1"/>
    <w:rsid w:val="003B6E09"/>
    <w:rsid w:val="003C02C4"/>
    <w:rsid w:val="003C3A13"/>
    <w:rsid w:val="003C3A73"/>
    <w:rsid w:val="003C51B3"/>
    <w:rsid w:val="003C5F5C"/>
    <w:rsid w:val="003C7BEB"/>
    <w:rsid w:val="003C7C25"/>
    <w:rsid w:val="003D3BC1"/>
    <w:rsid w:val="003D3C91"/>
    <w:rsid w:val="003D41B1"/>
    <w:rsid w:val="003D71BE"/>
    <w:rsid w:val="003E08B6"/>
    <w:rsid w:val="003E266A"/>
    <w:rsid w:val="003E5DCB"/>
    <w:rsid w:val="003F0CAA"/>
    <w:rsid w:val="003F1F24"/>
    <w:rsid w:val="003F33D5"/>
    <w:rsid w:val="003F40AA"/>
    <w:rsid w:val="003F5174"/>
    <w:rsid w:val="00404ACD"/>
    <w:rsid w:val="00407E88"/>
    <w:rsid w:val="00410736"/>
    <w:rsid w:val="00413594"/>
    <w:rsid w:val="00422170"/>
    <w:rsid w:val="0042257A"/>
    <w:rsid w:val="00422A8D"/>
    <w:rsid w:val="00423EEF"/>
    <w:rsid w:val="004246B5"/>
    <w:rsid w:val="004247E4"/>
    <w:rsid w:val="00425B3F"/>
    <w:rsid w:val="00425D38"/>
    <w:rsid w:val="00431AC5"/>
    <w:rsid w:val="00432907"/>
    <w:rsid w:val="00432F14"/>
    <w:rsid w:val="00434CA0"/>
    <w:rsid w:val="00435505"/>
    <w:rsid w:val="00435DE5"/>
    <w:rsid w:val="00436407"/>
    <w:rsid w:val="00442670"/>
    <w:rsid w:val="0044397B"/>
    <w:rsid w:val="00446B32"/>
    <w:rsid w:val="004501E8"/>
    <w:rsid w:val="00452B89"/>
    <w:rsid w:val="00453D2B"/>
    <w:rsid w:val="00454090"/>
    <w:rsid w:val="004548EA"/>
    <w:rsid w:val="00456CAD"/>
    <w:rsid w:val="00460495"/>
    <w:rsid w:val="004634B5"/>
    <w:rsid w:val="00463684"/>
    <w:rsid w:val="004654C3"/>
    <w:rsid w:val="0046610D"/>
    <w:rsid w:val="00466491"/>
    <w:rsid w:val="00466E45"/>
    <w:rsid w:val="00467167"/>
    <w:rsid w:val="004675C1"/>
    <w:rsid w:val="004706AE"/>
    <w:rsid w:val="00470DAC"/>
    <w:rsid w:val="00472053"/>
    <w:rsid w:val="0047600F"/>
    <w:rsid w:val="00477EF7"/>
    <w:rsid w:val="0048096C"/>
    <w:rsid w:val="00480B23"/>
    <w:rsid w:val="004850D5"/>
    <w:rsid w:val="00487712"/>
    <w:rsid w:val="004902DA"/>
    <w:rsid w:val="00490AF3"/>
    <w:rsid w:val="0049210C"/>
    <w:rsid w:val="0049358B"/>
    <w:rsid w:val="00496D92"/>
    <w:rsid w:val="004975C8"/>
    <w:rsid w:val="004A0284"/>
    <w:rsid w:val="004A0C32"/>
    <w:rsid w:val="004A4413"/>
    <w:rsid w:val="004A4BD6"/>
    <w:rsid w:val="004A6595"/>
    <w:rsid w:val="004B16A2"/>
    <w:rsid w:val="004B178F"/>
    <w:rsid w:val="004B3835"/>
    <w:rsid w:val="004B39F5"/>
    <w:rsid w:val="004B415E"/>
    <w:rsid w:val="004B687A"/>
    <w:rsid w:val="004C06F2"/>
    <w:rsid w:val="004C2B26"/>
    <w:rsid w:val="004C64DB"/>
    <w:rsid w:val="004C6D8F"/>
    <w:rsid w:val="004C77DF"/>
    <w:rsid w:val="004D3688"/>
    <w:rsid w:val="004D5A93"/>
    <w:rsid w:val="004E0BC8"/>
    <w:rsid w:val="004E1A6E"/>
    <w:rsid w:val="004E439A"/>
    <w:rsid w:val="004E4EDE"/>
    <w:rsid w:val="004E71DD"/>
    <w:rsid w:val="004F5B5B"/>
    <w:rsid w:val="004F6E9A"/>
    <w:rsid w:val="004F6FA6"/>
    <w:rsid w:val="004F745B"/>
    <w:rsid w:val="004F764E"/>
    <w:rsid w:val="00500C71"/>
    <w:rsid w:val="00501059"/>
    <w:rsid w:val="00502A88"/>
    <w:rsid w:val="005079F6"/>
    <w:rsid w:val="00511532"/>
    <w:rsid w:val="005138D9"/>
    <w:rsid w:val="00513EBA"/>
    <w:rsid w:val="005145B3"/>
    <w:rsid w:val="00514812"/>
    <w:rsid w:val="00522485"/>
    <w:rsid w:val="005259C8"/>
    <w:rsid w:val="00526A3D"/>
    <w:rsid w:val="00527802"/>
    <w:rsid w:val="00530763"/>
    <w:rsid w:val="00532260"/>
    <w:rsid w:val="005338C6"/>
    <w:rsid w:val="005353CA"/>
    <w:rsid w:val="005371B8"/>
    <w:rsid w:val="00537D44"/>
    <w:rsid w:val="00541457"/>
    <w:rsid w:val="00541F01"/>
    <w:rsid w:val="005430AC"/>
    <w:rsid w:val="005462CC"/>
    <w:rsid w:val="00550DB9"/>
    <w:rsid w:val="00553BFE"/>
    <w:rsid w:val="005608BA"/>
    <w:rsid w:val="005650EE"/>
    <w:rsid w:val="00566CFA"/>
    <w:rsid w:val="00567BBF"/>
    <w:rsid w:val="00567BD9"/>
    <w:rsid w:val="00571311"/>
    <w:rsid w:val="005715D5"/>
    <w:rsid w:val="005746E6"/>
    <w:rsid w:val="0057714E"/>
    <w:rsid w:val="005778CC"/>
    <w:rsid w:val="00580B69"/>
    <w:rsid w:val="00586880"/>
    <w:rsid w:val="00591B6F"/>
    <w:rsid w:val="0059526F"/>
    <w:rsid w:val="0059707C"/>
    <w:rsid w:val="005A37A5"/>
    <w:rsid w:val="005A3805"/>
    <w:rsid w:val="005A4028"/>
    <w:rsid w:val="005A6809"/>
    <w:rsid w:val="005A7EDF"/>
    <w:rsid w:val="005B2620"/>
    <w:rsid w:val="005B6C8C"/>
    <w:rsid w:val="005C2BD4"/>
    <w:rsid w:val="005C4E0D"/>
    <w:rsid w:val="005C5507"/>
    <w:rsid w:val="005C636E"/>
    <w:rsid w:val="005C7192"/>
    <w:rsid w:val="005C76FE"/>
    <w:rsid w:val="005D38C9"/>
    <w:rsid w:val="005D5BC7"/>
    <w:rsid w:val="005D6EBF"/>
    <w:rsid w:val="005D773A"/>
    <w:rsid w:val="005D7D3B"/>
    <w:rsid w:val="005E0237"/>
    <w:rsid w:val="005E18E9"/>
    <w:rsid w:val="005E6AD1"/>
    <w:rsid w:val="005F2B24"/>
    <w:rsid w:val="005F6371"/>
    <w:rsid w:val="005F638E"/>
    <w:rsid w:val="005F6830"/>
    <w:rsid w:val="006001D0"/>
    <w:rsid w:val="0060705B"/>
    <w:rsid w:val="006100B7"/>
    <w:rsid w:val="0061045E"/>
    <w:rsid w:val="00611D9B"/>
    <w:rsid w:val="006120B8"/>
    <w:rsid w:val="00614BA6"/>
    <w:rsid w:val="00621127"/>
    <w:rsid w:val="006220D7"/>
    <w:rsid w:val="006264EC"/>
    <w:rsid w:val="00631795"/>
    <w:rsid w:val="00632EEB"/>
    <w:rsid w:val="00637B9C"/>
    <w:rsid w:val="006418B2"/>
    <w:rsid w:val="00641EA5"/>
    <w:rsid w:val="006476B5"/>
    <w:rsid w:val="00651E7C"/>
    <w:rsid w:val="0065321D"/>
    <w:rsid w:val="00653705"/>
    <w:rsid w:val="00654B16"/>
    <w:rsid w:val="00655AFC"/>
    <w:rsid w:val="0065681F"/>
    <w:rsid w:val="00657FD2"/>
    <w:rsid w:val="0066009C"/>
    <w:rsid w:val="00663523"/>
    <w:rsid w:val="00664763"/>
    <w:rsid w:val="006648AB"/>
    <w:rsid w:val="00667BE4"/>
    <w:rsid w:val="00670CEE"/>
    <w:rsid w:val="00672A9F"/>
    <w:rsid w:val="00675998"/>
    <w:rsid w:val="00677FE0"/>
    <w:rsid w:val="00680EDD"/>
    <w:rsid w:val="0068229E"/>
    <w:rsid w:val="00682563"/>
    <w:rsid w:val="00686EBE"/>
    <w:rsid w:val="00690F17"/>
    <w:rsid w:val="0069716E"/>
    <w:rsid w:val="00697916"/>
    <w:rsid w:val="006979F4"/>
    <w:rsid w:val="006A1A74"/>
    <w:rsid w:val="006A647D"/>
    <w:rsid w:val="006A71E3"/>
    <w:rsid w:val="006A7E98"/>
    <w:rsid w:val="006B2670"/>
    <w:rsid w:val="006B2EE9"/>
    <w:rsid w:val="006B64B8"/>
    <w:rsid w:val="006C03C8"/>
    <w:rsid w:val="006C0D25"/>
    <w:rsid w:val="006C2D83"/>
    <w:rsid w:val="006C48FC"/>
    <w:rsid w:val="006C6293"/>
    <w:rsid w:val="006D7526"/>
    <w:rsid w:val="006D7BD2"/>
    <w:rsid w:val="006E0D2E"/>
    <w:rsid w:val="006E2552"/>
    <w:rsid w:val="006E6A4A"/>
    <w:rsid w:val="006F0F8C"/>
    <w:rsid w:val="006F28D8"/>
    <w:rsid w:val="006F3960"/>
    <w:rsid w:val="006F3A76"/>
    <w:rsid w:val="006F513A"/>
    <w:rsid w:val="00700196"/>
    <w:rsid w:val="007002DD"/>
    <w:rsid w:val="00705A5F"/>
    <w:rsid w:val="00705C0E"/>
    <w:rsid w:val="007065E7"/>
    <w:rsid w:val="00715AB2"/>
    <w:rsid w:val="00716661"/>
    <w:rsid w:val="00717133"/>
    <w:rsid w:val="007179F2"/>
    <w:rsid w:val="00725CB0"/>
    <w:rsid w:val="00732673"/>
    <w:rsid w:val="00733360"/>
    <w:rsid w:val="00734E01"/>
    <w:rsid w:val="00735B53"/>
    <w:rsid w:val="00736708"/>
    <w:rsid w:val="00736C6C"/>
    <w:rsid w:val="00740773"/>
    <w:rsid w:val="00746090"/>
    <w:rsid w:val="00756CD9"/>
    <w:rsid w:val="00762E0A"/>
    <w:rsid w:val="00763872"/>
    <w:rsid w:val="007638FC"/>
    <w:rsid w:val="00763946"/>
    <w:rsid w:val="00763FAB"/>
    <w:rsid w:val="007669FC"/>
    <w:rsid w:val="00766FCF"/>
    <w:rsid w:val="007674CC"/>
    <w:rsid w:val="00767CA2"/>
    <w:rsid w:val="0077284B"/>
    <w:rsid w:val="00777384"/>
    <w:rsid w:val="00785144"/>
    <w:rsid w:val="007864A7"/>
    <w:rsid w:val="007871AC"/>
    <w:rsid w:val="00787523"/>
    <w:rsid w:val="00790C99"/>
    <w:rsid w:val="007953DF"/>
    <w:rsid w:val="007A3D38"/>
    <w:rsid w:val="007A4B17"/>
    <w:rsid w:val="007A782B"/>
    <w:rsid w:val="007B3087"/>
    <w:rsid w:val="007B40F4"/>
    <w:rsid w:val="007B4AFB"/>
    <w:rsid w:val="007B7F32"/>
    <w:rsid w:val="007C0339"/>
    <w:rsid w:val="007C4EFD"/>
    <w:rsid w:val="007D04C3"/>
    <w:rsid w:val="007D063F"/>
    <w:rsid w:val="007D1DF5"/>
    <w:rsid w:val="007D4F49"/>
    <w:rsid w:val="007D509C"/>
    <w:rsid w:val="007D70EA"/>
    <w:rsid w:val="007E0AB6"/>
    <w:rsid w:val="007E443D"/>
    <w:rsid w:val="007E523C"/>
    <w:rsid w:val="007F2871"/>
    <w:rsid w:val="007F3C4C"/>
    <w:rsid w:val="008009B5"/>
    <w:rsid w:val="00802B46"/>
    <w:rsid w:val="00803944"/>
    <w:rsid w:val="00804864"/>
    <w:rsid w:val="008065C4"/>
    <w:rsid w:val="00813118"/>
    <w:rsid w:val="0081390B"/>
    <w:rsid w:val="00814623"/>
    <w:rsid w:val="00814E81"/>
    <w:rsid w:val="0081703A"/>
    <w:rsid w:val="0082256B"/>
    <w:rsid w:val="00823618"/>
    <w:rsid w:val="00826421"/>
    <w:rsid w:val="008277E1"/>
    <w:rsid w:val="008305AA"/>
    <w:rsid w:val="00832B9D"/>
    <w:rsid w:val="00833768"/>
    <w:rsid w:val="00834D8E"/>
    <w:rsid w:val="00834DA7"/>
    <w:rsid w:val="00835712"/>
    <w:rsid w:val="00836E60"/>
    <w:rsid w:val="00840221"/>
    <w:rsid w:val="0084185E"/>
    <w:rsid w:val="00844652"/>
    <w:rsid w:val="0084562F"/>
    <w:rsid w:val="00845C66"/>
    <w:rsid w:val="008512DE"/>
    <w:rsid w:val="0085644E"/>
    <w:rsid w:val="00860246"/>
    <w:rsid w:val="00860679"/>
    <w:rsid w:val="00861F13"/>
    <w:rsid w:val="00862770"/>
    <w:rsid w:val="0086369E"/>
    <w:rsid w:val="00863B19"/>
    <w:rsid w:val="00864D44"/>
    <w:rsid w:val="0086708B"/>
    <w:rsid w:val="00870412"/>
    <w:rsid w:val="00870695"/>
    <w:rsid w:val="008707BC"/>
    <w:rsid w:val="0087184F"/>
    <w:rsid w:val="00871E07"/>
    <w:rsid w:val="00871E54"/>
    <w:rsid w:val="00876B2F"/>
    <w:rsid w:val="008823BA"/>
    <w:rsid w:val="00883D6F"/>
    <w:rsid w:val="00886302"/>
    <w:rsid w:val="00890A34"/>
    <w:rsid w:val="00891991"/>
    <w:rsid w:val="00891E50"/>
    <w:rsid w:val="00892A41"/>
    <w:rsid w:val="0089451E"/>
    <w:rsid w:val="008954B2"/>
    <w:rsid w:val="00896FC1"/>
    <w:rsid w:val="0089777D"/>
    <w:rsid w:val="008A08E9"/>
    <w:rsid w:val="008A0E53"/>
    <w:rsid w:val="008A3EE2"/>
    <w:rsid w:val="008B34A2"/>
    <w:rsid w:val="008B48AF"/>
    <w:rsid w:val="008B6821"/>
    <w:rsid w:val="008B6A6E"/>
    <w:rsid w:val="008C1D94"/>
    <w:rsid w:val="008C5D59"/>
    <w:rsid w:val="008C5F5F"/>
    <w:rsid w:val="008C68E4"/>
    <w:rsid w:val="008C7898"/>
    <w:rsid w:val="008D3638"/>
    <w:rsid w:val="008D65F1"/>
    <w:rsid w:val="008D6A2E"/>
    <w:rsid w:val="008E00AA"/>
    <w:rsid w:val="008E27BC"/>
    <w:rsid w:val="008E5126"/>
    <w:rsid w:val="008E6FFD"/>
    <w:rsid w:val="008F2323"/>
    <w:rsid w:val="008F34C7"/>
    <w:rsid w:val="008F5935"/>
    <w:rsid w:val="008F5DD7"/>
    <w:rsid w:val="00900D37"/>
    <w:rsid w:val="00905330"/>
    <w:rsid w:val="009120C7"/>
    <w:rsid w:val="00912F53"/>
    <w:rsid w:val="0091354C"/>
    <w:rsid w:val="00914404"/>
    <w:rsid w:val="00915695"/>
    <w:rsid w:val="00921594"/>
    <w:rsid w:val="00922843"/>
    <w:rsid w:val="00924F7B"/>
    <w:rsid w:val="00931604"/>
    <w:rsid w:val="009335C7"/>
    <w:rsid w:val="009336FC"/>
    <w:rsid w:val="00937DAA"/>
    <w:rsid w:val="00942F47"/>
    <w:rsid w:val="00944B53"/>
    <w:rsid w:val="00947E8A"/>
    <w:rsid w:val="009523E0"/>
    <w:rsid w:val="009532A5"/>
    <w:rsid w:val="009561DE"/>
    <w:rsid w:val="00957029"/>
    <w:rsid w:val="009571F6"/>
    <w:rsid w:val="009638C2"/>
    <w:rsid w:val="00964BF9"/>
    <w:rsid w:val="00966BA2"/>
    <w:rsid w:val="00966BA9"/>
    <w:rsid w:val="00970D63"/>
    <w:rsid w:val="009733B5"/>
    <w:rsid w:val="00974091"/>
    <w:rsid w:val="0097503F"/>
    <w:rsid w:val="009816FB"/>
    <w:rsid w:val="00982F32"/>
    <w:rsid w:val="00986A17"/>
    <w:rsid w:val="00987A72"/>
    <w:rsid w:val="00987DC0"/>
    <w:rsid w:val="00990177"/>
    <w:rsid w:val="00995148"/>
    <w:rsid w:val="00995A4F"/>
    <w:rsid w:val="00995EB0"/>
    <w:rsid w:val="00996AA8"/>
    <w:rsid w:val="009A24EF"/>
    <w:rsid w:val="009A5B34"/>
    <w:rsid w:val="009A6F35"/>
    <w:rsid w:val="009A7496"/>
    <w:rsid w:val="009B2FDE"/>
    <w:rsid w:val="009B66F6"/>
    <w:rsid w:val="009B6B0B"/>
    <w:rsid w:val="009C23BF"/>
    <w:rsid w:val="009C52DE"/>
    <w:rsid w:val="009C5388"/>
    <w:rsid w:val="009C6E29"/>
    <w:rsid w:val="009C7987"/>
    <w:rsid w:val="009D0346"/>
    <w:rsid w:val="009D0EE8"/>
    <w:rsid w:val="009D18E9"/>
    <w:rsid w:val="009D204E"/>
    <w:rsid w:val="009D3DC3"/>
    <w:rsid w:val="009D7FDA"/>
    <w:rsid w:val="009E0E54"/>
    <w:rsid w:val="009E1313"/>
    <w:rsid w:val="009E1656"/>
    <w:rsid w:val="009E3036"/>
    <w:rsid w:val="009E690A"/>
    <w:rsid w:val="009E7E21"/>
    <w:rsid w:val="009F0CCE"/>
    <w:rsid w:val="009F17F3"/>
    <w:rsid w:val="009F1F95"/>
    <w:rsid w:val="009F20C5"/>
    <w:rsid w:val="009F20F0"/>
    <w:rsid w:val="009F4404"/>
    <w:rsid w:val="009F6812"/>
    <w:rsid w:val="009F6F89"/>
    <w:rsid w:val="009F7322"/>
    <w:rsid w:val="009F7CC0"/>
    <w:rsid w:val="00A0124F"/>
    <w:rsid w:val="00A02BD8"/>
    <w:rsid w:val="00A034A0"/>
    <w:rsid w:val="00A04ADE"/>
    <w:rsid w:val="00A05E9D"/>
    <w:rsid w:val="00A10196"/>
    <w:rsid w:val="00A11C88"/>
    <w:rsid w:val="00A1285C"/>
    <w:rsid w:val="00A12CDD"/>
    <w:rsid w:val="00A168E3"/>
    <w:rsid w:val="00A16ACA"/>
    <w:rsid w:val="00A21D01"/>
    <w:rsid w:val="00A22607"/>
    <w:rsid w:val="00A22DC8"/>
    <w:rsid w:val="00A23F35"/>
    <w:rsid w:val="00A259DD"/>
    <w:rsid w:val="00A2696D"/>
    <w:rsid w:val="00A30AC5"/>
    <w:rsid w:val="00A31317"/>
    <w:rsid w:val="00A3378A"/>
    <w:rsid w:val="00A346A5"/>
    <w:rsid w:val="00A379B9"/>
    <w:rsid w:val="00A43FBA"/>
    <w:rsid w:val="00A43FFF"/>
    <w:rsid w:val="00A47365"/>
    <w:rsid w:val="00A50C95"/>
    <w:rsid w:val="00A51500"/>
    <w:rsid w:val="00A51FEB"/>
    <w:rsid w:val="00A53FEA"/>
    <w:rsid w:val="00A602A3"/>
    <w:rsid w:val="00A61B99"/>
    <w:rsid w:val="00A651A5"/>
    <w:rsid w:val="00A65273"/>
    <w:rsid w:val="00A669EF"/>
    <w:rsid w:val="00A7026F"/>
    <w:rsid w:val="00A73E62"/>
    <w:rsid w:val="00A749D0"/>
    <w:rsid w:val="00A756DD"/>
    <w:rsid w:val="00A77F12"/>
    <w:rsid w:val="00A8038E"/>
    <w:rsid w:val="00A80A37"/>
    <w:rsid w:val="00A81DEF"/>
    <w:rsid w:val="00A82108"/>
    <w:rsid w:val="00A834AE"/>
    <w:rsid w:val="00A83C38"/>
    <w:rsid w:val="00A83E54"/>
    <w:rsid w:val="00A872A7"/>
    <w:rsid w:val="00A9061B"/>
    <w:rsid w:val="00A9134F"/>
    <w:rsid w:val="00A93C19"/>
    <w:rsid w:val="00A9470A"/>
    <w:rsid w:val="00A94ED2"/>
    <w:rsid w:val="00A954C5"/>
    <w:rsid w:val="00A962EB"/>
    <w:rsid w:val="00A9787B"/>
    <w:rsid w:val="00AA01B7"/>
    <w:rsid w:val="00AA34D9"/>
    <w:rsid w:val="00AA5B2F"/>
    <w:rsid w:val="00AA6475"/>
    <w:rsid w:val="00AB183B"/>
    <w:rsid w:val="00AB32FD"/>
    <w:rsid w:val="00AB4B8C"/>
    <w:rsid w:val="00AB4FC8"/>
    <w:rsid w:val="00AB5DE3"/>
    <w:rsid w:val="00AB6192"/>
    <w:rsid w:val="00AB635D"/>
    <w:rsid w:val="00AB7494"/>
    <w:rsid w:val="00AC3AB9"/>
    <w:rsid w:val="00AC4199"/>
    <w:rsid w:val="00AD16FC"/>
    <w:rsid w:val="00AD1EB9"/>
    <w:rsid w:val="00AD21E2"/>
    <w:rsid w:val="00AD2662"/>
    <w:rsid w:val="00AD2C7B"/>
    <w:rsid w:val="00AD3BF0"/>
    <w:rsid w:val="00AD43AF"/>
    <w:rsid w:val="00AD4C9B"/>
    <w:rsid w:val="00AD5C82"/>
    <w:rsid w:val="00AE0ADC"/>
    <w:rsid w:val="00AE186F"/>
    <w:rsid w:val="00AE4B42"/>
    <w:rsid w:val="00AE552C"/>
    <w:rsid w:val="00AF4517"/>
    <w:rsid w:val="00B1173D"/>
    <w:rsid w:val="00B12495"/>
    <w:rsid w:val="00B13C35"/>
    <w:rsid w:val="00B22B39"/>
    <w:rsid w:val="00B2349C"/>
    <w:rsid w:val="00B32D05"/>
    <w:rsid w:val="00B3457B"/>
    <w:rsid w:val="00B34D7A"/>
    <w:rsid w:val="00B37CA4"/>
    <w:rsid w:val="00B42DBC"/>
    <w:rsid w:val="00B432BB"/>
    <w:rsid w:val="00B44B19"/>
    <w:rsid w:val="00B45809"/>
    <w:rsid w:val="00B509C5"/>
    <w:rsid w:val="00B50BA7"/>
    <w:rsid w:val="00B525A8"/>
    <w:rsid w:val="00B540ED"/>
    <w:rsid w:val="00B555ED"/>
    <w:rsid w:val="00B61879"/>
    <w:rsid w:val="00B64E48"/>
    <w:rsid w:val="00B70EB0"/>
    <w:rsid w:val="00B766FF"/>
    <w:rsid w:val="00B76C3E"/>
    <w:rsid w:val="00B806EB"/>
    <w:rsid w:val="00B8089B"/>
    <w:rsid w:val="00B82756"/>
    <w:rsid w:val="00B836CA"/>
    <w:rsid w:val="00B904FF"/>
    <w:rsid w:val="00B9210D"/>
    <w:rsid w:val="00B94616"/>
    <w:rsid w:val="00B95044"/>
    <w:rsid w:val="00B95850"/>
    <w:rsid w:val="00B95DCF"/>
    <w:rsid w:val="00B97AB5"/>
    <w:rsid w:val="00B97C6C"/>
    <w:rsid w:val="00BA041B"/>
    <w:rsid w:val="00BA2F5F"/>
    <w:rsid w:val="00BA4EBD"/>
    <w:rsid w:val="00BA6033"/>
    <w:rsid w:val="00BA6DB4"/>
    <w:rsid w:val="00BB6223"/>
    <w:rsid w:val="00BB64BE"/>
    <w:rsid w:val="00BB6822"/>
    <w:rsid w:val="00BC385E"/>
    <w:rsid w:val="00BC423A"/>
    <w:rsid w:val="00BC65EF"/>
    <w:rsid w:val="00BD0469"/>
    <w:rsid w:val="00BD084F"/>
    <w:rsid w:val="00BD179B"/>
    <w:rsid w:val="00BD2F5F"/>
    <w:rsid w:val="00BD37A9"/>
    <w:rsid w:val="00BD45C6"/>
    <w:rsid w:val="00BD4CA3"/>
    <w:rsid w:val="00BD5A5E"/>
    <w:rsid w:val="00BD7343"/>
    <w:rsid w:val="00BD77E6"/>
    <w:rsid w:val="00BE2C29"/>
    <w:rsid w:val="00BE556B"/>
    <w:rsid w:val="00BE6943"/>
    <w:rsid w:val="00BE6CF7"/>
    <w:rsid w:val="00BE7467"/>
    <w:rsid w:val="00BE7EE2"/>
    <w:rsid w:val="00BF0E02"/>
    <w:rsid w:val="00BF22DC"/>
    <w:rsid w:val="00BF2375"/>
    <w:rsid w:val="00C018C7"/>
    <w:rsid w:val="00C031F8"/>
    <w:rsid w:val="00C1167E"/>
    <w:rsid w:val="00C1349C"/>
    <w:rsid w:val="00C16253"/>
    <w:rsid w:val="00C21DB7"/>
    <w:rsid w:val="00C22025"/>
    <w:rsid w:val="00C231D1"/>
    <w:rsid w:val="00C25E14"/>
    <w:rsid w:val="00C27023"/>
    <w:rsid w:val="00C27C5C"/>
    <w:rsid w:val="00C31FC1"/>
    <w:rsid w:val="00C3415C"/>
    <w:rsid w:val="00C34927"/>
    <w:rsid w:val="00C378E2"/>
    <w:rsid w:val="00C401A1"/>
    <w:rsid w:val="00C40235"/>
    <w:rsid w:val="00C40927"/>
    <w:rsid w:val="00C4235A"/>
    <w:rsid w:val="00C44809"/>
    <w:rsid w:val="00C45D20"/>
    <w:rsid w:val="00C45ED5"/>
    <w:rsid w:val="00C476C4"/>
    <w:rsid w:val="00C518BB"/>
    <w:rsid w:val="00C51B50"/>
    <w:rsid w:val="00C53EF6"/>
    <w:rsid w:val="00C54F8B"/>
    <w:rsid w:val="00C55EB9"/>
    <w:rsid w:val="00C621BD"/>
    <w:rsid w:val="00C623CE"/>
    <w:rsid w:val="00C62493"/>
    <w:rsid w:val="00C62C76"/>
    <w:rsid w:val="00C6598F"/>
    <w:rsid w:val="00C65E19"/>
    <w:rsid w:val="00C66D60"/>
    <w:rsid w:val="00C67AB5"/>
    <w:rsid w:val="00C71567"/>
    <w:rsid w:val="00C74AEF"/>
    <w:rsid w:val="00C74FB1"/>
    <w:rsid w:val="00C769B1"/>
    <w:rsid w:val="00C8362F"/>
    <w:rsid w:val="00C8590C"/>
    <w:rsid w:val="00C87351"/>
    <w:rsid w:val="00C90721"/>
    <w:rsid w:val="00C91931"/>
    <w:rsid w:val="00C92943"/>
    <w:rsid w:val="00C953AC"/>
    <w:rsid w:val="00C95533"/>
    <w:rsid w:val="00CA6D37"/>
    <w:rsid w:val="00CA735B"/>
    <w:rsid w:val="00CA7733"/>
    <w:rsid w:val="00CA7CFC"/>
    <w:rsid w:val="00CB0155"/>
    <w:rsid w:val="00CB178B"/>
    <w:rsid w:val="00CB1B47"/>
    <w:rsid w:val="00CB43C6"/>
    <w:rsid w:val="00CB6585"/>
    <w:rsid w:val="00CB7971"/>
    <w:rsid w:val="00CC3BC3"/>
    <w:rsid w:val="00CC5455"/>
    <w:rsid w:val="00CC6CDD"/>
    <w:rsid w:val="00CD22BB"/>
    <w:rsid w:val="00CD369F"/>
    <w:rsid w:val="00CD57F7"/>
    <w:rsid w:val="00CD77F0"/>
    <w:rsid w:val="00CD79C1"/>
    <w:rsid w:val="00CD7F8B"/>
    <w:rsid w:val="00CE7F17"/>
    <w:rsid w:val="00CF1CDA"/>
    <w:rsid w:val="00CF38A0"/>
    <w:rsid w:val="00CF7D39"/>
    <w:rsid w:val="00D061FC"/>
    <w:rsid w:val="00D06D1C"/>
    <w:rsid w:val="00D103A1"/>
    <w:rsid w:val="00D17CE0"/>
    <w:rsid w:val="00D211EC"/>
    <w:rsid w:val="00D22293"/>
    <w:rsid w:val="00D261C7"/>
    <w:rsid w:val="00D31E77"/>
    <w:rsid w:val="00D32664"/>
    <w:rsid w:val="00D334F9"/>
    <w:rsid w:val="00D367DC"/>
    <w:rsid w:val="00D37267"/>
    <w:rsid w:val="00D376AF"/>
    <w:rsid w:val="00D40032"/>
    <w:rsid w:val="00D413D3"/>
    <w:rsid w:val="00D44004"/>
    <w:rsid w:val="00D44EA6"/>
    <w:rsid w:val="00D45EF8"/>
    <w:rsid w:val="00D45F40"/>
    <w:rsid w:val="00D47D4A"/>
    <w:rsid w:val="00D514B3"/>
    <w:rsid w:val="00D5175F"/>
    <w:rsid w:val="00D51ADF"/>
    <w:rsid w:val="00D52059"/>
    <w:rsid w:val="00D62B59"/>
    <w:rsid w:val="00D6443A"/>
    <w:rsid w:val="00D66FAE"/>
    <w:rsid w:val="00D67632"/>
    <w:rsid w:val="00D7044B"/>
    <w:rsid w:val="00D72547"/>
    <w:rsid w:val="00D74481"/>
    <w:rsid w:val="00D7448E"/>
    <w:rsid w:val="00D747B2"/>
    <w:rsid w:val="00D75696"/>
    <w:rsid w:val="00D75E63"/>
    <w:rsid w:val="00D7728C"/>
    <w:rsid w:val="00D809BE"/>
    <w:rsid w:val="00D81515"/>
    <w:rsid w:val="00D860B7"/>
    <w:rsid w:val="00D914FA"/>
    <w:rsid w:val="00D91D85"/>
    <w:rsid w:val="00D96A40"/>
    <w:rsid w:val="00DA0788"/>
    <w:rsid w:val="00DA1966"/>
    <w:rsid w:val="00DA4590"/>
    <w:rsid w:val="00DA623D"/>
    <w:rsid w:val="00DB4C53"/>
    <w:rsid w:val="00DC15F5"/>
    <w:rsid w:val="00DC20D4"/>
    <w:rsid w:val="00DC3395"/>
    <w:rsid w:val="00DC3F7B"/>
    <w:rsid w:val="00DC4374"/>
    <w:rsid w:val="00DC4821"/>
    <w:rsid w:val="00DD3474"/>
    <w:rsid w:val="00DD44D1"/>
    <w:rsid w:val="00DD695B"/>
    <w:rsid w:val="00DE3941"/>
    <w:rsid w:val="00DE3D73"/>
    <w:rsid w:val="00DE7EEA"/>
    <w:rsid w:val="00DF57AC"/>
    <w:rsid w:val="00DF5E82"/>
    <w:rsid w:val="00DF7CF5"/>
    <w:rsid w:val="00E01B49"/>
    <w:rsid w:val="00E02101"/>
    <w:rsid w:val="00E02B2C"/>
    <w:rsid w:val="00E035A7"/>
    <w:rsid w:val="00E03A8A"/>
    <w:rsid w:val="00E05B3F"/>
    <w:rsid w:val="00E11913"/>
    <w:rsid w:val="00E13A79"/>
    <w:rsid w:val="00E1417D"/>
    <w:rsid w:val="00E15173"/>
    <w:rsid w:val="00E151AA"/>
    <w:rsid w:val="00E20475"/>
    <w:rsid w:val="00E21C8A"/>
    <w:rsid w:val="00E24D13"/>
    <w:rsid w:val="00E27A4C"/>
    <w:rsid w:val="00E27CE1"/>
    <w:rsid w:val="00E3127C"/>
    <w:rsid w:val="00E33C8E"/>
    <w:rsid w:val="00E352B9"/>
    <w:rsid w:val="00E3673D"/>
    <w:rsid w:val="00E40FF6"/>
    <w:rsid w:val="00E41CB3"/>
    <w:rsid w:val="00E43CBB"/>
    <w:rsid w:val="00E44693"/>
    <w:rsid w:val="00E500A5"/>
    <w:rsid w:val="00E525D9"/>
    <w:rsid w:val="00E55A62"/>
    <w:rsid w:val="00E56B0F"/>
    <w:rsid w:val="00E60A82"/>
    <w:rsid w:val="00E61CA2"/>
    <w:rsid w:val="00E63B9B"/>
    <w:rsid w:val="00E64B7F"/>
    <w:rsid w:val="00E6514E"/>
    <w:rsid w:val="00E65C57"/>
    <w:rsid w:val="00E662FF"/>
    <w:rsid w:val="00E66516"/>
    <w:rsid w:val="00E66C4B"/>
    <w:rsid w:val="00E70F48"/>
    <w:rsid w:val="00E719C4"/>
    <w:rsid w:val="00E72E57"/>
    <w:rsid w:val="00E73417"/>
    <w:rsid w:val="00E81591"/>
    <w:rsid w:val="00E81B6C"/>
    <w:rsid w:val="00E828BF"/>
    <w:rsid w:val="00E84BF6"/>
    <w:rsid w:val="00E911EA"/>
    <w:rsid w:val="00E913EE"/>
    <w:rsid w:val="00E932DD"/>
    <w:rsid w:val="00E96831"/>
    <w:rsid w:val="00EA4733"/>
    <w:rsid w:val="00EA5E1C"/>
    <w:rsid w:val="00EB0375"/>
    <w:rsid w:val="00EB1D08"/>
    <w:rsid w:val="00EB1E9F"/>
    <w:rsid w:val="00EB31FC"/>
    <w:rsid w:val="00EB4EC6"/>
    <w:rsid w:val="00EC0AF4"/>
    <w:rsid w:val="00EC21CC"/>
    <w:rsid w:val="00EC4006"/>
    <w:rsid w:val="00EC42C6"/>
    <w:rsid w:val="00EC685B"/>
    <w:rsid w:val="00ED3F52"/>
    <w:rsid w:val="00ED4E9B"/>
    <w:rsid w:val="00ED6FEF"/>
    <w:rsid w:val="00ED7711"/>
    <w:rsid w:val="00EE082A"/>
    <w:rsid w:val="00EE0A32"/>
    <w:rsid w:val="00EE1F2F"/>
    <w:rsid w:val="00EE57B7"/>
    <w:rsid w:val="00EE5A6D"/>
    <w:rsid w:val="00EF49FC"/>
    <w:rsid w:val="00EF70C1"/>
    <w:rsid w:val="00F0702B"/>
    <w:rsid w:val="00F12FFE"/>
    <w:rsid w:val="00F14BD2"/>
    <w:rsid w:val="00F15900"/>
    <w:rsid w:val="00F161C8"/>
    <w:rsid w:val="00F21CC5"/>
    <w:rsid w:val="00F22F22"/>
    <w:rsid w:val="00F25FE0"/>
    <w:rsid w:val="00F27029"/>
    <w:rsid w:val="00F35A67"/>
    <w:rsid w:val="00F4116E"/>
    <w:rsid w:val="00F43758"/>
    <w:rsid w:val="00F4472E"/>
    <w:rsid w:val="00F50B29"/>
    <w:rsid w:val="00F5107E"/>
    <w:rsid w:val="00F53855"/>
    <w:rsid w:val="00F63250"/>
    <w:rsid w:val="00F6480D"/>
    <w:rsid w:val="00F65F58"/>
    <w:rsid w:val="00F70963"/>
    <w:rsid w:val="00F71387"/>
    <w:rsid w:val="00F71723"/>
    <w:rsid w:val="00F71FEA"/>
    <w:rsid w:val="00F73566"/>
    <w:rsid w:val="00F735B1"/>
    <w:rsid w:val="00F753EF"/>
    <w:rsid w:val="00F75C0A"/>
    <w:rsid w:val="00F7669C"/>
    <w:rsid w:val="00F7707F"/>
    <w:rsid w:val="00F77EE8"/>
    <w:rsid w:val="00F77FDE"/>
    <w:rsid w:val="00F81754"/>
    <w:rsid w:val="00F85D90"/>
    <w:rsid w:val="00F86F4E"/>
    <w:rsid w:val="00F9046D"/>
    <w:rsid w:val="00F90516"/>
    <w:rsid w:val="00F90556"/>
    <w:rsid w:val="00F90897"/>
    <w:rsid w:val="00F969CD"/>
    <w:rsid w:val="00F974D9"/>
    <w:rsid w:val="00F97DDA"/>
    <w:rsid w:val="00FA046B"/>
    <w:rsid w:val="00FA25F5"/>
    <w:rsid w:val="00FA5315"/>
    <w:rsid w:val="00FC01F7"/>
    <w:rsid w:val="00FC352C"/>
    <w:rsid w:val="00FC78B5"/>
    <w:rsid w:val="00FD18B0"/>
    <w:rsid w:val="00FD5019"/>
    <w:rsid w:val="00FE1A7E"/>
    <w:rsid w:val="00FE4827"/>
    <w:rsid w:val="00FE48BA"/>
    <w:rsid w:val="00FE6484"/>
    <w:rsid w:val="00FF098B"/>
    <w:rsid w:val="00FF22EB"/>
    <w:rsid w:val="00FF3AAC"/>
    <w:rsid w:val="00FF3FA4"/>
    <w:rsid w:val="00FF4D1B"/>
    <w:rsid w:val="00FF6686"/>
    <w:rsid w:val="00FF6822"/>
    <w:rsid w:val="00FF7A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9E5197"/>
  <w15:docId w15:val="{3CD70602-4560-4C88-B38F-A3A2AE7B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D0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סגנון4"/>
    <w:basedOn w:val="a"/>
    <w:qFormat/>
    <w:rsid w:val="006418B2"/>
    <w:pPr>
      <w:numPr>
        <w:numId w:val="8"/>
      </w:numPr>
      <w:tabs>
        <w:tab w:val="left" w:pos="567"/>
        <w:tab w:val="left" w:pos="1134"/>
        <w:tab w:val="left" w:pos="1814"/>
        <w:tab w:val="left" w:pos="2665"/>
      </w:tabs>
      <w:spacing w:line="360" w:lineRule="auto"/>
      <w:contextualSpacing/>
      <w:jc w:val="both"/>
    </w:pPr>
    <w:rPr>
      <w:rFonts w:cs="David"/>
    </w:rPr>
  </w:style>
  <w:style w:type="paragraph" w:customStyle="1" w:styleId="5">
    <w:name w:val="סגנון5"/>
    <w:basedOn w:val="4"/>
    <w:qFormat/>
    <w:rsid w:val="006418B2"/>
    <w:pPr>
      <w:numPr>
        <w:ilvl w:val="1"/>
      </w:numPr>
    </w:pPr>
  </w:style>
  <w:style w:type="paragraph" w:customStyle="1" w:styleId="6">
    <w:name w:val="סגנון6"/>
    <w:basedOn w:val="5"/>
    <w:qFormat/>
    <w:rsid w:val="006418B2"/>
    <w:pPr>
      <w:numPr>
        <w:ilvl w:val="2"/>
      </w:numPr>
      <w:tabs>
        <w:tab w:val="left" w:pos="1871"/>
      </w:tabs>
    </w:pPr>
  </w:style>
  <w:style w:type="paragraph" w:styleId="a3">
    <w:name w:val="header"/>
    <w:basedOn w:val="a"/>
    <w:link w:val="a4"/>
    <w:uiPriority w:val="99"/>
    <w:unhideWhenUsed/>
    <w:rsid w:val="00AD16FC"/>
    <w:pPr>
      <w:tabs>
        <w:tab w:val="center" w:pos="4153"/>
        <w:tab w:val="right" w:pos="8306"/>
      </w:tabs>
    </w:pPr>
  </w:style>
  <w:style w:type="character" w:customStyle="1" w:styleId="a4">
    <w:name w:val="כותרת עליונה תו"/>
    <w:basedOn w:val="a0"/>
    <w:link w:val="a3"/>
    <w:uiPriority w:val="99"/>
    <w:rsid w:val="00AD16FC"/>
  </w:style>
  <w:style w:type="paragraph" w:styleId="a5">
    <w:name w:val="footer"/>
    <w:basedOn w:val="a"/>
    <w:link w:val="a6"/>
    <w:uiPriority w:val="99"/>
    <w:unhideWhenUsed/>
    <w:rsid w:val="00AD16FC"/>
    <w:pPr>
      <w:tabs>
        <w:tab w:val="center" w:pos="4153"/>
        <w:tab w:val="right" w:pos="8306"/>
      </w:tabs>
    </w:pPr>
  </w:style>
  <w:style w:type="character" w:customStyle="1" w:styleId="a6">
    <w:name w:val="כותרת תחתונה תו"/>
    <w:basedOn w:val="a0"/>
    <w:link w:val="a5"/>
    <w:uiPriority w:val="99"/>
    <w:rsid w:val="00AD16FC"/>
  </w:style>
  <w:style w:type="table" w:styleId="a7">
    <w:name w:val="Table Grid"/>
    <w:basedOn w:val="a1"/>
    <w:uiPriority w:val="59"/>
    <w:rsid w:val="00AD16F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D16FC"/>
    <w:rPr>
      <w:rFonts w:ascii="Tahoma" w:hAnsi="Tahoma" w:cs="Tahoma"/>
      <w:sz w:val="16"/>
      <w:szCs w:val="16"/>
    </w:rPr>
  </w:style>
  <w:style w:type="character" w:customStyle="1" w:styleId="a9">
    <w:name w:val="טקסט בלונים תו"/>
    <w:basedOn w:val="a0"/>
    <w:link w:val="a8"/>
    <w:uiPriority w:val="99"/>
    <w:semiHidden/>
    <w:rsid w:val="00AD16FC"/>
    <w:rPr>
      <w:rFonts w:ascii="Tahoma" w:hAnsi="Tahoma" w:cs="Tahoma"/>
      <w:sz w:val="16"/>
      <w:szCs w:val="16"/>
    </w:rPr>
  </w:style>
  <w:style w:type="paragraph" w:styleId="aa">
    <w:name w:val="footnote text"/>
    <w:basedOn w:val="a"/>
    <w:link w:val="ab"/>
    <w:uiPriority w:val="99"/>
    <w:semiHidden/>
    <w:rsid w:val="00A21D01"/>
    <w:rPr>
      <w:sz w:val="20"/>
      <w:szCs w:val="20"/>
    </w:rPr>
  </w:style>
  <w:style w:type="character" w:customStyle="1" w:styleId="ab">
    <w:name w:val="טקסט הערת שוליים תו"/>
    <w:basedOn w:val="a0"/>
    <w:link w:val="aa"/>
    <w:uiPriority w:val="99"/>
    <w:semiHidden/>
    <w:rsid w:val="00A21D01"/>
    <w:rPr>
      <w:rFonts w:ascii="Times New Roman" w:eastAsia="Times New Roman" w:hAnsi="Times New Roman" w:cs="Times New Roman"/>
      <w:sz w:val="20"/>
      <w:szCs w:val="20"/>
    </w:rPr>
  </w:style>
  <w:style w:type="character" w:styleId="ac">
    <w:name w:val="footnote reference"/>
    <w:basedOn w:val="a0"/>
    <w:uiPriority w:val="99"/>
    <w:semiHidden/>
    <w:rsid w:val="00A21D01"/>
    <w:rPr>
      <w:rFonts w:cs="Times New Roman"/>
      <w:vertAlign w:val="superscript"/>
    </w:rPr>
  </w:style>
  <w:style w:type="character" w:styleId="ad">
    <w:name w:val="annotation reference"/>
    <w:basedOn w:val="a0"/>
    <w:uiPriority w:val="99"/>
    <w:semiHidden/>
    <w:unhideWhenUsed/>
    <w:rsid w:val="00BF2375"/>
    <w:rPr>
      <w:sz w:val="16"/>
      <w:szCs w:val="16"/>
    </w:rPr>
  </w:style>
  <w:style w:type="paragraph" w:styleId="ae">
    <w:name w:val="annotation text"/>
    <w:basedOn w:val="a"/>
    <w:link w:val="af"/>
    <w:uiPriority w:val="99"/>
    <w:semiHidden/>
    <w:unhideWhenUsed/>
    <w:rsid w:val="00BF2375"/>
    <w:rPr>
      <w:sz w:val="20"/>
      <w:szCs w:val="20"/>
    </w:rPr>
  </w:style>
  <w:style w:type="character" w:customStyle="1" w:styleId="af">
    <w:name w:val="טקסט הערה תו"/>
    <w:basedOn w:val="a0"/>
    <w:link w:val="ae"/>
    <w:uiPriority w:val="99"/>
    <w:semiHidden/>
    <w:rsid w:val="00BF2375"/>
    <w:rPr>
      <w:rFonts w:ascii="Times New Roman" w:eastAsia="Times New Roman" w:hAnsi="Times New Roman" w:cs="Times New Roman"/>
      <w:sz w:val="20"/>
      <w:szCs w:val="20"/>
    </w:rPr>
  </w:style>
  <w:style w:type="paragraph" w:styleId="af0">
    <w:name w:val="annotation subject"/>
    <w:basedOn w:val="ae"/>
    <w:next w:val="ae"/>
    <w:link w:val="af1"/>
    <w:uiPriority w:val="99"/>
    <w:semiHidden/>
    <w:unhideWhenUsed/>
    <w:rsid w:val="00BF2375"/>
    <w:rPr>
      <w:b/>
      <w:bCs/>
    </w:rPr>
  </w:style>
  <w:style w:type="character" w:customStyle="1" w:styleId="af1">
    <w:name w:val="נושא הערה תו"/>
    <w:basedOn w:val="af"/>
    <w:link w:val="af0"/>
    <w:uiPriority w:val="99"/>
    <w:semiHidden/>
    <w:rsid w:val="00BF2375"/>
    <w:rPr>
      <w:rFonts w:ascii="Times New Roman" w:eastAsia="Times New Roman" w:hAnsi="Times New Roman" w:cs="Times New Roman"/>
      <w:b/>
      <w:bCs/>
      <w:sz w:val="20"/>
      <w:szCs w:val="20"/>
    </w:rPr>
  </w:style>
  <w:style w:type="paragraph" w:styleId="af2">
    <w:name w:val="Revision"/>
    <w:hidden/>
    <w:uiPriority w:val="99"/>
    <w:semiHidden/>
    <w:rsid w:val="00BE7EE2"/>
    <w:pPr>
      <w:spacing w:after="0" w:line="240" w:lineRule="auto"/>
    </w:pPr>
    <w:rPr>
      <w:rFonts w:ascii="Times New Roman" w:eastAsia="Times New Roman" w:hAnsi="Times New Roman" w:cs="Times New Roman"/>
      <w:sz w:val="24"/>
      <w:szCs w:val="24"/>
    </w:rPr>
  </w:style>
  <w:style w:type="paragraph" w:styleId="af3">
    <w:name w:val="List Paragraph"/>
    <w:basedOn w:val="a"/>
    <w:uiPriority w:val="34"/>
    <w:qFormat/>
    <w:rsid w:val="00136000"/>
    <w:pPr>
      <w:ind w:left="720"/>
      <w:contextualSpacing/>
    </w:pPr>
  </w:style>
  <w:style w:type="paragraph" w:customStyle="1" w:styleId="Tablenc">
    <w:name w:val="Table_nc"/>
    <w:basedOn w:val="a"/>
    <w:link w:val="TablencChar"/>
    <w:qFormat/>
    <w:rsid w:val="001D21D1"/>
    <w:pPr>
      <w:ind w:left="113"/>
      <w:jc w:val="both"/>
    </w:pPr>
    <w:rPr>
      <w:rFonts w:asciiTheme="minorHAnsi" w:eastAsiaTheme="minorHAnsi" w:hAnsiTheme="minorHAnsi" w:cstheme="minorBidi"/>
      <w:sz w:val="20"/>
      <w:szCs w:val="20"/>
    </w:rPr>
  </w:style>
  <w:style w:type="character" w:customStyle="1" w:styleId="TablencChar">
    <w:name w:val="Table_nc Char"/>
    <w:basedOn w:val="a0"/>
    <w:link w:val="Tablenc"/>
    <w:rsid w:val="001D21D1"/>
    <w:rPr>
      <w:sz w:val="20"/>
      <w:szCs w:val="20"/>
    </w:rPr>
  </w:style>
  <w:style w:type="paragraph" w:customStyle="1" w:styleId="LetterheadBOI">
    <w:name w:val="Letterhead BOI"/>
    <w:basedOn w:val="a"/>
    <w:link w:val="LetterheadBOIChar"/>
    <w:qFormat/>
    <w:rsid w:val="00B44B19"/>
    <w:pPr>
      <w:bidi w:val="0"/>
      <w:spacing w:line="300" w:lineRule="atLeast"/>
      <w:jc w:val="center"/>
    </w:pPr>
    <w:rPr>
      <w:rFonts w:cs="David"/>
      <w:b/>
    </w:rPr>
  </w:style>
  <w:style w:type="paragraph" w:customStyle="1" w:styleId="Letterhead2">
    <w:name w:val="Letterhead 2"/>
    <w:basedOn w:val="a"/>
    <w:link w:val="Letterhead2Char"/>
    <w:qFormat/>
    <w:rsid w:val="00B44B19"/>
    <w:pPr>
      <w:bidi w:val="0"/>
      <w:spacing w:line="300" w:lineRule="atLeast"/>
      <w:jc w:val="center"/>
    </w:pPr>
    <w:rPr>
      <w:sz w:val="26"/>
      <w:szCs w:val="26"/>
    </w:rPr>
  </w:style>
  <w:style w:type="character" w:customStyle="1" w:styleId="LetterheadBOIChar">
    <w:name w:val="Letterhead BOI Char"/>
    <w:basedOn w:val="a0"/>
    <w:link w:val="LetterheadBOI"/>
    <w:rsid w:val="00B44B19"/>
    <w:rPr>
      <w:rFonts w:ascii="Times New Roman" w:eastAsia="Times New Roman" w:hAnsi="Times New Roman" w:cs="David"/>
      <w:b/>
      <w:sz w:val="24"/>
      <w:szCs w:val="24"/>
    </w:rPr>
  </w:style>
  <w:style w:type="character" w:customStyle="1" w:styleId="Letterhead2Char">
    <w:name w:val="Letterhead 2 Char"/>
    <w:basedOn w:val="a0"/>
    <w:link w:val="Letterhead2"/>
    <w:rsid w:val="00B44B19"/>
    <w:rPr>
      <w:rFonts w:ascii="Times New Roman" w:eastAsia="Times New Roman" w:hAnsi="Times New Roman" w:cs="Times New Roman"/>
      <w:sz w:val="26"/>
      <w:szCs w:val="26"/>
    </w:rPr>
  </w:style>
  <w:style w:type="paragraph" w:customStyle="1" w:styleId="PressReleaseTitle">
    <w:name w:val="Press Release Title"/>
    <w:basedOn w:val="a"/>
    <w:link w:val="PressReleaseTitleChar"/>
    <w:qFormat/>
    <w:rsid w:val="008A3EE2"/>
    <w:pPr>
      <w:tabs>
        <w:tab w:val="center" w:pos="4156"/>
        <w:tab w:val="right" w:pos="8312"/>
      </w:tabs>
      <w:bidi w:val="0"/>
      <w:jc w:val="center"/>
    </w:pPr>
    <w:rPr>
      <w:rFonts w:cs="David"/>
      <w:b/>
      <w:bCs/>
      <w:sz w:val="26"/>
      <w:szCs w:val="26"/>
    </w:rPr>
  </w:style>
  <w:style w:type="character" w:customStyle="1" w:styleId="PressReleaseTitleChar">
    <w:name w:val="Press Release Title Char"/>
    <w:basedOn w:val="a0"/>
    <w:link w:val="PressReleaseTitle"/>
    <w:rsid w:val="008A3EE2"/>
    <w:rPr>
      <w:rFonts w:ascii="Times New Roman" w:eastAsia="Times New Roman" w:hAnsi="Times New Roman" w:cs="David"/>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461002">
      <w:bodyDiv w:val="1"/>
      <w:marLeft w:val="0"/>
      <w:marRight w:val="0"/>
      <w:marTop w:val="0"/>
      <w:marBottom w:val="0"/>
      <w:divBdr>
        <w:top w:val="none" w:sz="0" w:space="0" w:color="auto"/>
        <w:left w:val="none" w:sz="0" w:space="0" w:color="auto"/>
        <w:bottom w:val="none" w:sz="0" w:space="0" w:color="auto"/>
        <w:right w:val="none" w:sz="0" w:space="0" w:color="auto"/>
      </w:divBdr>
    </w:div>
    <w:div w:id="169634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WaveListOrderValue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eec667c192e179fa3ca9d2ff5e61b8e9">
  <xsd:schema xmlns:xsd="http://www.w3.org/2001/XMLSchema" xmlns:xs="http://www.w3.org/2001/XMLSchema" xmlns:p="http://schemas.microsoft.com/office/2006/metadata/properties" xmlns:ns1="http://schemas.microsoft.com/sharepoint/v3" targetNamespace="http://schemas.microsoft.com/office/2006/metadata/properties" ma:root="true" ma:fieldsID="746174814a43a1a05660744d66829a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AC57AAB-9898-4DE2-BDAA-17A292961A92}">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2EA32405-AFA6-4CB9-BBAF-433B329A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8E4F78-4ADB-41F4-A694-4EA04E6865D5}">
  <ds:schemaRefs>
    <ds:schemaRef ds:uri="http://schemas.microsoft.com/sharepoint/v3/contenttype/forms"/>
  </ds:schemaRefs>
</ds:datastoreItem>
</file>

<file path=customXml/itemProps4.xml><?xml version="1.0" encoding="utf-8"?>
<ds:datastoreItem xmlns:ds="http://schemas.openxmlformats.org/officeDocument/2006/customXml" ds:itemID="{565503A2-3F12-460F-A670-5B8160C97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1652</Words>
  <Characters>8262</Characters>
  <Application>Microsoft Office Word</Application>
  <DocSecurity>4</DocSecurity>
  <Lines>68</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דוד בן מיכאל</dc:creator>
  <cp:lastModifiedBy>נטע כלפון</cp:lastModifiedBy>
  <cp:revision>2</cp:revision>
  <cp:lastPrinted>2018-07-08T13:15:00Z</cp:lastPrinted>
  <dcterms:created xsi:type="dcterms:W3CDTF">2023-07-10T12:38:00Z</dcterms:created>
  <dcterms:modified xsi:type="dcterms:W3CDTF">2023-07-10T12:38:00Z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