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Pr="00D074CB" w:rsidRDefault="00376976" w:rsidP="00A60E0E">
      <w:pPr>
        <w:pStyle w:val="regpar"/>
        <w:spacing w:line="300" w:lineRule="atLeast"/>
        <w:ind w:firstLine="0"/>
        <w:jc w:val="center"/>
        <w:rPr>
          <w:rFonts w:ascii="Calibri" w:hAnsi="Calibri" w:cs="Calibri"/>
          <w:bCs/>
        </w:rPr>
      </w:pPr>
      <w:r w:rsidRPr="00D074CB">
        <w:rPr>
          <w:rFonts w:ascii="Calibri" w:hAnsi="Calibri" w:cs="Calibri"/>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D074CB" w:rsidRDefault="00650B9A" w:rsidP="00A60E0E">
      <w:pPr>
        <w:pStyle w:val="regpar"/>
        <w:spacing w:line="300" w:lineRule="atLeast"/>
        <w:ind w:firstLine="0"/>
        <w:jc w:val="center"/>
        <w:rPr>
          <w:rFonts w:ascii="Calibri" w:hAnsi="Calibri" w:cs="Calibri"/>
          <w:bCs/>
        </w:rPr>
      </w:pPr>
      <w:r w:rsidRPr="00D074CB">
        <w:rPr>
          <w:rFonts w:ascii="Calibri" w:hAnsi="Calibri" w:cs="Calibri"/>
          <w:bCs/>
        </w:rPr>
        <w:t>BANK OF ISRAEL</w:t>
      </w:r>
    </w:p>
    <w:p w14:paraId="7BDED074" w14:textId="1F140308" w:rsidR="00650B9A" w:rsidRPr="00D074CB" w:rsidRDefault="00650B9A" w:rsidP="0009048D">
      <w:pPr>
        <w:pStyle w:val="regpar"/>
        <w:spacing w:line="300" w:lineRule="atLeast"/>
        <w:ind w:firstLine="0"/>
        <w:jc w:val="center"/>
        <w:rPr>
          <w:rFonts w:ascii="Calibri" w:hAnsi="Calibri" w:cs="Calibri"/>
        </w:rPr>
      </w:pPr>
      <w:r w:rsidRPr="00D074CB">
        <w:rPr>
          <w:rFonts w:ascii="Calibri" w:hAnsi="Calibri" w:cs="Calibri"/>
        </w:rPr>
        <w:t xml:space="preserve">Office of the </w:t>
      </w:r>
      <w:r w:rsidR="0009048D" w:rsidRPr="00D074CB">
        <w:rPr>
          <w:rFonts w:ascii="Calibri" w:hAnsi="Calibri" w:cs="Calibri"/>
        </w:rPr>
        <w:t>Spokesperson and Economic Information</w:t>
      </w:r>
    </w:p>
    <w:p w14:paraId="5DC516B5" w14:textId="6D04FE8F" w:rsidR="0009048D" w:rsidRPr="00D074CB" w:rsidRDefault="0009048D" w:rsidP="0009048D">
      <w:pPr>
        <w:pStyle w:val="regpar"/>
        <w:spacing w:line="300" w:lineRule="atLeast"/>
        <w:ind w:firstLine="0"/>
        <w:jc w:val="center"/>
        <w:rPr>
          <w:rFonts w:ascii="Calibri" w:hAnsi="Calibri" w:cs="Calibri"/>
        </w:rPr>
      </w:pPr>
    </w:p>
    <w:p w14:paraId="73A6A7DC" w14:textId="3569AD15" w:rsidR="0009048D" w:rsidRPr="00D074CB" w:rsidRDefault="0009048D" w:rsidP="0009048D">
      <w:pPr>
        <w:pStyle w:val="regpar"/>
        <w:spacing w:line="300" w:lineRule="atLeast"/>
        <w:ind w:firstLine="0"/>
        <w:jc w:val="center"/>
        <w:rPr>
          <w:rFonts w:ascii="Calibri" w:hAnsi="Calibri" w:cs="Calibri"/>
        </w:rPr>
      </w:pPr>
      <w:r w:rsidRPr="00D074CB">
        <w:rPr>
          <w:rFonts w:ascii="Calibri" w:hAnsi="Calibri" w:cs="Calibri"/>
        </w:rPr>
        <w:t>Press release</w:t>
      </w:r>
    </w:p>
    <w:p w14:paraId="2DEFF62A" w14:textId="77777777" w:rsidR="00DD0AB5" w:rsidRPr="00D074CB" w:rsidRDefault="00DD0AB5" w:rsidP="00A60E0E">
      <w:pPr>
        <w:pStyle w:val="regpar"/>
        <w:spacing w:line="300" w:lineRule="atLeast"/>
        <w:ind w:firstLine="0"/>
        <w:jc w:val="center"/>
        <w:rPr>
          <w:rFonts w:ascii="Calibri" w:hAnsi="Calibri" w:cs="Calibri"/>
          <w:b/>
        </w:rPr>
      </w:pPr>
    </w:p>
    <w:p w14:paraId="0CD9A423" w14:textId="4DB654EC" w:rsidR="007617BD" w:rsidRPr="00D074CB" w:rsidRDefault="00F260CE" w:rsidP="00BA0FF7">
      <w:pPr>
        <w:pStyle w:val="regpar"/>
        <w:jc w:val="right"/>
        <w:rPr>
          <w:rFonts w:ascii="Calibri" w:hAnsi="Calibri" w:cs="Calibri"/>
        </w:rPr>
      </w:pPr>
      <w:r w:rsidRPr="00D074CB">
        <w:rPr>
          <w:rFonts w:ascii="Calibri" w:hAnsi="Calibri" w:cs="Calibri"/>
        </w:rPr>
        <w:t>September 2</w:t>
      </w:r>
      <w:r w:rsidR="00BA0FF7">
        <w:rPr>
          <w:rFonts w:ascii="Calibri" w:hAnsi="Calibri" w:cs="Calibri" w:hint="cs"/>
          <w:rtl/>
        </w:rPr>
        <w:t>2</w:t>
      </w:r>
      <w:bookmarkStart w:id="0" w:name="_GoBack"/>
      <w:bookmarkEnd w:id="0"/>
      <w:r w:rsidR="0080149A" w:rsidRPr="00D074CB">
        <w:rPr>
          <w:rFonts w:ascii="Calibri" w:hAnsi="Calibri" w:cs="Calibri"/>
        </w:rPr>
        <w:t>, 2023</w:t>
      </w:r>
    </w:p>
    <w:p w14:paraId="22D7AE78" w14:textId="3BEA9B84" w:rsidR="00F23C43" w:rsidRPr="00D074CB" w:rsidRDefault="00F23C43" w:rsidP="00F23C43">
      <w:pPr>
        <w:pStyle w:val="regpar"/>
        <w:rPr>
          <w:rFonts w:ascii="Calibri" w:hAnsi="Calibri" w:cs="Calibri"/>
        </w:rPr>
      </w:pPr>
    </w:p>
    <w:p w14:paraId="325CE029" w14:textId="30104A21" w:rsidR="00D00CF7" w:rsidRPr="00D074CB" w:rsidRDefault="00D00CF7" w:rsidP="00D00CF7">
      <w:pPr>
        <w:pStyle w:val="regpar"/>
        <w:jc w:val="center"/>
        <w:rPr>
          <w:rFonts w:ascii="Calibri" w:hAnsi="Calibri" w:cs="Calibri"/>
          <w:b/>
          <w:bCs/>
          <w:sz w:val="26"/>
          <w:szCs w:val="26"/>
        </w:rPr>
      </w:pPr>
    </w:p>
    <w:p w14:paraId="7BF8A788" w14:textId="1905805D" w:rsidR="00D00CF7" w:rsidRPr="00D074CB" w:rsidRDefault="00F260CE" w:rsidP="00F260CE">
      <w:pPr>
        <w:pStyle w:val="regpar"/>
        <w:ind w:firstLine="0"/>
        <w:jc w:val="center"/>
        <w:rPr>
          <w:rFonts w:ascii="Calibri" w:hAnsi="Calibri" w:cs="Calibri"/>
          <w:b/>
          <w:bCs/>
          <w:sz w:val="26"/>
          <w:szCs w:val="26"/>
        </w:rPr>
      </w:pPr>
      <w:r w:rsidRPr="00D074CB">
        <w:rPr>
          <w:rFonts w:ascii="Calibri" w:hAnsi="Calibri" w:cs="Calibri"/>
          <w:b/>
          <w:bCs/>
          <w:sz w:val="26"/>
          <w:szCs w:val="26"/>
        </w:rPr>
        <w:t>Th</w:t>
      </w:r>
      <w:r w:rsidR="00C41456" w:rsidRPr="00D074CB">
        <w:rPr>
          <w:rFonts w:ascii="Calibri" w:hAnsi="Calibri" w:cs="Calibri"/>
          <w:b/>
          <w:bCs/>
          <w:sz w:val="26"/>
          <w:szCs w:val="26"/>
        </w:rPr>
        <w:t xml:space="preserve">e Bank of Israel </w:t>
      </w:r>
      <w:r w:rsidR="00C83905" w:rsidRPr="00D074CB">
        <w:rPr>
          <w:rFonts w:ascii="Calibri" w:hAnsi="Calibri" w:cs="Calibri"/>
          <w:b/>
          <w:bCs/>
          <w:sz w:val="26"/>
          <w:szCs w:val="26"/>
        </w:rPr>
        <w:t xml:space="preserve">extends </w:t>
      </w:r>
      <w:r w:rsidR="00C41456" w:rsidRPr="00D074CB">
        <w:rPr>
          <w:rFonts w:ascii="Calibri" w:hAnsi="Calibri" w:cs="Calibri"/>
          <w:b/>
          <w:bCs/>
          <w:sz w:val="26"/>
          <w:szCs w:val="26"/>
        </w:rPr>
        <w:t xml:space="preserve">the comprehensive assistance program adopted by the banks for dealing with the ramifications of the Swords of Iron </w:t>
      </w:r>
      <w:r w:rsidRPr="00D074CB">
        <w:rPr>
          <w:rFonts w:ascii="Calibri" w:hAnsi="Calibri" w:cs="Calibri"/>
          <w:b/>
          <w:bCs/>
          <w:sz w:val="26"/>
          <w:szCs w:val="26"/>
        </w:rPr>
        <w:t>W</w:t>
      </w:r>
      <w:r w:rsidR="00C41456" w:rsidRPr="00D074CB">
        <w:rPr>
          <w:rFonts w:ascii="Calibri" w:hAnsi="Calibri" w:cs="Calibri"/>
          <w:b/>
          <w:bCs/>
          <w:sz w:val="26"/>
          <w:szCs w:val="26"/>
        </w:rPr>
        <w:t>ar</w:t>
      </w:r>
    </w:p>
    <w:p w14:paraId="57364676" w14:textId="583A0F82" w:rsidR="00477DE2" w:rsidRPr="00D074CB" w:rsidRDefault="00477DE2" w:rsidP="00477DE2">
      <w:pPr>
        <w:pStyle w:val="regpar"/>
        <w:ind w:firstLine="0"/>
        <w:jc w:val="center"/>
        <w:rPr>
          <w:rFonts w:ascii="Calibri" w:hAnsi="Calibri" w:cs="Calibri"/>
          <w:b/>
          <w:bCs/>
          <w:sz w:val="26"/>
          <w:szCs w:val="26"/>
        </w:rPr>
      </w:pPr>
    </w:p>
    <w:p w14:paraId="755B0E04" w14:textId="6BE14298" w:rsidR="0067374A" w:rsidRPr="00D074CB" w:rsidRDefault="00C41456" w:rsidP="00F260CE">
      <w:pPr>
        <w:pStyle w:val="regpar"/>
        <w:ind w:firstLine="0"/>
        <w:rPr>
          <w:rFonts w:ascii="Calibri" w:hAnsi="Calibri" w:cs="Calibri"/>
        </w:rPr>
      </w:pPr>
      <w:r w:rsidRPr="00D074CB">
        <w:rPr>
          <w:rFonts w:ascii="Calibri" w:hAnsi="Calibri" w:cs="Calibri"/>
        </w:rPr>
        <w:t>Bank of Israel Governor Prof. Amir Yaron said: “</w:t>
      </w:r>
      <w:r w:rsidR="00C83905" w:rsidRPr="00D074CB">
        <w:rPr>
          <w:rFonts w:ascii="Calibri" w:hAnsi="Calibri" w:cs="Calibri"/>
        </w:rPr>
        <w:t xml:space="preserve">Since the beginning of the Swords of Iron </w:t>
      </w:r>
      <w:r w:rsidR="00F260CE" w:rsidRPr="00D074CB">
        <w:rPr>
          <w:rFonts w:ascii="Calibri" w:hAnsi="Calibri" w:cs="Calibri"/>
        </w:rPr>
        <w:t>W</w:t>
      </w:r>
      <w:r w:rsidR="00C83905" w:rsidRPr="00D074CB">
        <w:rPr>
          <w:rFonts w:ascii="Calibri" w:hAnsi="Calibri" w:cs="Calibri"/>
        </w:rPr>
        <w:t>ar, t</w:t>
      </w:r>
      <w:r w:rsidRPr="00D074CB">
        <w:rPr>
          <w:rFonts w:ascii="Calibri" w:hAnsi="Calibri" w:cs="Calibri"/>
        </w:rPr>
        <w:t>he Bank of Israel</w:t>
      </w:r>
      <w:r w:rsidR="00C83905" w:rsidRPr="00D074CB">
        <w:rPr>
          <w:rFonts w:ascii="Calibri" w:hAnsi="Calibri" w:cs="Calibri"/>
        </w:rPr>
        <w:t xml:space="preserve"> has taken a broad set of actions to support</w:t>
      </w:r>
      <w:r w:rsidR="00F260CE" w:rsidRPr="00D074CB">
        <w:rPr>
          <w:rFonts w:ascii="Calibri" w:hAnsi="Calibri" w:cs="Calibri"/>
        </w:rPr>
        <w:t xml:space="preserve"> economic</w:t>
      </w:r>
      <w:r w:rsidR="00C83905" w:rsidRPr="00D074CB">
        <w:rPr>
          <w:rFonts w:ascii="Calibri" w:hAnsi="Calibri" w:cs="Calibri"/>
        </w:rPr>
        <w:t xml:space="preserve"> activity and to assist households</w:t>
      </w:r>
      <w:r w:rsidR="00F260CE" w:rsidRPr="00D074CB">
        <w:rPr>
          <w:rFonts w:ascii="Calibri" w:hAnsi="Calibri" w:cs="Calibri"/>
        </w:rPr>
        <w:t>, reserve soldiers,</w:t>
      </w:r>
      <w:r w:rsidR="00C83905" w:rsidRPr="00D074CB">
        <w:rPr>
          <w:rFonts w:ascii="Calibri" w:hAnsi="Calibri" w:cs="Calibri"/>
        </w:rPr>
        <w:t xml:space="preserve"> and businesses</w:t>
      </w:r>
      <w:r w:rsidR="00F260CE" w:rsidRPr="00D074CB">
        <w:rPr>
          <w:rFonts w:ascii="Calibri" w:hAnsi="Calibri" w:cs="Calibri"/>
        </w:rPr>
        <w:t xml:space="preserve"> that have been hurt</w:t>
      </w:r>
      <w:r w:rsidR="00C83905" w:rsidRPr="00D074CB">
        <w:rPr>
          <w:rFonts w:ascii="Calibri" w:hAnsi="Calibri" w:cs="Calibri"/>
        </w:rPr>
        <w:t>.</w:t>
      </w:r>
      <w:r w:rsidRPr="00D074CB">
        <w:rPr>
          <w:rFonts w:ascii="Calibri" w:hAnsi="Calibri" w:cs="Calibri"/>
        </w:rPr>
        <w:t xml:space="preserve">  The</w:t>
      </w:r>
      <w:r w:rsidR="00F260CE" w:rsidRPr="00D074CB">
        <w:rPr>
          <w:rFonts w:ascii="Calibri" w:hAnsi="Calibri" w:cs="Calibri"/>
        </w:rPr>
        <w:t xml:space="preserve"> additional extension of the</w:t>
      </w:r>
      <w:r w:rsidRPr="00D074CB">
        <w:rPr>
          <w:rFonts w:ascii="Calibri" w:hAnsi="Calibri" w:cs="Calibri"/>
        </w:rPr>
        <w:t xml:space="preserve"> program</w:t>
      </w:r>
      <w:r w:rsidR="00C83905" w:rsidRPr="00D074CB">
        <w:rPr>
          <w:rFonts w:ascii="Calibri" w:hAnsi="Calibri" w:cs="Calibri"/>
        </w:rPr>
        <w:t xml:space="preserve">, </w:t>
      </w:r>
      <w:r w:rsidR="00F260CE" w:rsidRPr="00D074CB">
        <w:rPr>
          <w:rFonts w:ascii="Calibri" w:hAnsi="Calibri" w:cs="Calibri"/>
        </w:rPr>
        <w:t xml:space="preserve">enables us to provide further assistance to those who are experiencing economic difficulties, while focusing that assistance on various population groups in accordance with developments related to the war. We are committed to </w:t>
      </w:r>
      <w:r w:rsidR="00E32A9C" w:rsidRPr="00D074CB">
        <w:rPr>
          <w:rFonts w:ascii="Calibri" w:hAnsi="Calibri" w:cs="Calibri"/>
        </w:rPr>
        <w:t>continue monitor</w:t>
      </w:r>
      <w:r w:rsidR="00F260CE" w:rsidRPr="00D074CB">
        <w:rPr>
          <w:rFonts w:ascii="Calibri" w:hAnsi="Calibri" w:cs="Calibri"/>
        </w:rPr>
        <w:t>ing</w:t>
      </w:r>
      <w:r w:rsidR="00E32A9C" w:rsidRPr="00D074CB">
        <w:rPr>
          <w:rFonts w:ascii="Calibri" w:hAnsi="Calibri" w:cs="Calibri"/>
        </w:rPr>
        <w:t xml:space="preserve"> the state of the economy in view of the war, and </w:t>
      </w:r>
      <w:r w:rsidR="00F260CE" w:rsidRPr="00D074CB">
        <w:rPr>
          <w:rFonts w:ascii="Calibri" w:hAnsi="Calibri" w:cs="Calibri"/>
        </w:rPr>
        <w:t>to</w:t>
      </w:r>
      <w:r w:rsidR="00E32A9C" w:rsidRPr="00D074CB">
        <w:rPr>
          <w:rFonts w:ascii="Calibri" w:hAnsi="Calibri" w:cs="Calibri"/>
        </w:rPr>
        <w:t xml:space="preserve"> act as necessary to support the econom</w:t>
      </w:r>
      <w:r w:rsidR="00F260CE" w:rsidRPr="00D074CB">
        <w:rPr>
          <w:rFonts w:ascii="Calibri" w:hAnsi="Calibri" w:cs="Calibri"/>
        </w:rPr>
        <w:t>ic recovery</w:t>
      </w:r>
      <w:r w:rsidRPr="00D074CB">
        <w:rPr>
          <w:rFonts w:ascii="Calibri" w:hAnsi="Calibri" w:cs="Calibri"/>
        </w:rPr>
        <w:t>.</w:t>
      </w:r>
      <w:r w:rsidR="00E32A9C" w:rsidRPr="00D074CB">
        <w:rPr>
          <w:rFonts w:ascii="Calibri" w:hAnsi="Calibri" w:cs="Calibri"/>
        </w:rPr>
        <w:t xml:space="preserve">  I thank the professional team at the Banking Supervision Department and the banking system as a whole for </w:t>
      </w:r>
      <w:r w:rsidR="00F260CE" w:rsidRPr="00D074CB">
        <w:rPr>
          <w:rFonts w:ascii="Calibri" w:hAnsi="Calibri" w:cs="Calibri"/>
        </w:rPr>
        <w:t>their cooperation and for their</w:t>
      </w:r>
      <w:r w:rsidR="00E32A9C" w:rsidRPr="00D074CB">
        <w:rPr>
          <w:rFonts w:ascii="Calibri" w:hAnsi="Calibri" w:cs="Calibri"/>
        </w:rPr>
        <w:t xml:space="preserve"> efforts </w:t>
      </w:r>
      <w:r w:rsidR="00F260CE" w:rsidRPr="00D074CB">
        <w:rPr>
          <w:rFonts w:ascii="Calibri" w:hAnsi="Calibri" w:cs="Calibri"/>
        </w:rPr>
        <w:t xml:space="preserve">in </w:t>
      </w:r>
      <w:r w:rsidR="00E32A9C" w:rsidRPr="00D074CB">
        <w:rPr>
          <w:rFonts w:ascii="Calibri" w:hAnsi="Calibri" w:cs="Calibri"/>
        </w:rPr>
        <w:t>extending the program.</w:t>
      </w:r>
      <w:r w:rsidRPr="00D074CB">
        <w:rPr>
          <w:rFonts w:ascii="Calibri" w:hAnsi="Calibri" w:cs="Calibri"/>
        </w:rPr>
        <w:t>”</w:t>
      </w:r>
    </w:p>
    <w:p w14:paraId="0B4ABCC5" w14:textId="4D388F75" w:rsidR="00C41456" w:rsidRPr="00D074CB" w:rsidRDefault="00C41456" w:rsidP="00C41456">
      <w:pPr>
        <w:pStyle w:val="regpar"/>
        <w:ind w:firstLine="0"/>
        <w:rPr>
          <w:rFonts w:ascii="Calibri" w:hAnsi="Calibri" w:cs="Calibri"/>
        </w:rPr>
      </w:pPr>
    </w:p>
    <w:p w14:paraId="0DE456B2" w14:textId="067081F7" w:rsidR="00C41456" w:rsidRPr="00D074CB" w:rsidRDefault="00C41456" w:rsidP="008D56FA">
      <w:pPr>
        <w:pStyle w:val="regpar"/>
        <w:ind w:firstLine="0"/>
        <w:rPr>
          <w:rFonts w:ascii="Calibri" w:hAnsi="Calibri" w:cs="Calibri"/>
        </w:rPr>
      </w:pPr>
      <w:r w:rsidRPr="00D074CB">
        <w:rPr>
          <w:rFonts w:ascii="Calibri" w:hAnsi="Calibri" w:cs="Calibri"/>
        </w:rPr>
        <w:t xml:space="preserve">Supervisor of Banks Daniel </w:t>
      </w:r>
      <w:proofErr w:type="spellStart"/>
      <w:r w:rsidRPr="00D074CB">
        <w:rPr>
          <w:rFonts w:ascii="Calibri" w:hAnsi="Calibri" w:cs="Calibri"/>
        </w:rPr>
        <w:t>Hahiashvili</w:t>
      </w:r>
      <w:proofErr w:type="spellEnd"/>
      <w:r w:rsidRPr="00D074CB">
        <w:rPr>
          <w:rFonts w:ascii="Calibri" w:hAnsi="Calibri" w:cs="Calibri"/>
        </w:rPr>
        <w:t xml:space="preserve"> said: “</w:t>
      </w:r>
      <w:r w:rsidR="00F260CE" w:rsidRPr="00D074CB">
        <w:rPr>
          <w:rFonts w:ascii="Calibri" w:hAnsi="Calibri" w:cs="Calibri"/>
        </w:rPr>
        <w:t xml:space="preserve">We have acted to extend the program </w:t>
      </w:r>
      <w:r w:rsidR="00E32A9C" w:rsidRPr="00D074CB">
        <w:rPr>
          <w:rFonts w:ascii="Calibri" w:hAnsi="Calibri" w:cs="Calibri"/>
        </w:rPr>
        <w:t>adopted by the banks, for a</w:t>
      </w:r>
      <w:r w:rsidR="00F260CE" w:rsidRPr="00D074CB">
        <w:rPr>
          <w:rFonts w:ascii="Calibri" w:hAnsi="Calibri" w:cs="Calibri"/>
        </w:rPr>
        <w:t>n additional three months,</w:t>
      </w:r>
      <w:r w:rsidR="00E32A9C" w:rsidRPr="00D074CB">
        <w:rPr>
          <w:rFonts w:ascii="Calibri" w:hAnsi="Calibri" w:cs="Calibri"/>
        </w:rPr>
        <w:t xml:space="preserve"> </w:t>
      </w:r>
      <w:r w:rsidR="00F260CE" w:rsidRPr="00D074CB">
        <w:rPr>
          <w:rFonts w:ascii="Calibri" w:hAnsi="Calibri" w:cs="Calibri"/>
        </w:rPr>
        <w:t>with the aim of continuing to ease the situation for people who need it.  At this time, and based on an analysis of the data in our possession, we have found it proper to make adjustments to the program and to focus the assistance given to population groups who are eligible based on need.  This is in concert with the economy’s partial return to routing activity in various parts of the country.  I thank the banking system for its continued commitment to the further expansion of the program, and I take the opportunity to emphasize our expectation that it will continue to take additional measures, beyond the program, to benefit its customers in line with various developments and the security situation, and to find creative and sensitive solutions that will help eligible customers deal with the effects of the war.”</w:t>
      </w:r>
    </w:p>
    <w:p w14:paraId="5B641796" w14:textId="29E9C8CF" w:rsidR="001F21EC" w:rsidRPr="00D074CB" w:rsidRDefault="001F21EC" w:rsidP="001F21EC">
      <w:pPr>
        <w:pStyle w:val="regpar"/>
        <w:ind w:firstLine="0"/>
        <w:rPr>
          <w:rFonts w:ascii="Calibri" w:hAnsi="Calibri" w:cs="Calibri"/>
        </w:rPr>
      </w:pPr>
    </w:p>
    <w:p w14:paraId="08C97595" w14:textId="15647B14" w:rsidR="001F21EC" w:rsidRPr="00D074CB" w:rsidRDefault="001F21EC" w:rsidP="001F21EC">
      <w:pPr>
        <w:pStyle w:val="regpar"/>
        <w:ind w:firstLine="0"/>
        <w:rPr>
          <w:rFonts w:ascii="Calibri" w:hAnsi="Calibri" w:cs="Calibri"/>
        </w:rPr>
      </w:pPr>
      <w:r w:rsidRPr="00D074CB">
        <w:rPr>
          <w:rFonts w:ascii="Calibri" w:hAnsi="Calibri" w:cs="Calibri"/>
          <w:u w:val="single"/>
        </w:rPr>
        <w:t>Background and data:</w:t>
      </w:r>
    </w:p>
    <w:p w14:paraId="4AD26124" w14:textId="03E588BC" w:rsidR="001F21EC" w:rsidRPr="00D074CB" w:rsidRDefault="001F21EC" w:rsidP="001F21EC">
      <w:pPr>
        <w:pStyle w:val="regpar"/>
        <w:ind w:firstLine="0"/>
        <w:rPr>
          <w:rFonts w:ascii="Calibri" w:hAnsi="Calibri" w:cs="Calibri"/>
        </w:rPr>
      </w:pPr>
    </w:p>
    <w:p w14:paraId="562FCA50" w14:textId="54977126" w:rsidR="00B17288" w:rsidRPr="00D074CB" w:rsidRDefault="00B17288" w:rsidP="00B17288">
      <w:pPr>
        <w:pStyle w:val="regpar"/>
        <w:ind w:firstLine="0"/>
        <w:rPr>
          <w:rFonts w:ascii="Calibri" w:hAnsi="Calibri" w:cs="Calibri"/>
        </w:rPr>
      </w:pPr>
      <w:r w:rsidRPr="00D074CB">
        <w:rPr>
          <w:rFonts w:ascii="Calibri" w:hAnsi="Calibri" w:cs="Calibri"/>
        </w:rPr>
        <w:t>A</w:t>
      </w:r>
      <w:r w:rsidR="001F21EC" w:rsidRPr="00D074CB">
        <w:rPr>
          <w:rFonts w:ascii="Calibri" w:hAnsi="Calibri" w:cs="Calibri"/>
        </w:rPr>
        <w:t xml:space="preserve">bout a week after the outbreak of the war, the Bank of Israel announced a </w:t>
      </w:r>
      <w:hyperlink r:id="rId12" w:history="1">
        <w:r w:rsidR="001F21EC" w:rsidRPr="00D074CB">
          <w:rPr>
            <w:rStyle w:val="Hyperlink"/>
            <w:rFonts w:ascii="Calibri" w:hAnsi="Calibri" w:cs="Calibri"/>
          </w:rPr>
          <w:t>comprehensive program</w:t>
        </w:r>
      </w:hyperlink>
      <w:r w:rsidR="001F21EC" w:rsidRPr="00D074CB">
        <w:rPr>
          <w:rFonts w:ascii="Calibri" w:hAnsi="Calibri" w:cs="Calibri"/>
        </w:rPr>
        <w:t xml:space="preserve"> to ease the burden of credit and fees, which was adopted by the banks, with the aim of helping customers in dealing with the </w:t>
      </w:r>
      <w:r w:rsidRPr="00D074CB">
        <w:rPr>
          <w:rFonts w:ascii="Calibri" w:hAnsi="Calibri" w:cs="Calibri"/>
        </w:rPr>
        <w:t>consequences</w:t>
      </w:r>
      <w:r w:rsidR="001F21EC" w:rsidRPr="00D074CB">
        <w:rPr>
          <w:rFonts w:ascii="Calibri" w:hAnsi="Calibri" w:cs="Calibri"/>
        </w:rPr>
        <w:t xml:space="preserve"> of the war.  </w:t>
      </w:r>
      <w:r w:rsidRPr="00D074CB">
        <w:rPr>
          <w:rFonts w:ascii="Calibri" w:hAnsi="Calibri" w:cs="Calibri"/>
        </w:rPr>
        <w:t>A few weeks after the war started</w:t>
      </w:r>
      <w:r w:rsidR="001F21EC" w:rsidRPr="00D074CB">
        <w:rPr>
          <w:rFonts w:ascii="Calibri" w:hAnsi="Calibri" w:cs="Calibri"/>
        </w:rPr>
        <w:t xml:space="preserve">, and in view of the fact that residents of the north were also evacuated from their homes, </w:t>
      </w:r>
      <w:hyperlink r:id="rId13" w:history="1">
        <w:r w:rsidR="001F21EC" w:rsidRPr="00D074CB">
          <w:rPr>
            <w:rStyle w:val="Hyperlink"/>
            <w:rFonts w:ascii="Calibri" w:hAnsi="Calibri" w:cs="Calibri"/>
          </w:rPr>
          <w:t>the program was expanded</w:t>
        </w:r>
      </w:hyperlink>
      <w:r w:rsidR="001F21EC" w:rsidRPr="00D074CB">
        <w:rPr>
          <w:rFonts w:ascii="Calibri" w:hAnsi="Calibri" w:cs="Calibri"/>
        </w:rPr>
        <w:t xml:space="preserve"> to include residents of the north.  </w:t>
      </w:r>
      <w:r w:rsidRPr="00D074CB">
        <w:rPr>
          <w:rFonts w:ascii="Calibri" w:hAnsi="Calibri" w:cs="Calibri"/>
        </w:rPr>
        <w:t>In</w:t>
      </w:r>
      <w:r w:rsidR="008D56FA" w:rsidRPr="00D074CB">
        <w:rPr>
          <w:rFonts w:ascii="Calibri" w:hAnsi="Calibri" w:cs="Calibri"/>
        </w:rPr>
        <w:t xml:space="preserve"> December 2023, in</w:t>
      </w:r>
      <w:r w:rsidRPr="00D074CB">
        <w:rPr>
          <w:rFonts w:ascii="Calibri" w:hAnsi="Calibri" w:cs="Calibri"/>
        </w:rPr>
        <w:t xml:space="preserve"> view of the continuation of the war, the Bank of Israel announced </w:t>
      </w:r>
      <w:hyperlink r:id="rId14" w:history="1">
        <w:r w:rsidRPr="00D074CB">
          <w:rPr>
            <w:rStyle w:val="Hyperlink"/>
            <w:rFonts w:ascii="Calibri" w:hAnsi="Calibri" w:cs="Calibri"/>
          </w:rPr>
          <w:t>a further three-month extension of the program</w:t>
        </w:r>
      </w:hyperlink>
      <w:r w:rsidRPr="00D074CB">
        <w:rPr>
          <w:rFonts w:ascii="Calibri" w:hAnsi="Calibri" w:cs="Calibri"/>
        </w:rPr>
        <w:t xml:space="preserve">, which was adopted by the banks, and expanded the program to additional population groups. </w:t>
      </w:r>
    </w:p>
    <w:p w14:paraId="4BF44F59" w14:textId="0B5750EC" w:rsidR="00B17288" w:rsidRPr="00D074CB" w:rsidRDefault="00B17288" w:rsidP="00B17288">
      <w:pPr>
        <w:pStyle w:val="regpar"/>
        <w:ind w:firstLine="0"/>
        <w:rPr>
          <w:rFonts w:ascii="Calibri" w:hAnsi="Calibri" w:cs="Calibri"/>
        </w:rPr>
      </w:pPr>
    </w:p>
    <w:p w14:paraId="2FC83598" w14:textId="1689B939" w:rsidR="00B17288" w:rsidRPr="00D074CB" w:rsidRDefault="008D56FA" w:rsidP="00B17288">
      <w:pPr>
        <w:pStyle w:val="regpar"/>
        <w:ind w:firstLine="0"/>
        <w:rPr>
          <w:rFonts w:ascii="Calibri" w:hAnsi="Calibri" w:cs="Calibri"/>
        </w:rPr>
      </w:pPr>
      <w:r w:rsidRPr="00D074CB">
        <w:rPr>
          <w:rFonts w:ascii="Calibri" w:hAnsi="Calibri" w:cs="Calibri"/>
        </w:rPr>
        <w:lastRenderedPageBreak/>
        <w:t xml:space="preserve">In March 2024, in view of the security situation and with the aim of easing the situation particularly for reserve soldiers, the Bank of Israel announced </w:t>
      </w:r>
      <w:hyperlink r:id="rId15" w:history="1">
        <w:r w:rsidRPr="00D074CB">
          <w:rPr>
            <w:rStyle w:val="Hyperlink"/>
            <w:rFonts w:ascii="Calibri" w:hAnsi="Calibri" w:cs="Calibri"/>
          </w:rPr>
          <w:t>a further extension and expansion of the program</w:t>
        </w:r>
      </w:hyperlink>
      <w:r w:rsidRPr="00D074CB">
        <w:rPr>
          <w:rFonts w:ascii="Calibri" w:hAnsi="Calibri" w:cs="Calibri"/>
        </w:rPr>
        <w:t xml:space="preserve">.  In view of the continuing security tension, and based on situation assessments, the Bank of Israel announced </w:t>
      </w:r>
      <w:hyperlink r:id="rId16" w:history="1">
        <w:r w:rsidRPr="00D074CB">
          <w:rPr>
            <w:rStyle w:val="Hyperlink"/>
            <w:rFonts w:ascii="Calibri" w:hAnsi="Calibri" w:cs="Calibri"/>
          </w:rPr>
          <w:t>a further extension of the program</w:t>
        </w:r>
      </w:hyperlink>
      <w:r w:rsidRPr="00D074CB">
        <w:rPr>
          <w:rFonts w:ascii="Calibri" w:hAnsi="Calibri" w:cs="Calibri"/>
        </w:rPr>
        <w:t xml:space="preserve"> in June 2024.</w:t>
      </w:r>
    </w:p>
    <w:p w14:paraId="579BB0D8" w14:textId="0ADC3AF8" w:rsidR="00B17288" w:rsidRPr="00D074CB" w:rsidRDefault="00B17288" w:rsidP="00B17288">
      <w:pPr>
        <w:pStyle w:val="regpar"/>
        <w:ind w:firstLine="0"/>
        <w:rPr>
          <w:rFonts w:ascii="Calibri" w:hAnsi="Calibri" w:cs="Calibri"/>
        </w:rPr>
      </w:pPr>
    </w:p>
    <w:p w14:paraId="2580DE72" w14:textId="05294C15" w:rsidR="00B17288" w:rsidRPr="00D074CB" w:rsidRDefault="008D56FA" w:rsidP="008D56FA">
      <w:pPr>
        <w:pStyle w:val="regpar"/>
        <w:ind w:firstLine="0"/>
        <w:rPr>
          <w:rFonts w:ascii="Calibri" w:hAnsi="Calibri" w:cs="Calibri"/>
        </w:rPr>
      </w:pPr>
      <w:r w:rsidRPr="00D074CB">
        <w:rPr>
          <w:rFonts w:ascii="Calibri" w:hAnsi="Calibri" w:cs="Calibri"/>
        </w:rPr>
        <w:t>The existing program, which is in effect until September 30, 2024, enables customers who have been directly impacted by damage from the war</w:t>
      </w:r>
      <w:r w:rsidRPr="00D074CB">
        <w:rPr>
          <w:rStyle w:val="a6"/>
          <w:rFonts w:ascii="Calibri" w:hAnsi="Calibri" w:cs="Calibri"/>
        </w:rPr>
        <w:footnoteReference w:id="1"/>
      </w:r>
      <w:r w:rsidRPr="00D074CB">
        <w:rPr>
          <w:rFonts w:ascii="Calibri" w:hAnsi="Calibri" w:cs="Calibri"/>
        </w:rPr>
        <w:t xml:space="preserve"> to defer loan and mortgage repayments</w:t>
      </w:r>
      <w:r w:rsidRPr="00D074CB">
        <w:rPr>
          <w:rStyle w:val="a6"/>
          <w:rFonts w:ascii="Calibri" w:hAnsi="Calibri" w:cs="Calibri"/>
        </w:rPr>
        <w:footnoteReference w:id="2"/>
      </w:r>
      <w:r w:rsidRPr="00D074CB">
        <w:rPr>
          <w:rFonts w:ascii="Calibri" w:hAnsi="Calibri" w:cs="Calibri"/>
        </w:rPr>
        <w:t xml:space="preserve"> without interest and fees, and to obtain an exemption from most fees related to the regular management of their current accounts, and an exemption on interest on </w:t>
      </w:r>
      <w:proofErr w:type="spellStart"/>
      <w:r w:rsidRPr="00D074CB">
        <w:rPr>
          <w:rFonts w:ascii="Calibri" w:hAnsi="Calibri" w:cs="Calibri"/>
        </w:rPr>
        <w:t>debit</w:t>
      </w:r>
      <w:proofErr w:type="spellEnd"/>
      <w:r w:rsidRPr="00D074CB">
        <w:rPr>
          <w:rFonts w:ascii="Calibri" w:hAnsi="Calibri" w:cs="Calibri"/>
        </w:rPr>
        <w:t xml:space="preserve"> balances up to a predetermined amount, for a period of three months from when they join the program, subject to the program’s terms.</w:t>
      </w:r>
    </w:p>
    <w:p w14:paraId="1C587E8C" w14:textId="09FB8E30" w:rsidR="008D56FA" w:rsidRPr="00D074CB" w:rsidRDefault="008D56FA" w:rsidP="008D56FA">
      <w:pPr>
        <w:pStyle w:val="regpar"/>
        <w:ind w:firstLine="0"/>
        <w:rPr>
          <w:rFonts w:ascii="Calibri" w:hAnsi="Calibri" w:cs="Calibri"/>
        </w:rPr>
      </w:pPr>
    </w:p>
    <w:p w14:paraId="128A8C4D" w14:textId="3EC5C51D" w:rsidR="008D56FA" w:rsidRPr="00D074CB" w:rsidRDefault="008D56FA" w:rsidP="008D56FA">
      <w:pPr>
        <w:pStyle w:val="regpar"/>
        <w:ind w:firstLine="0"/>
        <w:rPr>
          <w:rFonts w:ascii="Calibri" w:hAnsi="Calibri" w:cs="Calibri"/>
        </w:rPr>
      </w:pPr>
      <w:r w:rsidRPr="00D074CB">
        <w:rPr>
          <w:rFonts w:ascii="Calibri" w:hAnsi="Calibri" w:cs="Calibri"/>
        </w:rPr>
        <w:t>Other customers are given the option of deferring loan and mortgage repayments without fees for a period of three months, with the deferred payments bearing interest that shall not exceed the contractual interest rate on the loan.</w:t>
      </w:r>
    </w:p>
    <w:p w14:paraId="7EC80E7A" w14:textId="77777777" w:rsidR="008D56FA" w:rsidRPr="00D074CB" w:rsidRDefault="008D56FA" w:rsidP="00B17288">
      <w:pPr>
        <w:pStyle w:val="regpar"/>
        <w:ind w:firstLine="0"/>
        <w:rPr>
          <w:rFonts w:ascii="Calibri" w:hAnsi="Calibri" w:cs="Calibri"/>
        </w:rPr>
      </w:pPr>
    </w:p>
    <w:p w14:paraId="1A960089" w14:textId="744F1301" w:rsidR="00B17288" w:rsidRPr="00D074CB" w:rsidRDefault="00655C51" w:rsidP="00B17288">
      <w:pPr>
        <w:pStyle w:val="regpar"/>
        <w:ind w:firstLine="0"/>
        <w:rPr>
          <w:rFonts w:ascii="Calibri" w:hAnsi="Calibri" w:cs="Calibri"/>
          <w:u w:val="single"/>
        </w:rPr>
      </w:pPr>
      <w:r w:rsidRPr="00D074CB">
        <w:rPr>
          <w:rFonts w:ascii="Calibri" w:hAnsi="Calibri" w:cs="Calibri"/>
          <w:u w:val="single"/>
        </w:rPr>
        <w:t>Background data as of August 31, 2024:</w:t>
      </w:r>
    </w:p>
    <w:p w14:paraId="1898F18C" w14:textId="3E7735CA" w:rsidR="00655C51" w:rsidRPr="00D074CB" w:rsidRDefault="00655C51" w:rsidP="00B17288">
      <w:pPr>
        <w:pStyle w:val="regpar"/>
        <w:ind w:firstLine="0"/>
        <w:rPr>
          <w:rFonts w:ascii="Calibri" w:hAnsi="Calibri" w:cs="Calibri"/>
        </w:rPr>
      </w:pPr>
    </w:p>
    <w:p w14:paraId="7E576D7B" w14:textId="15CDB0D1" w:rsidR="00655C51" w:rsidRPr="00D074CB" w:rsidRDefault="00655C51" w:rsidP="00B17288">
      <w:pPr>
        <w:pStyle w:val="regpar"/>
        <w:ind w:firstLine="0"/>
        <w:rPr>
          <w:rFonts w:ascii="Calibri" w:hAnsi="Calibri" w:cs="Calibri"/>
        </w:rPr>
      </w:pPr>
      <w:r w:rsidRPr="00D074CB">
        <w:rPr>
          <w:rFonts w:ascii="Calibri" w:hAnsi="Calibri" w:cs="Calibri"/>
        </w:rPr>
        <w:t>In total, about 460,000 loans worth a total of about NIS 9 billion have been deferred.</w:t>
      </w:r>
    </w:p>
    <w:p w14:paraId="0F04FD46" w14:textId="4D751483" w:rsidR="00655C51" w:rsidRPr="00D074CB" w:rsidRDefault="00655C51" w:rsidP="00B17288">
      <w:pPr>
        <w:pStyle w:val="regpar"/>
        <w:ind w:firstLine="0"/>
        <w:rPr>
          <w:rFonts w:ascii="Calibri" w:hAnsi="Calibri" w:cs="Calibri"/>
        </w:rPr>
      </w:pPr>
    </w:p>
    <w:p w14:paraId="1FA0B444" w14:textId="02168267" w:rsidR="00655C51" w:rsidRPr="00D074CB" w:rsidRDefault="00655C51" w:rsidP="00B17288">
      <w:pPr>
        <w:pStyle w:val="regpar"/>
        <w:ind w:firstLine="0"/>
        <w:rPr>
          <w:rFonts w:ascii="Calibri" w:hAnsi="Calibri" w:cs="Calibri"/>
        </w:rPr>
      </w:pPr>
      <w:r w:rsidRPr="00D074CB">
        <w:rPr>
          <w:rFonts w:ascii="Calibri" w:hAnsi="Calibri" w:cs="Calibri"/>
        </w:rPr>
        <w:t>About 40 percent of the amounts were deferred by households, with the rest being deferred by the business sector.  About 73 percent of the deferred loans were for the household sector.</w:t>
      </w:r>
    </w:p>
    <w:p w14:paraId="349552A1" w14:textId="5F8FC095" w:rsidR="00655C51" w:rsidRPr="00D074CB" w:rsidRDefault="00655C51" w:rsidP="00B17288">
      <w:pPr>
        <w:pStyle w:val="regpar"/>
        <w:ind w:firstLine="0"/>
        <w:rPr>
          <w:rFonts w:ascii="Calibri" w:hAnsi="Calibri" w:cs="Calibri"/>
        </w:rPr>
      </w:pPr>
    </w:p>
    <w:p w14:paraId="28DBF9A9" w14:textId="4EA7AC1E" w:rsidR="00655C51" w:rsidRPr="00D074CB" w:rsidRDefault="00655C51" w:rsidP="00B17288">
      <w:pPr>
        <w:pStyle w:val="regpar"/>
        <w:ind w:firstLine="0"/>
        <w:rPr>
          <w:rFonts w:ascii="Calibri" w:hAnsi="Calibri" w:cs="Calibri"/>
        </w:rPr>
      </w:pPr>
      <w:r w:rsidRPr="00D074CB">
        <w:rPr>
          <w:rFonts w:ascii="Calibri" w:hAnsi="Calibri" w:cs="Calibri"/>
        </w:rPr>
        <w:t>About 80 percent of the deferred total belongs to loans for which the deferrals have ended.  These loans account for about 83 percent of the number of deferrals.</w:t>
      </w:r>
    </w:p>
    <w:p w14:paraId="1182C980" w14:textId="6178FBBB" w:rsidR="00655C51" w:rsidRPr="00D074CB" w:rsidRDefault="00655C51" w:rsidP="00B17288">
      <w:pPr>
        <w:pStyle w:val="regpar"/>
        <w:ind w:firstLine="0"/>
        <w:rPr>
          <w:rFonts w:ascii="Calibri" w:hAnsi="Calibri" w:cs="Calibri"/>
        </w:rPr>
      </w:pPr>
    </w:p>
    <w:p w14:paraId="795E12AA" w14:textId="46A429C0" w:rsidR="00655C51" w:rsidRPr="00D074CB" w:rsidRDefault="00655C51" w:rsidP="00655C51">
      <w:pPr>
        <w:pStyle w:val="regpar"/>
        <w:ind w:firstLine="0"/>
        <w:rPr>
          <w:rFonts w:ascii="Calibri" w:hAnsi="Calibri" w:cs="Calibri"/>
        </w:rPr>
      </w:pPr>
      <w:r w:rsidRPr="00D074CB">
        <w:rPr>
          <w:rFonts w:ascii="Calibri" w:hAnsi="Calibri" w:cs="Calibri"/>
        </w:rPr>
        <w:t>The vast majority of borrowers for whom the deferral of loans has ended have resumed regular payments.</w:t>
      </w:r>
    </w:p>
    <w:p w14:paraId="30AF655A" w14:textId="77777777" w:rsidR="00655C51" w:rsidRPr="00D074CB" w:rsidRDefault="00655C51" w:rsidP="00B17288">
      <w:pPr>
        <w:pStyle w:val="regpar"/>
        <w:ind w:firstLine="0"/>
        <w:rPr>
          <w:rFonts w:ascii="Calibri" w:hAnsi="Calibri" w:cs="Calibri"/>
        </w:rPr>
      </w:pPr>
    </w:p>
    <w:p w14:paraId="6F87A4A6" w14:textId="41C468AB" w:rsidR="001F21EC" w:rsidRPr="00D074CB" w:rsidRDefault="001F21EC" w:rsidP="001F21EC">
      <w:pPr>
        <w:pStyle w:val="regpar"/>
        <w:ind w:firstLine="0"/>
        <w:rPr>
          <w:rFonts w:ascii="Calibri" w:hAnsi="Calibri" w:cs="Calibri"/>
        </w:rPr>
      </w:pPr>
    </w:p>
    <w:p w14:paraId="26F04569" w14:textId="195340FC" w:rsidR="001F21EC" w:rsidRPr="00D074CB" w:rsidRDefault="00B62206" w:rsidP="00655C51">
      <w:pPr>
        <w:pStyle w:val="regpar"/>
        <w:ind w:firstLine="0"/>
        <w:rPr>
          <w:rFonts w:ascii="Calibri" w:hAnsi="Calibri" w:cs="Calibri"/>
          <w:b/>
          <w:bCs/>
        </w:rPr>
      </w:pPr>
      <w:r w:rsidRPr="00D074CB">
        <w:rPr>
          <w:rFonts w:ascii="Calibri" w:hAnsi="Calibri" w:cs="Calibri"/>
          <w:b/>
          <w:bCs/>
        </w:rPr>
        <w:t xml:space="preserve">Extension </w:t>
      </w:r>
      <w:r w:rsidR="001F21EC" w:rsidRPr="00D074CB">
        <w:rPr>
          <w:rFonts w:ascii="Calibri" w:hAnsi="Calibri" w:cs="Calibri"/>
          <w:b/>
          <w:bCs/>
        </w:rPr>
        <w:t>of the program</w:t>
      </w:r>
      <w:r w:rsidR="00655C51" w:rsidRPr="00D074CB">
        <w:rPr>
          <w:rFonts w:ascii="Calibri" w:hAnsi="Calibri" w:cs="Calibri"/>
          <w:b/>
          <w:bCs/>
        </w:rPr>
        <w:t xml:space="preserve"> to the end of 2024</w:t>
      </w:r>
    </w:p>
    <w:p w14:paraId="6CBBB457" w14:textId="7722531D" w:rsidR="001F21EC" w:rsidRPr="00D074CB" w:rsidRDefault="001F21EC" w:rsidP="001F21EC">
      <w:pPr>
        <w:pStyle w:val="regpar"/>
        <w:ind w:firstLine="0"/>
        <w:rPr>
          <w:rFonts w:ascii="Calibri" w:hAnsi="Calibri" w:cs="Calibri"/>
        </w:rPr>
      </w:pPr>
    </w:p>
    <w:p w14:paraId="133FAC21" w14:textId="5F13DAE5" w:rsidR="00655C51" w:rsidRPr="00D074CB" w:rsidRDefault="00655C51" w:rsidP="00B62206">
      <w:pPr>
        <w:pStyle w:val="regpar"/>
        <w:ind w:firstLine="0"/>
        <w:rPr>
          <w:rFonts w:ascii="Calibri" w:hAnsi="Calibri" w:cs="Calibri"/>
        </w:rPr>
      </w:pPr>
      <w:r w:rsidRPr="00D074CB">
        <w:rPr>
          <w:rFonts w:ascii="Calibri" w:hAnsi="Calibri" w:cs="Calibri"/>
        </w:rPr>
        <w:t>With the aim of continuing to help the population ease its cash flow while preparing to return to a regular payment routine, it has been decided to extend the program adopted by the banks for an additional three months, until the end of 2024, and to make the following adjustments to the group eligible as first-degree customers:</w:t>
      </w:r>
    </w:p>
    <w:p w14:paraId="4F627C15" w14:textId="103F247F" w:rsidR="001F21EC" w:rsidRPr="00D074CB" w:rsidRDefault="001F21EC" w:rsidP="001F21EC">
      <w:pPr>
        <w:pStyle w:val="regpar"/>
        <w:ind w:firstLine="0"/>
        <w:rPr>
          <w:rFonts w:ascii="Calibri" w:hAnsi="Calibri" w:cs="Calibri"/>
        </w:rPr>
      </w:pPr>
    </w:p>
    <w:p w14:paraId="40E976F5" w14:textId="77777777" w:rsidR="00655C51" w:rsidRPr="00D074CB" w:rsidRDefault="001F21EC" w:rsidP="00655C51">
      <w:pPr>
        <w:pStyle w:val="regpar"/>
        <w:ind w:firstLine="0"/>
        <w:rPr>
          <w:rFonts w:ascii="Calibri" w:hAnsi="Calibri" w:cs="Calibri"/>
          <w:b/>
          <w:bCs/>
          <w:u w:val="single"/>
        </w:rPr>
      </w:pPr>
      <w:r w:rsidRPr="00D074CB">
        <w:rPr>
          <w:rFonts w:ascii="Calibri" w:hAnsi="Calibri" w:cs="Calibri"/>
          <w:b/>
          <w:bCs/>
          <w:u w:val="single"/>
        </w:rPr>
        <w:t xml:space="preserve">Extending the existing program by an additional three months, </w:t>
      </w:r>
      <w:r w:rsidR="00655C51" w:rsidRPr="00D074CB">
        <w:rPr>
          <w:rFonts w:ascii="Calibri" w:hAnsi="Calibri" w:cs="Calibri"/>
          <w:b/>
          <w:bCs/>
          <w:u w:val="single"/>
        </w:rPr>
        <w:t>to December 3</w:t>
      </w:r>
      <w:r w:rsidRPr="00D074CB">
        <w:rPr>
          <w:rFonts w:ascii="Calibri" w:hAnsi="Calibri" w:cs="Calibri"/>
          <w:b/>
          <w:bCs/>
          <w:u w:val="single"/>
        </w:rPr>
        <w:t xml:space="preserve">1, 2024, </w:t>
      </w:r>
      <w:r w:rsidR="00655C51" w:rsidRPr="00D074CB">
        <w:rPr>
          <w:rFonts w:ascii="Calibri" w:hAnsi="Calibri" w:cs="Calibri"/>
          <w:b/>
          <w:bCs/>
          <w:u w:val="single"/>
        </w:rPr>
        <w:t>subject to the following exceptions:</w:t>
      </w:r>
    </w:p>
    <w:p w14:paraId="343F4E8C" w14:textId="77777777" w:rsidR="00655C51" w:rsidRPr="00D074CB" w:rsidRDefault="00655C51" w:rsidP="00655C51">
      <w:pPr>
        <w:pStyle w:val="regpar"/>
        <w:ind w:firstLine="0"/>
        <w:rPr>
          <w:rFonts w:ascii="Calibri" w:hAnsi="Calibri" w:cs="Calibri"/>
          <w:b/>
          <w:bCs/>
        </w:rPr>
      </w:pPr>
    </w:p>
    <w:p w14:paraId="7008C8A3" w14:textId="4311750B" w:rsidR="00655C51" w:rsidRPr="00D074CB" w:rsidRDefault="00655C51" w:rsidP="00655C51">
      <w:pPr>
        <w:pStyle w:val="regpar"/>
        <w:numPr>
          <w:ilvl w:val="0"/>
          <w:numId w:val="21"/>
        </w:numPr>
        <w:rPr>
          <w:rFonts w:ascii="Calibri" w:hAnsi="Calibri" w:cs="Calibri"/>
          <w:b/>
          <w:bCs/>
        </w:rPr>
      </w:pPr>
      <w:r w:rsidRPr="00D074CB">
        <w:rPr>
          <w:rFonts w:ascii="Calibri" w:hAnsi="Calibri" w:cs="Calibri"/>
          <w:b/>
          <w:bCs/>
        </w:rPr>
        <w:t>Adjustments to the group eligible as first-degree customers with regard to residents of the south:</w:t>
      </w:r>
      <w:r w:rsidRPr="00D074CB">
        <w:rPr>
          <w:rFonts w:ascii="Calibri" w:hAnsi="Calibri" w:cs="Calibri"/>
        </w:rPr>
        <w:t xml:space="preserve"> The leniencies offered as part of the program will be given to people who live, or who own a business located, within a range of 7 km from the Gaza Strip (instead of up to 30 km from the Gaza Strip).</w:t>
      </w:r>
    </w:p>
    <w:p w14:paraId="0FC41212" w14:textId="55BD3345" w:rsidR="00655C51" w:rsidRPr="00D074CB" w:rsidRDefault="00655C51" w:rsidP="002C7777">
      <w:pPr>
        <w:pStyle w:val="regpar"/>
        <w:numPr>
          <w:ilvl w:val="0"/>
          <w:numId w:val="21"/>
        </w:numPr>
        <w:rPr>
          <w:rFonts w:ascii="Calibri" w:hAnsi="Calibri" w:cs="Calibri"/>
          <w:b/>
          <w:bCs/>
        </w:rPr>
      </w:pPr>
      <w:r w:rsidRPr="00D074CB">
        <w:rPr>
          <w:rFonts w:ascii="Calibri" w:hAnsi="Calibri" w:cs="Calibri"/>
          <w:b/>
          <w:bCs/>
        </w:rPr>
        <w:lastRenderedPageBreak/>
        <w:t xml:space="preserve">The other first-degree customer groups will remain unchanged: </w:t>
      </w:r>
      <w:r w:rsidRPr="00D074CB">
        <w:rPr>
          <w:rFonts w:ascii="Calibri" w:hAnsi="Calibri" w:cs="Calibri"/>
        </w:rPr>
        <w:t xml:space="preserve">Residents of the north who have been evacuated from their homes; accounts of kidnapped or missing victims and of first-degree relatives of those killed in the war and of kidnapped or missing victims; </w:t>
      </w:r>
      <w:r w:rsidR="001D0D75" w:rsidRPr="00D074CB">
        <w:rPr>
          <w:rFonts w:ascii="Calibri" w:hAnsi="Calibri" w:cs="Calibri"/>
        </w:rPr>
        <w:t xml:space="preserve">reserve soldiers; reserve soldiers who have been hospitalized for at least 7 days due to injury caused by the war; and victims of the Nova, </w:t>
      </w:r>
      <w:proofErr w:type="spellStart"/>
      <w:r w:rsidR="001D0D75" w:rsidRPr="00D074CB">
        <w:rPr>
          <w:rFonts w:ascii="Calibri" w:hAnsi="Calibri" w:cs="Calibri"/>
        </w:rPr>
        <w:t>Psy</w:t>
      </w:r>
      <w:r w:rsidR="002C7777" w:rsidRPr="00D074CB">
        <w:rPr>
          <w:rFonts w:ascii="Calibri" w:hAnsi="Calibri" w:cs="Calibri"/>
        </w:rPr>
        <w:t>d</w:t>
      </w:r>
      <w:r w:rsidR="001D0D75" w:rsidRPr="00D074CB">
        <w:rPr>
          <w:rFonts w:ascii="Calibri" w:hAnsi="Calibri" w:cs="Calibri"/>
        </w:rPr>
        <w:t>uck</w:t>
      </w:r>
      <w:proofErr w:type="spellEnd"/>
      <w:r w:rsidR="001D0D75" w:rsidRPr="00D074CB">
        <w:rPr>
          <w:rFonts w:ascii="Calibri" w:hAnsi="Calibri" w:cs="Calibri"/>
        </w:rPr>
        <w:t xml:space="preserve">, and </w:t>
      </w:r>
      <w:proofErr w:type="spellStart"/>
      <w:r w:rsidR="001D0D75" w:rsidRPr="00D074CB">
        <w:rPr>
          <w:rFonts w:ascii="Calibri" w:hAnsi="Calibri" w:cs="Calibri"/>
        </w:rPr>
        <w:t>Midburn</w:t>
      </w:r>
      <w:proofErr w:type="spellEnd"/>
      <w:r w:rsidR="001D0D75" w:rsidRPr="00D074CB">
        <w:rPr>
          <w:rFonts w:ascii="Calibri" w:hAnsi="Calibri" w:cs="Calibri"/>
        </w:rPr>
        <w:t xml:space="preserve"> festivals.</w:t>
      </w:r>
    </w:p>
    <w:p w14:paraId="3F833A58" w14:textId="15800366" w:rsidR="001D0D75" w:rsidRPr="00D074CB" w:rsidRDefault="001D0D75" w:rsidP="00655C51">
      <w:pPr>
        <w:pStyle w:val="regpar"/>
        <w:numPr>
          <w:ilvl w:val="0"/>
          <w:numId w:val="21"/>
        </w:numPr>
        <w:rPr>
          <w:rFonts w:ascii="Calibri" w:hAnsi="Calibri" w:cs="Calibri"/>
          <w:b/>
          <w:bCs/>
        </w:rPr>
      </w:pPr>
      <w:r w:rsidRPr="00D074CB">
        <w:rPr>
          <w:rFonts w:ascii="Calibri" w:hAnsi="Calibri" w:cs="Calibri"/>
          <w:b/>
          <w:bCs/>
        </w:rPr>
        <w:t>There is also no change with regard to the program’s applicability to second-degree customers.</w:t>
      </w:r>
    </w:p>
    <w:p w14:paraId="6B0F1EB1" w14:textId="06CA7116" w:rsidR="001D0D75" w:rsidRPr="00D074CB" w:rsidRDefault="001D0D75" w:rsidP="00655C51">
      <w:pPr>
        <w:pStyle w:val="regpar"/>
        <w:numPr>
          <w:ilvl w:val="0"/>
          <w:numId w:val="21"/>
        </w:numPr>
        <w:rPr>
          <w:rFonts w:ascii="Calibri" w:hAnsi="Calibri" w:cs="Calibri"/>
          <w:b/>
          <w:bCs/>
        </w:rPr>
      </w:pPr>
      <w:r w:rsidRPr="00D074CB">
        <w:rPr>
          <w:rFonts w:ascii="Calibri" w:hAnsi="Calibri" w:cs="Calibri"/>
          <w:b/>
          <w:bCs/>
        </w:rPr>
        <w:t>Deferral of loan and mortgage repayments:</w:t>
      </w:r>
      <w:r w:rsidRPr="00D074CB">
        <w:rPr>
          <w:rFonts w:ascii="Calibri" w:hAnsi="Calibri" w:cs="Calibri"/>
        </w:rPr>
        <w:t xml:space="preserve"> The period for submitting requests to defer loan repayments as part of the program will be extended by an additional three months, to the end of 2024.  However, the maximum cumulative deferral period as part of the program will be 9 months for each loan.  Customers who have already deferred payments for a period of 9 months and are still having financial difficulty meeting their loan repayments should contact their bank and ask them to consider further leniencies.  Each case will be examined by the bank with the appropriate sensitivity.</w:t>
      </w:r>
    </w:p>
    <w:p w14:paraId="1F611490" w14:textId="3A0F2E82" w:rsidR="001D0D75" w:rsidRPr="00D074CB" w:rsidRDefault="001D0D75" w:rsidP="001D0D75">
      <w:pPr>
        <w:pStyle w:val="regpar"/>
        <w:ind w:left="720" w:firstLine="0"/>
        <w:rPr>
          <w:rFonts w:ascii="Calibri" w:hAnsi="Calibri" w:cs="Calibri"/>
          <w:b/>
          <w:bCs/>
        </w:rPr>
      </w:pPr>
      <w:r w:rsidRPr="00D074CB">
        <w:rPr>
          <w:rFonts w:ascii="Calibri" w:hAnsi="Calibri" w:cs="Calibri"/>
          <w:b/>
          <w:bCs/>
        </w:rPr>
        <w:t>Notwithstanding the foregoing, loan and mortgage repayment deferrals will be permitted for a cumulative period of up to 12 months for the following population groups:</w:t>
      </w:r>
    </w:p>
    <w:p w14:paraId="7377F7BB" w14:textId="07B4E822" w:rsidR="001D0D75" w:rsidRPr="00D074CB" w:rsidRDefault="001D0D75" w:rsidP="001D0D75">
      <w:pPr>
        <w:pStyle w:val="regpar"/>
        <w:numPr>
          <w:ilvl w:val="0"/>
          <w:numId w:val="22"/>
        </w:numPr>
        <w:ind w:left="1134"/>
        <w:rPr>
          <w:rFonts w:ascii="Calibri" w:hAnsi="Calibri" w:cs="Calibri"/>
          <w:b/>
          <w:bCs/>
        </w:rPr>
      </w:pPr>
      <w:r w:rsidRPr="00D074CB">
        <w:rPr>
          <w:rFonts w:ascii="Calibri" w:hAnsi="Calibri" w:cs="Calibri"/>
        </w:rPr>
        <w:t>People who live or own a business in one of the localities in the north that have been evacuated by an official agency as of November 7, 2023, and people who live in one of the localities in the north that the government has decided to evacuate but has not yet done so, in accordance with the list that appears on the Bank of Israel website.</w:t>
      </w:r>
    </w:p>
    <w:p w14:paraId="423A22D0" w14:textId="4794C680" w:rsidR="001D0D75" w:rsidRPr="00D074CB" w:rsidRDefault="001D0D75" w:rsidP="001D0D75">
      <w:pPr>
        <w:pStyle w:val="regpar"/>
        <w:numPr>
          <w:ilvl w:val="0"/>
          <w:numId w:val="22"/>
        </w:numPr>
        <w:ind w:left="1134"/>
        <w:rPr>
          <w:rFonts w:ascii="Calibri" w:hAnsi="Calibri" w:cs="Calibri"/>
          <w:b/>
          <w:bCs/>
        </w:rPr>
      </w:pPr>
      <w:r w:rsidRPr="00D074CB">
        <w:rPr>
          <w:rFonts w:ascii="Calibri" w:hAnsi="Calibri" w:cs="Calibri"/>
        </w:rPr>
        <w:t>Reserve soldiers who are on active duty during the program’s revised period—October 1, 2024–December 31, 2024.</w:t>
      </w:r>
    </w:p>
    <w:p w14:paraId="6167E112" w14:textId="7E05BE4E" w:rsidR="001F21EC" w:rsidRPr="00D074CB" w:rsidRDefault="001D0D75" w:rsidP="00744FCE">
      <w:pPr>
        <w:pStyle w:val="regpar"/>
        <w:numPr>
          <w:ilvl w:val="0"/>
          <w:numId w:val="21"/>
        </w:numPr>
        <w:rPr>
          <w:rFonts w:ascii="Calibri" w:hAnsi="Calibri" w:cs="Calibri"/>
          <w:b/>
          <w:bCs/>
        </w:rPr>
      </w:pPr>
      <w:r w:rsidRPr="00D074CB">
        <w:rPr>
          <w:rFonts w:ascii="Calibri" w:hAnsi="Calibri" w:cs="Calibri"/>
          <w:b/>
          <w:bCs/>
        </w:rPr>
        <w:t xml:space="preserve">Exemption from interest and fee payments resulting from the regular management of a current account and from interest on </w:t>
      </w:r>
      <w:r w:rsidR="00744FCE" w:rsidRPr="00D074CB">
        <w:rPr>
          <w:rFonts w:ascii="Calibri" w:hAnsi="Calibri" w:cs="Calibri"/>
          <w:b/>
          <w:bCs/>
        </w:rPr>
        <w:t xml:space="preserve">current account </w:t>
      </w:r>
      <w:r w:rsidRPr="00D074CB">
        <w:rPr>
          <w:rFonts w:ascii="Calibri" w:hAnsi="Calibri" w:cs="Calibri"/>
          <w:b/>
          <w:bCs/>
        </w:rPr>
        <w:t>debit balances:</w:t>
      </w:r>
      <w:r w:rsidRPr="00D074CB">
        <w:rPr>
          <w:rFonts w:ascii="Calibri" w:hAnsi="Calibri" w:cs="Calibri"/>
        </w:rPr>
        <w:t xml:space="preserve"> These leniencies will be extended as part of the program for an additional three months for first-degree customers, </w:t>
      </w:r>
      <w:r w:rsidR="00B62206" w:rsidRPr="00D074CB">
        <w:rPr>
          <w:rFonts w:ascii="Calibri" w:hAnsi="Calibri" w:cs="Calibri"/>
        </w:rPr>
        <w:t xml:space="preserve">similar to the original terms of the program published on the </w:t>
      </w:r>
      <w:hyperlink r:id="rId17" w:history="1">
        <w:r w:rsidR="00B62206" w:rsidRPr="00D074CB">
          <w:rPr>
            <w:rStyle w:val="Hyperlink"/>
            <w:rFonts w:ascii="Calibri" w:hAnsi="Calibri" w:cs="Calibri"/>
          </w:rPr>
          <w:t>Bank of Israel website</w:t>
        </w:r>
      </w:hyperlink>
      <w:r w:rsidR="00B62206" w:rsidRPr="00D074CB">
        <w:rPr>
          <w:rFonts w:ascii="Calibri" w:hAnsi="Calibri" w:cs="Calibri"/>
        </w:rPr>
        <w:t>.</w:t>
      </w:r>
    </w:p>
    <w:p w14:paraId="6A57044B" w14:textId="28A30E94" w:rsidR="001D0D75" w:rsidRPr="00D074CB" w:rsidRDefault="001D0D75" w:rsidP="00744FCE">
      <w:pPr>
        <w:pStyle w:val="regpar"/>
        <w:numPr>
          <w:ilvl w:val="0"/>
          <w:numId w:val="21"/>
        </w:numPr>
        <w:rPr>
          <w:rFonts w:ascii="Calibri" w:hAnsi="Calibri" w:cs="Calibri"/>
          <w:b/>
          <w:bCs/>
        </w:rPr>
      </w:pPr>
      <w:r w:rsidRPr="00D074CB">
        <w:rPr>
          <w:rFonts w:ascii="Calibri" w:hAnsi="Calibri" w:cs="Calibri"/>
          <w:b/>
          <w:bCs/>
        </w:rPr>
        <w:t>Continued provision of benefits</w:t>
      </w:r>
      <w:r w:rsidR="00744FCE" w:rsidRPr="00D074CB">
        <w:rPr>
          <w:rFonts w:ascii="Calibri" w:hAnsi="Calibri" w:cs="Calibri"/>
          <w:b/>
          <w:bCs/>
        </w:rPr>
        <w:t>, initiated by the bank, to reserve soldiers on active duty:</w:t>
      </w:r>
      <w:r w:rsidR="00744FCE" w:rsidRPr="00D074CB">
        <w:rPr>
          <w:rFonts w:ascii="Calibri" w:hAnsi="Calibri" w:cs="Calibri"/>
        </w:rPr>
        <w:t xml:space="preserve">  Benefits to which reserve soldiers are eligible—exemption from fees and elimination of interest on current account and business account debit balances in accordance with the terms of the program (first-degree)—will continue to be provided at the bank’s initiative for a further three-month period.</w:t>
      </w:r>
    </w:p>
    <w:p w14:paraId="7E66BC09" w14:textId="1272FBF7" w:rsidR="009D0BCE" w:rsidRPr="00D074CB" w:rsidRDefault="009D0BCE" w:rsidP="009D0BCE">
      <w:pPr>
        <w:pStyle w:val="regpar"/>
        <w:ind w:firstLine="0"/>
        <w:rPr>
          <w:rFonts w:ascii="Calibri" w:hAnsi="Calibri" w:cs="Calibri"/>
        </w:rPr>
      </w:pPr>
    </w:p>
    <w:p w14:paraId="6038EF0C" w14:textId="356E9B62" w:rsidR="00744FCE" w:rsidRPr="00D074CB" w:rsidRDefault="00744FCE" w:rsidP="00744FCE">
      <w:pPr>
        <w:pStyle w:val="regpar"/>
        <w:ind w:left="720" w:firstLine="0"/>
        <w:rPr>
          <w:rFonts w:ascii="Calibri" w:hAnsi="Calibri" w:cs="Calibri"/>
        </w:rPr>
      </w:pPr>
      <w:r w:rsidRPr="00D074CB">
        <w:rPr>
          <w:rFonts w:ascii="Calibri" w:hAnsi="Calibri" w:cs="Calibri"/>
        </w:rPr>
        <w:t>Reserve soldiers will be identified by receipt or credit of reserve service payment in the customer’s account between October 1, 2024 and December 31, 2024.  If the customer serves in the reserves during that period and does not receive such a payment, he must present documentation of his reserve service to the bank in order to receive the benefit.</w:t>
      </w:r>
    </w:p>
    <w:p w14:paraId="03763C97" w14:textId="77777777" w:rsidR="00744FCE" w:rsidRPr="00D074CB" w:rsidRDefault="00744FCE" w:rsidP="009D0BCE">
      <w:pPr>
        <w:pStyle w:val="regpar"/>
        <w:ind w:firstLine="0"/>
        <w:rPr>
          <w:rFonts w:ascii="Calibri" w:hAnsi="Calibri" w:cs="Calibri"/>
        </w:rPr>
      </w:pPr>
    </w:p>
    <w:p w14:paraId="43FA7D8A" w14:textId="1C106FD6" w:rsidR="009D0BCE" w:rsidRPr="00D074CB" w:rsidRDefault="009D0BCE" w:rsidP="00744FCE">
      <w:pPr>
        <w:pStyle w:val="regpar"/>
        <w:ind w:firstLine="0"/>
        <w:rPr>
          <w:rFonts w:ascii="Calibri" w:hAnsi="Calibri" w:cs="Calibri"/>
        </w:rPr>
      </w:pPr>
      <w:r w:rsidRPr="00D074CB">
        <w:rPr>
          <w:rFonts w:ascii="Calibri" w:hAnsi="Calibri" w:cs="Calibri"/>
          <w:b/>
          <w:bCs/>
        </w:rPr>
        <w:t>T</w:t>
      </w:r>
      <w:r w:rsidR="00744FCE" w:rsidRPr="00D074CB">
        <w:rPr>
          <w:rFonts w:ascii="Calibri" w:hAnsi="Calibri" w:cs="Calibri"/>
          <w:b/>
          <w:bCs/>
        </w:rPr>
        <w:t>he Banking Supervision Department again clarifies that</w:t>
      </w:r>
      <w:r w:rsidRPr="00D074CB">
        <w:rPr>
          <w:rFonts w:ascii="Calibri" w:hAnsi="Calibri" w:cs="Calibri"/>
          <w:b/>
          <w:bCs/>
        </w:rPr>
        <w:t xml:space="preserve">, before making a decision to defer payments, particularly for customers who have already deferred payments </w:t>
      </w:r>
      <w:r w:rsidR="00744FCE" w:rsidRPr="00D074CB">
        <w:rPr>
          <w:rFonts w:ascii="Calibri" w:hAnsi="Calibri" w:cs="Calibri"/>
          <w:b/>
          <w:bCs/>
        </w:rPr>
        <w:t>for an extended period</w:t>
      </w:r>
      <w:r w:rsidRPr="00D074CB">
        <w:rPr>
          <w:rFonts w:ascii="Calibri" w:hAnsi="Calibri" w:cs="Calibri"/>
          <w:b/>
          <w:bCs/>
        </w:rPr>
        <w:t xml:space="preserve">, you should closely examine the need for a further deferral and </w:t>
      </w:r>
      <w:r w:rsidR="00744FCE" w:rsidRPr="00D074CB">
        <w:rPr>
          <w:rFonts w:ascii="Calibri" w:hAnsi="Calibri" w:cs="Calibri"/>
          <w:b/>
          <w:bCs/>
        </w:rPr>
        <w:t xml:space="preserve">all of </w:t>
      </w:r>
      <w:r w:rsidRPr="00D074CB">
        <w:rPr>
          <w:rFonts w:ascii="Calibri" w:hAnsi="Calibri" w:cs="Calibri"/>
          <w:b/>
          <w:bCs/>
        </w:rPr>
        <w:t>its implications, including its overall economic price</w:t>
      </w:r>
      <w:r w:rsidR="00744FCE" w:rsidRPr="00D074CB">
        <w:rPr>
          <w:rFonts w:ascii="Calibri" w:hAnsi="Calibri" w:cs="Calibri"/>
          <w:b/>
          <w:bCs/>
        </w:rPr>
        <w:t>.</w:t>
      </w:r>
    </w:p>
    <w:p w14:paraId="7FCFC41A" w14:textId="3D9F34FE" w:rsidR="009D0BCE" w:rsidRPr="00D074CB" w:rsidRDefault="009D0BCE" w:rsidP="00ED613E">
      <w:pPr>
        <w:pStyle w:val="regpar"/>
        <w:ind w:firstLine="0"/>
        <w:rPr>
          <w:rFonts w:ascii="Calibri" w:hAnsi="Calibri" w:cs="Calibri"/>
        </w:rPr>
      </w:pPr>
    </w:p>
    <w:p w14:paraId="1FC0BC5B" w14:textId="606D6D30" w:rsidR="00744FCE" w:rsidRPr="00D074CB" w:rsidRDefault="00744FCE" w:rsidP="00ED613E">
      <w:pPr>
        <w:pStyle w:val="regpar"/>
        <w:ind w:firstLine="0"/>
        <w:rPr>
          <w:rFonts w:ascii="Calibri" w:hAnsi="Calibri" w:cs="Calibri"/>
        </w:rPr>
      </w:pPr>
      <w:r w:rsidRPr="00D074CB">
        <w:rPr>
          <w:rFonts w:ascii="Calibri" w:hAnsi="Calibri" w:cs="Calibri"/>
        </w:rPr>
        <w:t>The extension of the program for another 3 months will take effect on October 1, 2024, as detailed in Appendix A.  Requests to be included in the revised program can be submitted between October 1, 2024 and December 31, 2024.</w:t>
      </w:r>
    </w:p>
    <w:p w14:paraId="6102C3F8" w14:textId="4224F2C3" w:rsidR="00744FCE" w:rsidRPr="00D074CB" w:rsidRDefault="00744FCE" w:rsidP="00ED613E">
      <w:pPr>
        <w:pStyle w:val="regpar"/>
        <w:ind w:firstLine="0"/>
        <w:rPr>
          <w:rFonts w:ascii="Calibri" w:hAnsi="Calibri" w:cs="Calibri"/>
        </w:rPr>
      </w:pPr>
    </w:p>
    <w:p w14:paraId="3A578E9A" w14:textId="17DFFEB3" w:rsidR="00ED613E" w:rsidRPr="00D074CB" w:rsidRDefault="00744FCE" w:rsidP="00744FCE">
      <w:pPr>
        <w:pStyle w:val="regpar"/>
        <w:ind w:firstLine="0"/>
        <w:rPr>
          <w:rFonts w:ascii="Calibri" w:hAnsi="Calibri" w:cs="Calibri"/>
        </w:rPr>
      </w:pPr>
      <w:r w:rsidRPr="00D074CB">
        <w:rPr>
          <w:rFonts w:ascii="Calibri" w:hAnsi="Calibri" w:cs="Calibri"/>
        </w:rPr>
        <w:lastRenderedPageBreak/>
        <w:t>The</w:t>
      </w:r>
      <w:r w:rsidR="00ED613E" w:rsidRPr="00D074CB">
        <w:rPr>
          <w:rFonts w:ascii="Calibri" w:hAnsi="Calibri" w:cs="Calibri"/>
        </w:rPr>
        <w:t xml:space="preserve"> program presents the </w:t>
      </w:r>
      <w:r w:rsidR="00ED613E" w:rsidRPr="00D074CB">
        <w:rPr>
          <w:rFonts w:ascii="Calibri" w:hAnsi="Calibri" w:cs="Calibri"/>
          <w:b/>
          <w:bCs/>
        </w:rPr>
        <w:t>minimum conditions</w:t>
      </w:r>
      <w:r w:rsidR="00ED613E" w:rsidRPr="00D074CB">
        <w:rPr>
          <w:rFonts w:ascii="Calibri" w:hAnsi="Calibri" w:cs="Calibri"/>
        </w:rPr>
        <w:t>, and each bank is permitted to expand it for its customers.</w:t>
      </w:r>
    </w:p>
    <w:p w14:paraId="0A698E5B" w14:textId="0E86F095" w:rsidR="00591D74" w:rsidRPr="00D074CB" w:rsidRDefault="00591D74" w:rsidP="00ED613E">
      <w:pPr>
        <w:pStyle w:val="regpar"/>
        <w:ind w:firstLine="0"/>
        <w:rPr>
          <w:rFonts w:ascii="Calibri" w:hAnsi="Calibri" w:cs="Calibri"/>
        </w:rPr>
      </w:pPr>
    </w:p>
    <w:p w14:paraId="1A9ECD3A" w14:textId="6FD670A5" w:rsidR="00591D74" w:rsidRPr="00D074CB" w:rsidRDefault="00EA178D" w:rsidP="00744FCE">
      <w:pPr>
        <w:pStyle w:val="regpar"/>
        <w:ind w:firstLine="0"/>
        <w:jc w:val="center"/>
        <w:rPr>
          <w:rFonts w:ascii="Calibri" w:hAnsi="Calibri" w:cs="Calibri"/>
        </w:rPr>
      </w:pPr>
      <w:r w:rsidRPr="00D074CB">
        <w:rPr>
          <w:rFonts w:ascii="Calibri" w:hAnsi="Calibri" w:cs="Calibri"/>
          <w:b/>
          <w:bCs/>
          <w:u w:val="single"/>
        </w:rPr>
        <w:t xml:space="preserve">Appendix A - </w:t>
      </w:r>
      <w:r w:rsidR="00591D74" w:rsidRPr="00D074CB">
        <w:rPr>
          <w:rFonts w:ascii="Calibri" w:hAnsi="Calibri" w:cs="Calibri"/>
          <w:b/>
          <w:bCs/>
          <w:u w:val="single"/>
        </w:rPr>
        <w:t>Ex</w:t>
      </w:r>
      <w:r w:rsidR="00744FCE" w:rsidRPr="00D074CB">
        <w:rPr>
          <w:rFonts w:ascii="Calibri" w:hAnsi="Calibri" w:cs="Calibri"/>
          <w:b/>
          <w:bCs/>
          <w:u w:val="single"/>
        </w:rPr>
        <w:t>tension</w:t>
      </w:r>
      <w:r w:rsidR="00591D74" w:rsidRPr="00D074CB">
        <w:rPr>
          <w:rFonts w:ascii="Calibri" w:hAnsi="Calibri" w:cs="Calibri"/>
          <w:b/>
          <w:bCs/>
          <w:u w:val="single"/>
        </w:rPr>
        <w:t xml:space="preserve"> of the comprehensive assistance program, adopted by the banks, for dealing with the </w:t>
      </w:r>
      <w:r w:rsidRPr="00D074CB">
        <w:rPr>
          <w:rFonts w:ascii="Calibri" w:hAnsi="Calibri" w:cs="Calibri"/>
          <w:b/>
          <w:bCs/>
          <w:u w:val="single"/>
        </w:rPr>
        <w:t>consequences</w:t>
      </w:r>
      <w:r w:rsidR="00591D74" w:rsidRPr="00D074CB">
        <w:rPr>
          <w:rFonts w:ascii="Calibri" w:hAnsi="Calibri" w:cs="Calibri"/>
          <w:b/>
          <w:bCs/>
          <w:u w:val="single"/>
        </w:rPr>
        <w:t xml:space="preserve"> of the Swords of Iron </w:t>
      </w:r>
      <w:r w:rsidR="00744FCE" w:rsidRPr="00D074CB">
        <w:rPr>
          <w:rFonts w:ascii="Calibri" w:hAnsi="Calibri" w:cs="Calibri"/>
          <w:b/>
          <w:bCs/>
          <w:u w:val="single"/>
        </w:rPr>
        <w:t>W</w:t>
      </w:r>
      <w:r w:rsidR="00591D74" w:rsidRPr="00D074CB">
        <w:rPr>
          <w:rFonts w:ascii="Calibri" w:hAnsi="Calibri" w:cs="Calibri"/>
          <w:b/>
          <w:bCs/>
          <w:u w:val="single"/>
        </w:rPr>
        <w:t xml:space="preserve">ar, as of </w:t>
      </w:r>
      <w:r w:rsidR="00744FCE" w:rsidRPr="00D074CB">
        <w:rPr>
          <w:rFonts w:ascii="Calibri" w:hAnsi="Calibri" w:cs="Calibri"/>
          <w:b/>
          <w:bCs/>
          <w:u w:val="single"/>
        </w:rPr>
        <w:t>October</w:t>
      </w:r>
      <w:r w:rsidR="00591D74" w:rsidRPr="00D074CB">
        <w:rPr>
          <w:rFonts w:ascii="Calibri" w:hAnsi="Calibri" w:cs="Calibri"/>
          <w:b/>
          <w:bCs/>
          <w:u w:val="single"/>
        </w:rPr>
        <w:t xml:space="preserve"> 1, 2024</w:t>
      </w:r>
    </w:p>
    <w:p w14:paraId="10657FB0" w14:textId="20E02E19" w:rsidR="00591D74" w:rsidRPr="00D074CB" w:rsidRDefault="00591D74" w:rsidP="00591D74">
      <w:pPr>
        <w:pStyle w:val="regpar"/>
        <w:ind w:firstLine="0"/>
        <w:jc w:val="center"/>
        <w:rPr>
          <w:rFonts w:ascii="Calibri" w:hAnsi="Calibri" w:cs="Calibri"/>
        </w:rPr>
      </w:pPr>
    </w:p>
    <w:tbl>
      <w:tblPr>
        <w:tblStyle w:val="ac"/>
        <w:tblW w:w="0" w:type="auto"/>
        <w:tblLook w:val="04A0" w:firstRow="1" w:lastRow="0" w:firstColumn="1" w:lastColumn="0" w:noHBand="0" w:noVBand="1"/>
      </w:tblPr>
      <w:tblGrid>
        <w:gridCol w:w="1812"/>
        <w:gridCol w:w="1812"/>
        <w:gridCol w:w="1812"/>
        <w:gridCol w:w="1813"/>
        <w:gridCol w:w="1813"/>
      </w:tblGrid>
      <w:tr w:rsidR="00591D74" w:rsidRPr="00D074CB" w14:paraId="30A944B3" w14:textId="77777777" w:rsidTr="009B0631">
        <w:tc>
          <w:tcPr>
            <w:tcW w:w="9062" w:type="dxa"/>
            <w:gridSpan w:val="5"/>
          </w:tcPr>
          <w:p w14:paraId="2F179FE1" w14:textId="77777777" w:rsidR="00591D74" w:rsidRPr="00D074CB" w:rsidRDefault="00591D74" w:rsidP="00591D74">
            <w:pPr>
              <w:pStyle w:val="regpar"/>
              <w:ind w:firstLine="0"/>
              <w:jc w:val="center"/>
              <w:rPr>
                <w:rFonts w:ascii="Calibri" w:hAnsi="Calibri" w:cs="Calibri"/>
                <w:b/>
                <w:bCs/>
                <w:color w:val="C00000"/>
                <w:sz w:val="20"/>
                <w:szCs w:val="20"/>
              </w:rPr>
            </w:pPr>
            <w:r w:rsidRPr="00D074CB">
              <w:rPr>
                <w:rFonts w:ascii="Calibri" w:hAnsi="Calibri" w:cs="Calibri"/>
                <w:b/>
                <w:bCs/>
                <w:color w:val="C00000"/>
                <w:sz w:val="20"/>
                <w:szCs w:val="20"/>
              </w:rPr>
              <w:t>First-degree customers</w:t>
            </w:r>
          </w:p>
          <w:p w14:paraId="13FE82B5" w14:textId="77777777" w:rsidR="00591D74" w:rsidRPr="00D074CB" w:rsidRDefault="00591D74" w:rsidP="00591D74">
            <w:pPr>
              <w:pStyle w:val="regpar"/>
              <w:spacing w:line="240" w:lineRule="auto"/>
              <w:ind w:firstLine="0"/>
              <w:rPr>
                <w:rFonts w:ascii="Calibri" w:hAnsi="Calibri" w:cs="Calibri"/>
                <w:b/>
                <w:bCs/>
                <w:color w:val="002060"/>
                <w:sz w:val="20"/>
                <w:szCs w:val="20"/>
              </w:rPr>
            </w:pPr>
            <w:r w:rsidRPr="00D074CB">
              <w:rPr>
                <w:rFonts w:ascii="Calibri" w:hAnsi="Calibri" w:cs="Calibri"/>
                <w:b/>
                <w:bCs/>
                <w:color w:val="002060"/>
                <w:sz w:val="20"/>
                <w:szCs w:val="20"/>
              </w:rPr>
              <w:t>Customer groups:</w:t>
            </w:r>
          </w:p>
          <w:p w14:paraId="6AED684A" w14:textId="29A4B8EB" w:rsidR="00591D74" w:rsidRPr="00D074CB" w:rsidRDefault="00591D74" w:rsidP="002C7777">
            <w:pPr>
              <w:pStyle w:val="regpar"/>
              <w:numPr>
                <w:ilvl w:val="0"/>
                <w:numId w:val="18"/>
              </w:numPr>
              <w:spacing w:line="240" w:lineRule="auto"/>
              <w:rPr>
                <w:rFonts w:ascii="Calibri" w:hAnsi="Calibri" w:cs="Calibri"/>
                <w:b/>
                <w:bCs/>
                <w:color w:val="002060"/>
                <w:sz w:val="20"/>
                <w:szCs w:val="20"/>
              </w:rPr>
            </w:pPr>
            <w:r w:rsidRPr="00D074CB">
              <w:rPr>
                <w:rFonts w:ascii="Calibri" w:hAnsi="Calibri" w:cs="Calibri"/>
                <w:b/>
                <w:bCs/>
                <w:color w:val="002060"/>
                <w:sz w:val="20"/>
                <w:szCs w:val="20"/>
              </w:rPr>
              <w:t>People who</w:t>
            </w:r>
            <w:r w:rsidR="002C7777" w:rsidRPr="00D074CB">
              <w:rPr>
                <w:rFonts w:ascii="Calibri" w:hAnsi="Calibri" w:cs="Calibri"/>
                <w:b/>
                <w:bCs/>
                <w:color w:val="002060"/>
                <w:sz w:val="20"/>
                <w:szCs w:val="20"/>
              </w:rPr>
              <w:t xml:space="preserve"> live or own a business within 7</w:t>
            </w:r>
            <w:r w:rsidRPr="00D074CB">
              <w:rPr>
                <w:rFonts w:ascii="Calibri" w:hAnsi="Calibri" w:cs="Calibri"/>
                <w:b/>
                <w:bCs/>
                <w:color w:val="002060"/>
                <w:sz w:val="20"/>
                <w:szCs w:val="20"/>
              </w:rPr>
              <w:t xml:space="preserve"> km of the Gaza Strip.</w:t>
            </w:r>
          </w:p>
          <w:p w14:paraId="3EF555A7" w14:textId="1DFF242A" w:rsidR="00591D74" w:rsidRPr="00D074CB" w:rsidRDefault="00591D74" w:rsidP="00EA178D">
            <w:pPr>
              <w:pStyle w:val="regpar"/>
              <w:numPr>
                <w:ilvl w:val="0"/>
                <w:numId w:val="18"/>
              </w:numPr>
              <w:spacing w:line="240" w:lineRule="auto"/>
              <w:rPr>
                <w:rFonts w:ascii="Calibri" w:hAnsi="Calibri" w:cs="Calibri"/>
                <w:b/>
                <w:bCs/>
                <w:color w:val="002060"/>
                <w:sz w:val="20"/>
                <w:szCs w:val="20"/>
              </w:rPr>
            </w:pPr>
            <w:r w:rsidRPr="00D074CB">
              <w:rPr>
                <w:rFonts w:ascii="Calibri" w:hAnsi="Calibri" w:cs="Calibri"/>
                <w:b/>
                <w:bCs/>
                <w:color w:val="002060"/>
                <w:sz w:val="20"/>
                <w:szCs w:val="20"/>
              </w:rPr>
              <w:t>People evacuated from their homes by an official entity as of November 7, 2023, and those who live in a locality that appears on the lists publishe</w:t>
            </w:r>
            <w:r w:rsidR="00EA178D" w:rsidRPr="00D074CB">
              <w:rPr>
                <w:rFonts w:ascii="Calibri" w:hAnsi="Calibri" w:cs="Calibri"/>
                <w:b/>
                <w:bCs/>
                <w:color w:val="002060"/>
                <w:sz w:val="20"/>
                <w:szCs w:val="20"/>
              </w:rPr>
              <w:t>d on the Bank of Israel website, or those who live in one of the localities that the government has decided to evacuate but who have not yet been evacuated, in accordance with the list published on the Bank of Israel website.</w:t>
            </w:r>
          </w:p>
          <w:p w14:paraId="5A505A18" w14:textId="77777777" w:rsidR="00EA178D" w:rsidRPr="00D074CB" w:rsidRDefault="00591D74" w:rsidP="00591D74">
            <w:pPr>
              <w:pStyle w:val="regpar"/>
              <w:numPr>
                <w:ilvl w:val="0"/>
                <w:numId w:val="18"/>
              </w:numPr>
              <w:spacing w:line="240" w:lineRule="auto"/>
              <w:rPr>
                <w:rFonts w:ascii="Calibri" w:hAnsi="Calibri" w:cs="Calibri"/>
                <w:b/>
                <w:bCs/>
                <w:color w:val="002060"/>
                <w:sz w:val="20"/>
                <w:szCs w:val="20"/>
              </w:rPr>
            </w:pPr>
            <w:r w:rsidRPr="00D074CB">
              <w:rPr>
                <w:rFonts w:ascii="Calibri" w:hAnsi="Calibri" w:cs="Calibri"/>
                <w:b/>
                <w:bCs/>
                <w:color w:val="002060"/>
                <w:sz w:val="20"/>
                <w:szCs w:val="20"/>
              </w:rPr>
              <w:t>Accounts of kidnapped or missing victims</w:t>
            </w:r>
            <w:r w:rsidR="00EA178D" w:rsidRPr="00D074CB">
              <w:rPr>
                <w:rFonts w:ascii="Calibri" w:hAnsi="Calibri" w:cs="Calibri"/>
                <w:b/>
                <w:bCs/>
                <w:color w:val="002060"/>
                <w:sz w:val="20"/>
                <w:szCs w:val="20"/>
              </w:rPr>
              <w:t>*</w:t>
            </w:r>
            <w:r w:rsidRPr="00D074CB">
              <w:rPr>
                <w:rFonts w:ascii="Calibri" w:hAnsi="Calibri" w:cs="Calibri"/>
                <w:b/>
                <w:bCs/>
                <w:color w:val="002060"/>
                <w:sz w:val="20"/>
                <w:szCs w:val="20"/>
              </w:rPr>
              <w:t xml:space="preserve">; </w:t>
            </w:r>
          </w:p>
          <w:p w14:paraId="53BABD59" w14:textId="341AFBCA" w:rsidR="00591D74" w:rsidRPr="00D074CB" w:rsidRDefault="00EA178D" w:rsidP="00EA178D">
            <w:pPr>
              <w:pStyle w:val="regpar"/>
              <w:numPr>
                <w:ilvl w:val="0"/>
                <w:numId w:val="18"/>
              </w:numPr>
              <w:spacing w:line="240" w:lineRule="auto"/>
              <w:rPr>
                <w:rFonts w:ascii="Calibri" w:hAnsi="Calibri" w:cs="Calibri"/>
                <w:b/>
                <w:bCs/>
                <w:color w:val="002060"/>
                <w:sz w:val="20"/>
                <w:szCs w:val="20"/>
              </w:rPr>
            </w:pPr>
            <w:r w:rsidRPr="00D074CB">
              <w:rPr>
                <w:rFonts w:ascii="Calibri" w:hAnsi="Calibri" w:cs="Calibri"/>
                <w:b/>
                <w:bCs/>
                <w:color w:val="002060"/>
                <w:sz w:val="20"/>
                <w:szCs w:val="20"/>
              </w:rPr>
              <w:t>P</w:t>
            </w:r>
            <w:r w:rsidR="00591D74" w:rsidRPr="00D074CB">
              <w:rPr>
                <w:rFonts w:ascii="Calibri" w:hAnsi="Calibri" w:cs="Calibri"/>
                <w:b/>
                <w:bCs/>
                <w:color w:val="002060"/>
                <w:sz w:val="20"/>
                <w:szCs w:val="20"/>
              </w:rPr>
              <w:t>eople who are first-degree relatives (spouses, parents, siblings, and children) o</w:t>
            </w:r>
            <w:r w:rsidRPr="00D074CB">
              <w:rPr>
                <w:rFonts w:ascii="Calibri" w:hAnsi="Calibri" w:cs="Calibri"/>
                <w:b/>
                <w:bCs/>
                <w:color w:val="002060"/>
                <w:sz w:val="20"/>
                <w:szCs w:val="20"/>
              </w:rPr>
              <w:t>f</w:t>
            </w:r>
            <w:r w:rsidR="00591D74" w:rsidRPr="00D074CB">
              <w:rPr>
                <w:rFonts w:ascii="Calibri" w:hAnsi="Calibri" w:cs="Calibri"/>
                <w:b/>
                <w:bCs/>
                <w:color w:val="002060"/>
                <w:sz w:val="20"/>
                <w:szCs w:val="20"/>
              </w:rPr>
              <w:t xml:space="preserve"> those killed in the war or kidnapped or missing; </w:t>
            </w:r>
          </w:p>
          <w:p w14:paraId="0F1DCF60" w14:textId="2F56DA73" w:rsidR="00591D74" w:rsidRPr="00D074CB" w:rsidRDefault="00591D74" w:rsidP="00591D74">
            <w:pPr>
              <w:pStyle w:val="regpar"/>
              <w:numPr>
                <w:ilvl w:val="0"/>
                <w:numId w:val="18"/>
              </w:numPr>
              <w:spacing w:line="240" w:lineRule="auto"/>
              <w:rPr>
                <w:rFonts w:ascii="Calibri" w:hAnsi="Calibri" w:cs="Calibri"/>
                <w:b/>
                <w:bCs/>
                <w:color w:val="002060"/>
                <w:sz w:val="20"/>
                <w:szCs w:val="20"/>
              </w:rPr>
            </w:pPr>
            <w:r w:rsidRPr="00D074CB">
              <w:rPr>
                <w:rFonts w:ascii="Calibri" w:hAnsi="Calibri" w:cs="Calibri"/>
                <w:b/>
                <w:bCs/>
                <w:color w:val="002060"/>
                <w:sz w:val="20"/>
                <w:szCs w:val="20"/>
              </w:rPr>
              <w:t>People serving in the reserves or mobilized through emergency mobilization orders.*</w:t>
            </w:r>
          </w:p>
          <w:p w14:paraId="320747C4" w14:textId="783AA74B" w:rsidR="002C7777" w:rsidRPr="00D074CB" w:rsidRDefault="002C7777" w:rsidP="00591D74">
            <w:pPr>
              <w:pStyle w:val="regpar"/>
              <w:numPr>
                <w:ilvl w:val="0"/>
                <w:numId w:val="18"/>
              </w:numPr>
              <w:spacing w:line="240" w:lineRule="auto"/>
              <w:rPr>
                <w:rFonts w:ascii="Calibri" w:hAnsi="Calibri" w:cs="Calibri"/>
                <w:b/>
                <w:bCs/>
                <w:color w:val="002060"/>
                <w:sz w:val="20"/>
                <w:szCs w:val="20"/>
              </w:rPr>
            </w:pPr>
            <w:r w:rsidRPr="00D074CB">
              <w:rPr>
                <w:rFonts w:ascii="Calibri" w:hAnsi="Calibri" w:cs="Calibri"/>
                <w:b/>
                <w:bCs/>
                <w:color w:val="002060"/>
                <w:sz w:val="20"/>
                <w:szCs w:val="20"/>
              </w:rPr>
              <w:t>Reserve soldiers who have been hospitalized for a period of at least 7 days due to injuries caused by the war.*</w:t>
            </w:r>
          </w:p>
          <w:p w14:paraId="761A7D71" w14:textId="333A48D6" w:rsidR="00EA178D" w:rsidRPr="00D074CB" w:rsidRDefault="00EA178D" w:rsidP="00591D74">
            <w:pPr>
              <w:pStyle w:val="regpar"/>
              <w:numPr>
                <w:ilvl w:val="0"/>
                <w:numId w:val="18"/>
              </w:numPr>
              <w:spacing w:line="240" w:lineRule="auto"/>
              <w:rPr>
                <w:rFonts w:ascii="Calibri" w:hAnsi="Calibri" w:cs="Calibri"/>
                <w:b/>
                <w:bCs/>
                <w:color w:val="002060"/>
                <w:sz w:val="20"/>
                <w:szCs w:val="20"/>
              </w:rPr>
            </w:pPr>
            <w:r w:rsidRPr="00D074CB">
              <w:rPr>
                <w:rFonts w:ascii="Calibri" w:hAnsi="Calibri" w:cs="Calibri"/>
                <w:b/>
                <w:bCs/>
                <w:color w:val="002060"/>
                <w:sz w:val="20"/>
                <w:szCs w:val="20"/>
              </w:rPr>
              <w:t xml:space="preserve">People who participated in the festivals: the Nova festival in </w:t>
            </w:r>
            <w:proofErr w:type="spellStart"/>
            <w:r w:rsidRPr="00D074CB">
              <w:rPr>
                <w:rFonts w:ascii="Calibri" w:hAnsi="Calibri" w:cs="Calibri"/>
                <w:b/>
                <w:bCs/>
                <w:color w:val="002060"/>
                <w:sz w:val="20"/>
                <w:szCs w:val="20"/>
              </w:rPr>
              <w:t>Re’im</w:t>
            </w:r>
            <w:proofErr w:type="spellEnd"/>
            <w:r w:rsidRPr="00D074CB">
              <w:rPr>
                <w:rFonts w:ascii="Calibri" w:hAnsi="Calibri" w:cs="Calibri"/>
                <w:b/>
                <w:bCs/>
                <w:color w:val="002060"/>
                <w:sz w:val="20"/>
                <w:szCs w:val="20"/>
              </w:rPr>
              <w:t xml:space="preserve">, the </w:t>
            </w:r>
            <w:proofErr w:type="spellStart"/>
            <w:r w:rsidRPr="00D074CB">
              <w:rPr>
                <w:rFonts w:ascii="Calibri" w:hAnsi="Calibri" w:cs="Calibri"/>
                <w:b/>
                <w:bCs/>
                <w:color w:val="002060"/>
                <w:sz w:val="20"/>
                <w:szCs w:val="20"/>
              </w:rPr>
              <w:t>Psyduck</w:t>
            </w:r>
            <w:proofErr w:type="spellEnd"/>
            <w:r w:rsidRPr="00D074CB">
              <w:rPr>
                <w:rFonts w:ascii="Calibri" w:hAnsi="Calibri" w:cs="Calibri"/>
                <w:b/>
                <w:bCs/>
                <w:color w:val="002060"/>
                <w:sz w:val="20"/>
                <w:szCs w:val="20"/>
              </w:rPr>
              <w:t xml:space="preserve"> festival; and the preparatory meeting for the </w:t>
            </w:r>
            <w:proofErr w:type="spellStart"/>
            <w:r w:rsidRPr="00D074CB">
              <w:rPr>
                <w:rFonts w:ascii="Calibri" w:hAnsi="Calibri" w:cs="Calibri"/>
                <w:b/>
                <w:bCs/>
                <w:color w:val="002060"/>
                <w:sz w:val="20"/>
                <w:szCs w:val="20"/>
              </w:rPr>
              <w:t>Midburn</w:t>
            </w:r>
            <w:proofErr w:type="spellEnd"/>
            <w:r w:rsidRPr="00D074CB">
              <w:rPr>
                <w:rFonts w:ascii="Calibri" w:hAnsi="Calibri" w:cs="Calibri"/>
                <w:b/>
                <w:bCs/>
                <w:color w:val="002060"/>
                <w:sz w:val="20"/>
                <w:szCs w:val="20"/>
              </w:rPr>
              <w:t xml:space="preserve"> festival.*</w:t>
            </w:r>
          </w:p>
          <w:p w14:paraId="7233109C" w14:textId="355CAD73" w:rsidR="00591D74" w:rsidRPr="00D074CB" w:rsidRDefault="00591D74" w:rsidP="002C7777">
            <w:pPr>
              <w:pStyle w:val="regpar"/>
              <w:spacing w:line="240" w:lineRule="auto"/>
              <w:ind w:firstLine="0"/>
              <w:rPr>
                <w:rFonts w:ascii="Calibri" w:hAnsi="Calibri" w:cs="Calibri"/>
                <w:color w:val="002060"/>
                <w:sz w:val="18"/>
                <w:szCs w:val="18"/>
              </w:rPr>
            </w:pPr>
            <w:r w:rsidRPr="00D074CB">
              <w:rPr>
                <w:rFonts w:ascii="Calibri" w:hAnsi="Calibri" w:cs="Calibri"/>
                <w:color w:val="002060"/>
                <w:sz w:val="18"/>
                <w:szCs w:val="18"/>
              </w:rPr>
              <w:t>* Information regarding belonging to this group is received in accordance with a customer’s declaration or presentation of appropriate documentation, per the bank’s decision.  With regard to small businesses, in accordance with the characteristics published by the bank.</w:t>
            </w:r>
            <w:r w:rsidR="00EA178D" w:rsidRPr="00D074CB">
              <w:rPr>
                <w:rFonts w:ascii="Calibri" w:hAnsi="Calibri" w:cs="Calibri"/>
                <w:color w:val="002060"/>
                <w:sz w:val="18"/>
                <w:szCs w:val="18"/>
              </w:rPr>
              <w:t xml:space="preserve">  Benefits for which reserve soldiers are eligible will be provided at the bank’s initiative for a period of 3 months.  Accounts will be identified as belonging to a reserve soldier by the reserves grant paid into the account </w:t>
            </w:r>
            <w:r w:rsidR="002C7777" w:rsidRPr="00D074CB">
              <w:rPr>
                <w:rFonts w:ascii="Calibri" w:hAnsi="Calibri" w:cs="Calibri"/>
                <w:color w:val="002060"/>
                <w:sz w:val="18"/>
                <w:szCs w:val="18"/>
              </w:rPr>
              <w:t>between October 1, 2024 and December 31, 2024</w:t>
            </w:r>
            <w:r w:rsidR="00EA178D" w:rsidRPr="00D074CB">
              <w:rPr>
                <w:rFonts w:ascii="Calibri" w:hAnsi="Calibri" w:cs="Calibri"/>
                <w:color w:val="002060"/>
                <w:sz w:val="18"/>
                <w:szCs w:val="18"/>
              </w:rPr>
              <w:t>.</w:t>
            </w:r>
            <w:r w:rsidR="002C7777" w:rsidRPr="00D074CB">
              <w:rPr>
                <w:rFonts w:ascii="Calibri" w:hAnsi="Calibri" w:cs="Calibri"/>
                <w:color w:val="002060"/>
                <w:sz w:val="18"/>
                <w:szCs w:val="18"/>
              </w:rPr>
              <w:t xml:space="preserve"> If the customer served in the reserves during the relevant period and did not receive a credit to his account, he must present documentation to the bank regarding his reserve service.</w:t>
            </w:r>
          </w:p>
          <w:p w14:paraId="09D44D61" w14:textId="40AAC422" w:rsidR="00EA178D" w:rsidRPr="00D074CB" w:rsidRDefault="00EA178D" w:rsidP="00591D74">
            <w:pPr>
              <w:pStyle w:val="regpar"/>
              <w:spacing w:line="240" w:lineRule="auto"/>
              <w:ind w:firstLine="0"/>
              <w:rPr>
                <w:rFonts w:ascii="Calibri" w:hAnsi="Calibri" w:cs="Calibri"/>
                <w:color w:val="002060"/>
                <w:sz w:val="20"/>
                <w:szCs w:val="20"/>
              </w:rPr>
            </w:pPr>
          </w:p>
        </w:tc>
      </w:tr>
      <w:tr w:rsidR="00591D74" w:rsidRPr="00D074CB" w14:paraId="4C471602" w14:textId="77777777" w:rsidTr="00591D74">
        <w:tc>
          <w:tcPr>
            <w:tcW w:w="1812" w:type="dxa"/>
            <w:vMerge w:val="restart"/>
          </w:tcPr>
          <w:p w14:paraId="68BD6549" w14:textId="4E6CC8E8" w:rsidR="00591D74" w:rsidRPr="00D074CB" w:rsidRDefault="00591D74" w:rsidP="00591D74">
            <w:pPr>
              <w:pStyle w:val="regpar"/>
              <w:ind w:firstLine="0"/>
              <w:jc w:val="left"/>
              <w:rPr>
                <w:rFonts w:ascii="Calibri" w:hAnsi="Calibri" w:cs="Calibri"/>
                <w:b/>
                <w:bCs/>
                <w:color w:val="002060"/>
                <w:sz w:val="20"/>
                <w:szCs w:val="20"/>
              </w:rPr>
            </w:pPr>
            <w:r w:rsidRPr="00D074CB">
              <w:rPr>
                <w:rFonts w:ascii="Calibri" w:hAnsi="Calibri" w:cs="Calibri"/>
                <w:b/>
                <w:bCs/>
                <w:color w:val="002060"/>
                <w:sz w:val="20"/>
                <w:szCs w:val="20"/>
              </w:rPr>
              <w:t>Leniencies with regard to credit:</w:t>
            </w:r>
          </w:p>
        </w:tc>
        <w:tc>
          <w:tcPr>
            <w:tcW w:w="1812" w:type="dxa"/>
          </w:tcPr>
          <w:p w14:paraId="44E38EB1" w14:textId="7034C77C" w:rsidR="00591D74" w:rsidRPr="00D074CB" w:rsidRDefault="00591D74" w:rsidP="000306A4">
            <w:pPr>
              <w:pStyle w:val="regpar"/>
              <w:ind w:firstLine="0"/>
              <w:jc w:val="center"/>
              <w:rPr>
                <w:rFonts w:ascii="Calibri" w:hAnsi="Calibri" w:cs="Calibri"/>
                <w:b/>
                <w:bCs/>
                <w:color w:val="002060"/>
                <w:sz w:val="20"/>
                <w:szCs w:val="20"/>
              </w:rPr>
            </w:pPr>
            <w:r w:rsidRPr="00D074CB">
              <w:rPr>
                <w:rFonts w:ascii="Calibri" w:hAnsi="Calibri" w:cs="Calibri"/>
                <w:b/>
                <w:bCs/>
                <w:color w:val="002060"/>
                <w:sz w:val="20"/>
                <w:szCs w:val="20"/>
              </w:rPr>
              <w:t>Type of credit</w:t>
            </w:r>
          </w:p>
        </w:tc>
        <w:tc>
          <w:tcPr>
            <w:tcW w:w="1812" w:type="dxa"/>
          </w:tcPr>
          <w:p w14:paraId="68E5E8BA" w14:textId="4F2CD224" w:rsidR="00591D74" w:rsidRPr="00D074CB" w:rsidRDefault="00591D74" w:rsidP="000306A4">
            <w:pPr>
              <w:pStyle w:val="regpar"/>
              <w:ind w:firstLine="0"/>
              <w:jc w:val="center"/>
              <w:rPr>
                <w:rFonts w:ascii="Calibri" w:hAnsi="Calibri" w:cs="Calibri"/>
                <w:b/>
                <w:bCs/>
                <w:color w:val="002060"/>
                <w:sz w:val="20"/>
                <w:szCs w:val="20"/>
              </w:rPr>
            </w:pPr>
            <w:r w:rsidRPr="00D074CB">
              <w:rPr>
                <w:rFonts w:ascii="Calibri" w:hAnsi="Calibri" w:cs="Calibri"/>
                <w:b/>
                <w:bCs/>
                <w:color w:val="002060"/>
                <w:sz w:val="20"/>
                <w:szCs w:val="20"/>
              </w:rPr>
              <w:t>Payment deferral period</w:t>
            </w:r>
          </w:p>
        </w:tc>
        <w:tc>
          <w:tcPr>
            <w:tcW w:w="1813" w:type="dxa"/>
          </w:tcPr>
          <w:p w14:paraId="571E0BE6" w14:textId="0EA92C1F" w:rsidR="00591D74" w:rsidRPr="00D074CB" w:rsidRDefault="00591D74" w:rsidP="000306A4">
            <w:pPr>
              <w:pStyle w:val="regpar"/>
              <w:ind w:firstLine="0"/>
              <w:jc w:val="center"/>
              <w:rPr>
                <w:rFonts w:ascii="Calibri" w:hAnsi="Calibri" w:cs="Calibri"/>
                <w:b/>
                <w:bCs/>
                <w:color w:val="002060"/>
                <w:sz w:val="20"/>
                <w:szCs w:val="20"/>
              </w:rPr>
            </w:pPr>
            <w:r w:rsidRPr="00D074CB">
              <w:rPr>
                <w:rFonts w:ascii="Calibri" w:hAnsi="Calibri" w:cs="Calibri"/>
                <w:b/>
                <w:bCs/>
                <w:color w:val="002060"/>
                <w:sz w:val="20"/>
                <w:szCs w:val="20"/>
              </w:rPr>
              <w:t>Maximum interest rate</w:t>
            </w:r>
          </w:p>
        </w:tc>
        <w:tc>
          <w:tcPr>
            <w:tcW w:w="1813" w:type="dxa"/>
          </w:tcPr>
          <w:p w14:paraId="36BB58B6" w14:textId="1FF40A1D" w:rsidR="00591D74" w:rsidRPr="00D074CB" w:rsidRDefault="000306A4" w:rsidP="000306A4">
            <w:pPr>
              <w:pStyle w:val="regpar"/>
              <w:ind w:firstLine="0"/>
              <w:jc w:val="center"/>
              <w:rPr>
                <w:rFonts w:ascii="Calibri" w:hAnsi="Calibri" w:cs="Calibri"/>
                <w:b/>
                <w:bCs/>
                <w:color w:val="002060"/>
                <w:sz w:val="20"/>
                <w:szCs w:val="20"/>
              </w:rPr>
            </w:pPr>
            <w:r w:rsidRPr="00D074CB">
              <w:rPr>
                <w:rFonts w:ascii="Calibri" w:hAnsi="Calibri" w:cs="Calibri"/>
                <w:b/>
                <w:bCs/>
                <w:color w:val="002060"/>
                <w:sz w:val="20"/>
                <w:szCs w:val="20"/>
              </w:rPr>
              <w:t>How payments are spread out</w:t>
            </w:r>
          </w:p>
        </w:tc>
      </w:tr>
      <w:tr w:rsidR="00591D74" w:rsidRPr="00D074CB" w14:paraId="1068EB29" w14:textId="77777777" w:rsidTr="00591D74">
        <w:tc>
          <w:tcPr>
            <w:tcW w:w="1812" w:type="dxa"/>
            <w:vMerge/>
          </w:tcPr>
          <w:p w14:paraId="5E242709" w14:textId="77777777" w:rsidR="00591D74" w:rsidRPr="00D074CB" w:rsidRDefault="00591D74" w:rsidP="00591D74">
            <w:pPr>
              <w:pStyle w:val="regpar"/>
              <w:ind w:firstLine="0"/>
              <w:jc w:val="left"/>
              <w:rPr>
                <w:rFonts w:ascii="Calibri" w:hAnsi="Calibri" w:cs="Calibri"/>
                <w:sz w:val="20"/>
                <w:szCs w:val="20"/>
              </w:rPr>
            </w:pPr>
          </w:p>
        </w:tc>
        <w:tc>
          <w:tcPr>
            <w:tcW w:w="1812" w:type="dxa"/>
          </w:tcPr>
          <w:p w14:paraId="2BFA7C15" w14:textId="7BCE52A7" w:rsidR="00591D74" w:rsidRPr="00D074CB" w:rsidRDefault="000306A4" w:rsidP="000306A4">
            <w:pPr>
              <w:pStyle w:val="regpar"/>
              <w:spacing w:line="240" w:lineRule="auto"/>
              <w:ind w:firstLine="0"/>
              <w:jc w:val="left"/>
              <w:rPr>
                <w:rFonts w:ascii="Calibri" w:hAnsi="Calibri" w:cs="Calibri"/>
                <w:b/>
                <w:bCs/>
                <w:sz w:val="20"/>
                <w:szCs w:val="20"/>
              </w:rPr>
            </w:pPr>
            <w:r w:rsidRPr="00D074CB">
              <w:rPr>
                <w:rFonts w:ascii="Calibri" w:hAnsi="Calibri" w:cs="Calibri"/>
                <w:b/>
                <w:bCs/>
                <w:sz w:val="20"/>
                <w:szCs w:val="20"/>
              </w:rPr>
              <w:t>Mortgages</w:t>
            </w:r>
            <w:r w:rsidRPr="00D074CB">
              <w:rPr>
                <w:rStyle w:val="a6"/>
                <w:rFonts w:ascii="Calibri" w:hAnsi="Calibri" w:cs="Calibri"/>
                <w:b/>
                <w:bCs/>
              </w:rPr>
              <w:footnoteReference w:id="3"/>
            </w:r>
          </w:p>
        </w:tc>
        <w:tc>
          <w:tcPr>
            <w:tcW w:w="1812" w:type="dxa"/>
            <w:vMerge w:val="restart"/>
          </w:tcPr>
          <w:p w14:paraId="1026B4CD" w14:textId="3DF41D93" w:rsidR="00591D74" w:rsidRPr="00D074CB" w:rsidRDefault="000306A4" w:rsidP="002C7777">
            <w:pPr>
              <w:pStyle w:val="regpar"/>
              <w:spacing w:line="240" w:lineRule="auto"/>
              <w:ind w:firstLine="0"/>
              <w:jc w:val="left"/>
              <w:rPr>
                <w:rFonts w:ascii="Calibri" w:hAnsi="Calibri" w:cs="Calibri"/>
                <w:sz w:val="20"/>
                <w:szCs w:val="20"/>
              </w:rPr>
            </w:pPr>
            <w:r w:rsidRPr="00D074CB">
              <w:rPr>
                <w:rFonts w:ascii="Calibri" w:hAnsi="Calibri" w:cs="Calibri"/>
                <w:sz w:val="20"/>
                <w:szCs w:val="20"/>
              </w:rPr>
              <w:t xml:space="preserve">A customer who has deferred payments </w:t>
            </w:r>
            <w:r w:rsidR="002C7777" w:rsidRPr="00D074CB">
              <w:rPr>
                <w:rFonts w:ascii="Calibri" w:hAnsi="Calibri" w:cs="Calibri"/>
                <w:sz w:val="20"/>
                <w:szCs w:val="20"/>
              </w:rPr>
              <w:t>during the program</w:t>
            </w:r>
            <w:r w:rsidRPr="00D074CB">
              <w:rPr>
                <w:rFonts w:ascii="Calibri" w:hAnsi="Calibri" w:cs="Calibri"/>
                <w:sz w:val="20"/>
                <w:szCs w:val="20"/>
              </w:rPr>
              <w:t xml:space="preserve"> will be eligible to defer for an additional 3 months subject to submitting a request, </w:t>
            </w:r>
            <w:r w:rsidR="002C7777" w:rsidRPr="00D074CB">
              <w:rPr>
                <w:rFonts w:ascii="Calibri" w:hAnsi="Calibri" w:cs="Calibri"/>
                <w:sz w:val="20"/>
                <w:szCs w:val="20"/>
              </w:rPr>
              <w:t>provided</w:t>
            </w:r>
            <w:r w:rsidRPr="00D074CB">
              <w:rPr>
                <w:rFonts w:ascii="Calibri" w:hAnsi="Calibri" w:cs="Calibri"/>
                <w:sz w:val="20"/>
                <w:szCs w:val="20"/>
              </w:rPr>
              <w:t xml:space="preserve"> that the total deferral period will be</w:t>
            </w:r>
            <w:r w:rsidR="002C7777" w:rsidRPr="00D074CB">
              <w:rPr>
                <w:rFonts w:ascii="Calibri" w:hAnsi="Calibri" w:cs="Calibri"/>
                <w:sz w:val="20"/>
                <w:szCs w:val="20"/>
              </w:rPr>
              <w:t xml:space="preserve"> no more than</w:t>
            </w:r>
            <w:r w:rsidRPr="00D074CB">
              <w:rPr>
                <w:rFonts w:ascii="Calibri" w:hAnsi="Calibri" w:cs="Calibri"/>
                <w:sz w:val="20"/>
                <w:szCs w:val="20"/>
              </w:rPr>
              <w:t xml:space="preserve"> </w:t>
            </w:r>
            <w:r w:rsidR="00EA178D" w:rsidRPr="00D074CB">
              <w:rPr>
                <w:rFonts w:ascii="Calibri" w:hAnsi="Calibri" w:cs="Calibri"/>
                <w:sz w:val="20"/>
                <w:szCs w:val="20"/>
              </w:rPr>
              <w:t>9</w:t>
            </w:r>
            <w:r w:rsidRPr="00D074CB">
              <w:rPr>
                <w:rFonts w:ascii="Calibri" w:hAnsi="Calibri" w:cs="Calibri"/>
                <w:sz w:val="20"/>
                <w:szCs w:val="20"/>
              </w:rPr>
              <w:t xml:space="preserve"> months.</w:t>
            </w:r>
            <w:r w:rsidRPr="00D074CB">
              <w:rPr>
                <w:rStyle w:val="a6"/>
                <w:rFonts w:ascii="Calibri" w:hAnsi="Calibri" w:cs="Calibri"/>
              </w:rPr>
              <w:footnoteReference w:id="4"/>
            </w:r>
          </w:p>
          <w:p w14:paraId="79B8C817" w14:textId="77777777" w:rsidR="000306A4" w:rsidRPr="00D074CB" w:rsidRDefault="000306A4" w:rsidP="000306A4">
            <w:pPr>
              <w:pStyle w:val="regpar"/>
              <w:spacing w:line="240" w:lineRule="auto"/>
              <w:ind w:firstLine="0"/>
              <w:jc w:val="left"/>
              <w:rPr>
                <w:rFonts w:ascii="Calibri" w:hAnsi="Calibri" w:cs="Calibri"/>
                <w:sz w:val="20"/>
                <w:szCs w:val="20"/>
              </w:rPr>
            </w:pPr>
          </w:p>
          <w:p w14:paraId="2663B0E0" w14:textId="77777777" w:rsidR="000306A4" w:rsidRPr="00D074CB" w:rsidRDefault="000306A4" w:rsidP="000306A4">
            <w:pPr>
              <w:pStyle w:val="regpar"/>
              <w:spacing w:line="240" w:lineRule="auto"/>
              <w:ind w:firstLine="0"/>
              <w:jc w:val="left"/>
              <w:rPr>
                <w:rFonts w:ascii="Calibri" w:hAnsi="Calibri" w:cs="Calibri"/>
                <w:sz w:val="20"/>
                <w:szCs w:val="20"/>
              </w:rPr>
            </w:pPr>
            <w:r w:rsidRPr="00D074CB">
              <w:rPr>
                <w:rFonts w:ascii="Calibri" w:hAnsi="Calibri" w:cs="Calibri"/>
                <w:sz w:val="20"/>
                <w:szCs w:val="20"/>
              </w:rPr>
              <w:t>A customer who has not deferred payments based on the program shall be eligible for a 3-month deferral subject to submitting a request.</w:t>
            </w:r>
          </w:p>
          <w:p w14:paraId="6B9903B2" w14:textId="77777777" w:rsidR="002C7777" w:rsidRPr="00D074CB" w:rsidRDefault="002C7777" w:rsidP="000306A4">
            <w:pPr>
              <w:pStyle w:val="regpar"/>
              <w:spacing w:line="240" w:lineRule="auto"/>
              <w:ind w:firstLine="0"/>
              <w:jc w:val="left"/>
              <w:rPr>
                <w:rFonts w:ascii="Calibri" w:hAnsi="Calibri" w:cs="Calibri"/>
                <w:sz w:val="20"/>
                <w:szCs w:val="20"/>
              </w:rPr>
            </w:pPr>
          </w:p>
          <w:p w14:paraId="4376F61D" w14:textId="727840EE" w:rsidR="002C7777" w:rsidRPr="00D074CB" w:rsidRDefault="002C7777" w:rsidP="000306A4">
            <w:pPr>
              <w:pStyle w:val="regpar"/>
              <w:spacing w:line="240" w:lineRule="auto"/>
              <w:ind w:firstLine="0"/>
              <w:jc w:val="left"/>
              <w:rPr>
                <w:rFonts w:ascii="Calibri" w:hAnsi="Calibri" w:cs="Calibri"/>
                <w:sz w:val="20"/>
                <w:szCs w:val="20"/>
              </w:rPr>
            </w:pPr>
            <w:r w:rsidRPr="00D074CB">
              <w:rPr>
                <w:rFonts w:ascii="Calibri" w:hAnsi="Calibri" w:cs="Calibri"/>
                <w:sz w:val="20"/>
                <w:szCs w:val="20"/>
              </w:rPr>
              <w:lastRenderedPageBreak/>
              <w:t>Deferral of payments for a period of up to 12 months</w:t>
            </w:r>
            <w:r w:rsidRPr="00D074CB">
              <w:rPr>
                <w:rStyle w:val="a6"/>
                <w:rFonts w:ascii="Calibri" w:hAnsi="Calibri" w:cs="Calibri"/>
              </w:rPr>
              <w:footnoteReference w:id="5"/>
            </w:r>
            <w:r w:rsidRPr="00D074CB">
              <w:rPr>
                <w:rFonts w:ascii="Calibri" w:hAnsi="Calibri" w:cs="Calibri"/>
                <w:sz w:val="20"/>
                <w:szCs w:val="20"/>
              </w:rPr>
              <w:t xml:space="preserve"> shall be possible for people living or owning a business in one of the localities in the north</w:t>
            </w:r>
            <w:r w:rsidRPr="00D074CB">
              <w:rPr>
                <w:rStyle w:val="a6"/>
                <w:rFonts w:ascii="Calibri" w:hAnsi="Calibri" w:cs="Calibri"/>
              </w:rPr>
              <w:footnoteReference w:id="6"/>
            </w:r>
            <w:r w:rsidRPr="00D074CB">
              <w:rPr>
                <w:rFonts w:ascii="Calibri" w:hAnsi="Calibri" w:cs="Calibri"/>
                <w:sz w:val="20"/>
                <w:szCs w:val="20"/>
              </w:rPr>
              <w:t xml:space="preserve"> and for reserve soldiers in active reserve duty during the revised program period.</w:t>
            </w:r>
            <w:r w:rsidRPr="00D074CB">
              <w:rPr>
                <w:rStyle w:val="a6"/>
                <w:rFonts w:ascii="Calibri" w:hAnsi="Calibri" w:cs="Calibri"/>
              </w:rPr>
              <w:footnoteReference w:id="7"/>
            </w:r>
          </w:p>
        </w:tc>
        <w:tc>
          <w:tcPr>
            <w:tcW w:w="1813" w:type="dxa"/>
            <w:vMerge w:val="restart"/>
          </w:tcPr>
          <w:p w14:paraId="45CC9120" w14:textId="22A88FFB" w:rsidR="00591D74" w:rsidRPr="00D074CB" w:rsidRDefault="000306A4" w:rsidP="000306A4">
            <w:pPr>
              <w:pStyle w:val="regpar"/>
              <w:spacing w:line="240" w:lineRule="auto"/>
              <w:ind w:firstLine="0"/>
              <w:jc w:val="left"/>
              <w:rPr>
                <w:rFonts w:ascii="Calibri" w:hAnsi="Calibri" w:cs="Calibri"/>
                <w:sz w:val="20"/>
                <w:szCs w:val="20"/>
              </w:rPr>
            </w:pPr>
            <w:r w:rsidRPr="00D074CB">
              <w:rPr>
                <w:rFonts w:ascii="Calibri" w:hAnsi="Calibri" w:cs="Calibri"/>
                <w:sz w:val="20"/>
                <w:szCs w:val="20"/>
              </w:rPr>
              <w:lastRenderedPageBreak/>
              <w:t>There will be no interest charged in respect of the deferral amount.</w:t>
            </w:r>
          </w:p>
        </w:tc>
        <w:tc>
          <w:tcPr>
            <w:tcW w:w="1813" w:type="dxa"/>
            <w:vMerge w:val="restart"/>
          </w:tcPr>
          <w:p w14:paraId="0D740DC3" w14:textId="77777777" w:rsidR="00591D74" w:rsidRPr="00D074CB" w:rsidRDefault="000306A4" w:rsidP="000306A4">
            <w:pPr>
              <w:pStyle w:val="regpar"/>
              <w:spacing w:line="240" w:lineRule="auto"/>
              <w:ind w:firstLine="0"/>
              <w:jc w:val="left"/>
              <w:rPr>
                <w:rFonts w:ascii="Calibri" w:hAnsi="Calibri" w:cs="Calibri"/>
                <w:sz w:val="20"/>
                <w:szCs w:val="20"/>
              </w:rPr>
            </w:pPr>
            <w:r w:rsidRPr="00D074CB">
              <w:rPr>
                <w:rFonts w:ascii="Calibri" w:hAnsi="Calibri" w:cs="Calibri"/>
                <w:sz w:val="20"/>
                <w:szCs w:val="20"/>
                <w:u w:val="single"/>
              </w:rPr>
              <w:t>Mortgages</w:t>
            </w:r>
          </w:p>
          <w:p w14:paraId="759A4180" w14:textId="77777777" w:rsidR="000306A4" w:rsidRPr="00D074CB" w:rsidRDefault="000306A4" w:rsidP="000306A4">
            <w:pPr>
              <w:pStyle w:val="regpar"/>
              <w:spacing w:line="240" w:lineRule="auto"/>
              <w:ind w:firstLine="0"/>
              <w:jc w:val="left"/>
              <w:rPr>
                <w:rFonts w:ascii="Calibri" w:hAnsi="Calibri" w:cs="Calibri"/>
                <w:sz w:val="20"/>
                <w:szCs w:val="20"/>
              </w:rPr>
            </w:pPr>
            <w:r w:rsidRPr="00D074CB">
              <w:rPr>
                <w:rFonts w:ascii="Calibri" w:hAnsi="Calibri" w:cs="Calibri"/>
                <w:sz w:val="20"/>
                <w:szCs w:val="20"/>
              </w:rPr>
              <w:t>Three alternatives at the bank’s choice:</w:t>
            </w:r>
          </w:p>
          <w:p w14:paraId="3866CA29" w14:textId="77777777" w:rsidR="000306A4" w:rsidRPr="00D074CB" w:rsidRDefault="000306A4" w:rsidP="000306A4">
            <w:pPr>
              <w:pStyle w:val="regpar"/>
              <w:numPr>
                <w:ilvl w:val="0"/>
                <w:numId w:val="19"/>
              </w:numPr>
              <w:spacing w:line="240" w:lineRule="auto"/>
              <w:ind w:left="149" w:hanging="218"/>
              <w:jc w:val="left"/>
              <w:rPr>
                <w:rFonts w:ascii="Calibri" w:hAnsi="Calibri" w:cs="Calibri"/>
                <w:sz w:val="20"/>
                <w:szCs w:val="20"/>
              </w:rPr>
            </w:pPr>
            <w:r w:rsidRPr="00D074CB">
              <w:rPr>
                <w:rFonts w:ascii="Calibri" w:hAnsi="Calibri" w:cs="Calibri"/>
                <w:sz w:val="20"/>
                <w:szCs w:val="20"/>
              </w:rPr>
              <w:t>Spread payments over the remaining mortgage period.</w:t>
            </w:r>
          </w:p>
          <w:p w14:paraId="4D559C9B" w14:textId="77777777" w:rsidR="000306A4" w:rsidRPr="00D074CB" w:rsidRDefault="000306A4" w:rsidP="000306A4">
            <w:pPr>
              <w:pStyle w:val="regpar"/>
              <w:numPr>
                <w:ilvl w:val="0"/>
                <w:numId w:val="19"/>
              </w:numPr>
              <w:spacing w:line="240" w:lineRule="auto"/>
              <w:ind w:left="149" w:hanging="218"/>
              <w:jc w:val="left"/>
              <w:rPr>
                <w:rFonts w:ascii="Calibri" w:hAnsi="Calibri" w:cs="Calibri"/>
                <w:sz w:val="20"/>
                <w:szCs w:val="20"/>
              </w:rPr>
            </w:pPr>
            <w:r w:rsidRPr="00D074CB">
              <w:rPr>
                <w:rFonts w:ascii="Calibri" w:hAnsi="Calibri" w:cs="Calibri"/>
                <w:sz w:val="20"/>
                <w:szCs w:val="20"/>
              </w:rPr>
              <w:t>Extending the mortgage period.</w:t>
            </w:r>
          </w:p>
          <w:p w14:paraId="2A38C5FC" w14:textId="77777777" w:rsidR="000306A4" w:rsidRPr="00D074CB" w:rsidRDefault="000306A4" w:rsidP="000306A4">
            <w:pPr>
              <w:pStyle w:val="regpar"/>
              <w:numPr>
                <w:ilvl w:val="0"/>
                <w:numId w:val="19"/>
              </w:numPr>
              <w:spacing w:line="240" w:lineRule="auto"/>
              <w:ind w:left="149" w:hanging="218"/>
              <w:jc w:val="left"/>
              <w:rPr>
                <w:rFonts w:ascii="Calibri" w:hAnsi="Calibri" w:cs="Calibri"/>
                <w:sz w:val="20"/>
                <w:szCs w:val="20"/>
              </w:rPr>
            </w:pPr>
            <w:r w:rsidRPr="00D074CB">
              <w:rPr>
                <w:rFonts w:ascii="Calibri" w:hAnsi="Calibri" w:cs="Calibri"/>
                <w:sz w:val="20"/>
                <w:szCs w:val="20"/>
              </w:rPr>
              <w:t>Providing an interest-free loan for the deferred amount, for a period of at least 4 years, with repayments beginning one year after the end of the deferral.</w:t>
            </w:r>
          </w:p>
          <w:p w14:paraId="43F4A017" w14:textId="77777777" w:rsidR="000306A4" w:rsidRPr="00D074CB" w:rsidRDefault="000306A4" w:rsidP="000306A4">
            <w:pPr>
              <w:pStyle w:val="regpar"/>
              <w:spacing w:line="240" w:lineRule="auto"/>
              <w:ind w:left="-69" w:firstLine="0"/>
              <w:jc w:val="left"/>
              <w:rPr>
                <w:rFonts w:ascii="Calibri" w:hAnsi="Calibri" w:cs="Calibri"/>
                <w:sz w:val="20"/>
                <w:szCs w:val="20"/>
              </w:rPr>
            </w:pPr>
            <w:r w:rsidRPr="00D074CB">
              <w:rPr>
                <w:rFonts w:ascii="Calibri" w:hAnsi="Calibri" w:cs="Calibri"/>
                <w:sz w:val="20"/>
                <w:szCs w:val="20"/>
                <w:u w:val="single"/>
              </w:rPr>
              <w:t>Consumer and business credit</w:t>
            </w:r>
          </w:p>
          <w:p w14:paraId="53E84341" w14:textId="7D536DAD" w:rsidR="000306A4" w:rsidRPr="00D074CB" w:rsidRDefault="000306A4" w:rsidP="000306A4">
            <w:pPr>
              <w:pStyle w:val="regpar"/>
              <w:spacing w:line="240" w:lineRule="auto"/>
              <w:ind w:left="-69" w:firstLine="0"/>
              <w:jc w:val="left"/>
              <w:rPr>
                <w:rFonts w:ascii="Calibri" w:hAnsi="Calibri" w:cs="Calibri"/>
                <w:sz w:val="20"/>
                <w:szCs w:val="20"/>
              </w:rPr>
            </w:pPr>
            <w:r w:rsidRPr="00D074CB">
              <w:rPr>
                <w:rFonts w:ascii="Calibri" w:hAnsi="Calibri" w:cs="Calibri"/>
                <w:sz w:val="20"/>
                <w:szCs w:val="20"/>
              </w:rPr>
              <w:lastRenderedPageBreak/>
              <w:t>Adding payments at the end of the loan period.</w:t>
            </w:r>
          </w:p>
        </w:tc>
      </w:tr>
      <w:tr w:rsidR="00591D74" w:rsidRPr="00D074CB" w14:paraId="32838AC8" w14:textId="77777777" w:rsidTr="00591D74">
        <w:tc>
          <w:tcPr>
            <w:tcW w:w="1812" w:type="dxa"/>
            <w:vMerge/>
          </w:tcPr>
          <w:p w14:paraId="24122F81" w14:textId="77777777" w:rsidR="00591D74" w:rsidRPr="00D074CB" w:rsidRDefault="00591D74" w:rsidP="00591D74">
            <w:pPr>
              <w:pStyle w:val="regpar"/>
              <w:ind w:firstLine="0"/>
              <w:jc w:val="left"/>
              <w:rPr>
                <w:rFonts w:ascii="Calibri" w:hAnsi="Calibri" w:cs="Calibri"/>
                <w:sz w:val="20"/>
                <w:szCs w:val="20"/>
              </w:rPr>
            </w:pPr>
          </w:p>
        </w:tc>
        <w:tc>
          <w:tcPr>
            <w:tcW w:w="1812" w:type="dxa"/>
          </w:tcPr>
          <w:p w14:paraId="68B536C3" w14:textId="44DB949D" w:rsidR="00591D74" w:rsidRPr="00D074CB" w:rsidRDefault="000306A4" w:rsidP="000306A4">
            <w:pPr>
              <w:pStyle w:val="regpar"/>
              <w:spacing w:line="240" w:lineRule="auto"/>
              <w:ind w:firstLine="0"/>
              <w:jc w:val="left"/>
              <w:rPr>
                <w:rFonts w:ascii="Calibri" w:hAnsi="Calibri" w:cs="Calibri"/>
                <w:b/>
                <w:bCs/>
                <w:sz w:val="20"/>
                <w:szCs w:val="20"/>
              </w:rPr>
            </w:pPr>
            <w:r w:rsidRPr="00D074CB">
              <w:rPr>
                <w:rFonts w:ascii="Calibri" w:hAnsi="Calibri" w:cs="Calibri"/>
                <w:b/>
                <w:bCs/>
                <w:sz w:val="20"/>
                <w:szCs w:val="20"/>
              </w:rPr>
              <w:t>Consumer credit, cumulative up to NIS 100,000</w:t>
            </w:r>
          </w:p>
        </w:tc>
        <w:tc>
          <w:tcPr>
            <w:tcW w:w="1812" w:type="dxa"/>
            <w:vMerge/>
          </w:tcPr>
          <w:p w14:paraId="0B02BAF3" w14:textId="77777777" w:rsidR="00591D74" w:rsidRPr="00D074CB" w:rsidRDefault="00591D74" w:rsidP="000306A4">
            <w:pPr>
              <w:pStyle w:val="regpar"/>
              <w:spacing w:line="240" w:lineRule="auto"/>
              <w:ind w:firstLine="0"/>
              <w:jc w:val="left"/>
              <w:rPr>
                <w:rFonts w:ascii="Calibri" w:hAnsi="Calibri" w:cs="Calibri"/>
                <w:sz w:val="20"/>
                <w:szCs w:val="20"/>
              </w:rPr>
            </w:pPr>
          </w:p>
        </w:tc>
        <w:tc>
          <w:tcPr>
            <w:tcW w:w="1813" w:type="dxa"/>
            <w:vMerge/>
          </w:tcPr>
          <w:p w14:paraId="02CAA32B" w14:textId="77777777" w:rsidR="00591D74" w:rsidRPr="00D074CB" w:rsidRDefault="00591D74" w:rsidP="000306A4">
            <w:pPr>
              <w:pStyle w:val="regpar"/>
              <w:spacing w:line="240" w:lineRule="auto"/>
              <w:ind w:firstLine="0"/>
              <w:jc w:val="left"/>
              <w:rPr>
                <w:rFonts w:ascii="Calibri" w:hAnsi="Calibri" w:cs="Calibri"/>
                <w:sz w:val="20"/>
                <w:szCs w:val="20"/>
              </w:rPr>
            </w:pPr>
          </w:p>
        </w:tc>
        <w:tc>
          <w:tcPr>
            <w:tcW w:w="1813" w:type="dxa"/>
            <w:vMerge/>
          </w:tcPr>
          <w:p w14:paraId="32E26683" w14:textId="77777777" w:rsidR="00591D74" w:rsidRPr="00D074CB" w:rsidRDefault="00591D74" w:rsidP="000306A4">
            <w:pPr>
              <w:pStyle w:val="regpar"/>
              <w:spacing w:line="240" w:lineRule="auto"/>
              <w:ind w:firstLine="0"/>
              <w:jc w:val="left"/>
              <w:rPr>
                <w:rFonts w:ascii="Calibri" w:hAnsi="Calibri" w:cs="Calibri"/>
                <w:sz w:val="20"/>
                <w:szCs w:val="20"/>
              </w:rPr>
            </w:pPr>
          </w:p>
        </w:tc>
      </w:tr>
      <w:tr w:rsidR="00591D74" w:rsidRPr="00D074CB" w14:paraId="0930F332" w14:textId="77777777" w:rsidTr="00591D74">
        <w:tc>
          <w:tcPr>
            <w:tcW w:w="1812" w:type="dxa"/>
            <w:vMerge/>
          </w:tcPr>
          <w:p w14:paraId="7B6FE74E" w14:textId="77777777" w:rsidR="00591D74" w:rsidRPr="00D074CB" w:rsidRDefault="00591D74" w:rsidP="00591D74">
            <w:pPr>
              <w:pStyle w:val="regpar"/>
              <w:ind w:firstLine="0"/>
              <w:jc w:val="left"/>
              <w:rPr>
                <w:rFonts w:ascii="Calibri" w:hAnsi="Calibri" w:cs="Calibri"/>
                <w:sz w:val="20"/>
                <w:szCs w:val="20"/>
              </w:rPr>
            </w:pPr>
          </w:p>
        </w:tc>
        <w:tc>
          <w:tcPr>
            <w:tcW w:w="1812" w:type="dxa"/>
          </w:tcPr>
          <w:p w14:paraId="0F099493" w14:textId="0CEFE6A8" w:rsidR="00591D74" w:rsidRPr="00D074CB" w:rsidRDefault="000306A4" w:rsidP="000306A4">
            <w:pPr>
              <w:pStyle w:val="regpar"/>
              <w:spacing w:line="240" w:lineRule="auto"/>
              <w:ind w:firstLine="0"/>
              <w:jc w:val="left"/>
              <w:rPr>
                <w:rFonts w:ascii="Calibri" w:hAnsi="Calibri" w:cs="Calibri"/>
                <w:b/>
                <w:bCs/>
                <w:sz w:val="20"/>
                <w:szCs w:val="20"/>
              </w:rPr>
            </w:pPr>
            <w:r w:rsidRPr="00D074CB">
              <w:rPr>
                <w:rFonts w:ascii="Calibri" w:hAnsi="Calibri" w:cs="Calibri"/>
                <w:b/>
                <w:bCs/>
                <w:sz w:val="20"/>
                <w:szCs w:val="20"/>
              </w:rPr>
              <w:t>Business credit</w:t>
            </w:r>
            <w:r w:rsidRPr="00D074CB">
              <w:rPr>
                <w:rStyle w:val="a6"/>
                <w:rFonts w:ascii="Calibri" w:hAnsi="Calibri" w:cs="Calibri"/>
                <w:b/>
                <w:bCs/>
              </w:rPr>
              <w:footnoteReference w:id="8"/>
            </w:r>
            <w:r w:rsidRPr="00D074CB">
              <w:rPr>
                <w:rFonts w:ascii="Calibri" w:hAnsi="Calibri" w:cs="Calibri"/>
                <w:b/>
                <w:bCs/>
                <w:sz w:val="20"/>
                <w:szCs w:val="20"/>
              </w:rPr>
              <w:t xml:space="preserve"> up to NIS 2 million</w:t>
            </w:r>
          </w:p>
        </w:tc>
        <w:tc>
          <w:tcPr>
            <w:tcW w:w="1812" w:type="dxa"/>
            <w:vMerge/>
          </w:tcPr>
          <w:p w14:paraId="7D957AFA" w14:textId="77777777" w:rsidR="00591D74" w:rsidRPr="00D074CB" w:rsidRDefault="00591D74" w:rsidP="000306A4">
            <w:pPr>
              <w:pStyle w:val="regpar"/>
              <w:spacing w:line="240" w:lineRule="auto"/>
              <w:ind w:firstLine="0"/>
              <w:jc w:val="left"/>
              <w:rPr>
                <w:rFonts w:ascii="Calibri" w:hAnsi="Calibri" w:cs="Calibri"/>
                <w:sz w:val="20"/>
                <w:szCs w:val="20"/>
              </w:rPr>
            </w:pPr>
          </w:p>
        </w:tc>
        <w:tc>
          <w:tcPr>
            <w:tcW w:w="1813" w:type="dxa"/>
            <w:vMerge/>
          </w:tcPr>
          <w:p w14:paraId="6A9BD622" w14:textId="77777777" w:rsidR="00591D74" w:rsidRPr="00D074CB" w:rsidRDefault="00591D74" w:rsidP="000306A4">
            <w:pPr>
              <w:pStyle w:val="regpar"/>
              <w:spacing w:line="240" w:lineRule="auto"/>
              <w:ind w:firstLine="0"/>
              <w:jc w:val="left"/>
              <w:rPr>
                <w:rFonts w:ascii="Calibri" w:hAnsi="Calibri" w:cs="Calibri"/>
                <w:sz w:val="20"/>
                <w:szCs w:val="20"/>
              </w:rPr>
            </w:pPr>
          </w:p>
        </w:tc>
        <w:tc>
          <w:tcPr>
            <w:tcW w:w="1813" w:type="dxa"/>
            <w:vMerge/>
          </w:tcPr>
          <w:p w14:paraId="7772C65E" w14:textId="77777777" w:rsidR="00591D74" w:rsidRPr="00D074CB" w:rsidRDefault="00591D74" w:rsidP="000306A4">
            <w:pPr>
              <w:pStyle w:val="regpar"/>
              <w:spacing w:line="240" w:lineRule="auto"/>
              <w:ind w:firstLine="0"/>
              <w:jc w:val="left"/>
              <w:rPr>
                <w:rFonts w:ascii="Calibri" w:hAnsi="Calibri" w:cs="Calibri"/>
                <w:sz w:val="20"/>
                <w:szCs w:val="20"/>
              </w:rPr>
            </w:pPr>
          </w:p>
        </w:tc>
      </w:tr>
      <w:tr w:rsidR="00591D74" w:rsidRPr="00D074CB" w14:paraId="5724377A" w14:textId="77777777" w:rsidTr="00591D74">
        <w:tc>
          <w:tcPr>
            <w:tcW w:w="1812" w:type="dxa"/>
            <w:vMerge/>
          </w:tcPr>
          <w:p w14:paraId="35EE8022" w14:textId="77777777" w:rsidR="00591D74" w:rsidRPr="00D074CB" w:rsidRDefault="00591D74" w:rsidP="00591D74">
            <w:pPr>
              <w:pStyle w:val="regpar"/>
              <w:ind w:firstLine="0"/>
              <w:jc w:val="left"/>
              <w:rPr>
                <w:rFonts w:ascii="Calibri" w:hAnsi="Calibri" w:cs="Calibri"/>
                <w:sz w:val="20"/>
                <w:szCs w:val="20"/>
              </w:rPr>
            </w:pPr>
          </w:p>
        </w:tc>
        <w:tc>
          <w:tcPr>
            <w:tcW w:w="1812" w:type="dxa"/>
          </w:tcPr>
          <w:p w14:paraId="19B67052" w14:textId="5CDF613F" w:rsidR="00591D74" w:rsidRPr="00D074CB" w:rsidRDefault="000306A4" w:rsidP="000306A4">
            <w:pPr>
              <w:pStyle w:val="regpar"/>
              <w:spacing w:line="240" w:lineRule="auto"/>
              <w:ind w:firstLine="0"/>
              <w:jc w:val="left"/>
              <w:rPr>
                <w:rFonts w:ascii="Calibri" w:hAnsi="Calibri" w:cs="Calibri"/>
                <w:b/>
                <w:bCs/>
                <w:sz w:val="20"/>
                <w:szCs w:val="20"/>
              </w:rPr>
            </w:pPr>
            <w:r w:rsidRPr="00D074CB">
              <w:rPr>
                <w:rFonts w:ascii="Calibri" w:hAnsi="Calibri" w:cs="Calibri"/>
                <w:b/>
                <w:bCs/>
                <w:sz w:val="20"/>
                <w:szCs w:val="20"/>
              </w:rPr>
              <w:t>Negative balance (overdraft) in a household current account, up to NIS 10,000</w:t>
            </w:r>
          </w:p>
        </w:tc>
        <w:tc>
          <w:tcPr>
            <w:tcW w:w="1812" w:type="dxa"/>
          </w:tcPr>
          <w:p w14:paraId="06FFB6B6" w14:textId="6F8233E5" w:rsidR="00591D74" w:rsidRPr="00D074CB" w:rsidRDefault="000306A4" w:rsidP="000306A4">
            <w:pPr>
              <w:pStyle w:val="regpar"/>
              <w:spacing w:line="240" w:lineRule="auto"/>
              <w:ind w:firstLine="0"/>
              <w:jc w:val="left"/>
              <w:rPr>
                <w:rFonts w:ascii="Calibri" w:hAnsi="Calibri" w:cs="Calibri"/>
                <w:sz w:val="20"/>
                <w:szCs w:val="20"/>
              </w:rPr>
            </w:pPr>
            <w:r w:rsidRPr="00D074CB">
              <w:rPr>
                <w:rFonts w:ascii="Calibri" w:hAnsi="Calibri" w:cs="Calibri"/>
                <w:sz w:val="20"/>
                <w:szCs w:val="20"/>
              </w:rPr>
              <w:t>3 months</w:t>
            </w:r>
          </w:p>
        </w:tc>
        <w:tc>
          <w:tcPr>
            <w:tcW w:w="1813" w:type="dxa"/>
          </w:tcPr>
          <w:p w14:paraId="1B110B15" w14:textId="21065F35" w:rsidR="00591D74" w:rsidRPr="00D074CB" w:rsidRDefault="000306A4" w:rsidP="000306A4">
            <w:pPr>
              <w:pStyle w:val="regpar"/>
              <w:spacing w:line="240" w:lineRule="auto"/>
              <w:ind w:firstLine="0"/>
              <w:jc w:val="left"/>
              <w:rPr>
                <w:rFonts w:ascii="Calibri" w:hAnsi="Calibri" w:cs="Calibri"/>
                <w:sz w:val="20"/>
                <w:szCs w:val="20"/>
              </w:rPr>
            </w:pPr>
            <w:r w:rsidRPr="00D074CB">
              <w:rPr>
                <w:rFonts w:ascii="Calibri" w:hAnsi="Calibri" w:cs="Calibri"/>
                <w:sz w:val="20"/>
                <w:szCs w:val="20"/>
              </w:rPr>
              <w:t>0% interest</w:t>
            </w:r>
          </w:p>
        </w:tc>
        <w:tc>
          <w:tcPr>
            <w:tcW w:w="1813" w:type="dxa"/>
          </w:tcPr>
          <w:p w14:paraId="521F797D" w14:textId="1431C795" w:rsidR="00591D74" w:rsidRPr="00D074CB" w:rsidRDefault="000306A4" w:rsidP="00E2231D">
            <w:pPr>
              <w:pStyle w:val="regpar"/>
              <w:spacing w:line="240" w:lineRule="auto"/>
              <w:ind w:firstLine="0"/>
              <w:jc w:val="left"/>
              <w:rPr>
                <w:rFonts w:ascii="Calibri" w:hAnsi="Calibri" w:cs="Calibri"/>
                <w:sz w:val="20"/>
                <w:szCs w:val="20"/>
              </w:rPr>
            </w:pPr>
            <w:r w:rsidRPr="00D074CB">
              <w:rPr>
                <w:rFonts w:ascii="Calibri" w:hAnsi="Calibri" w:cs="Calibri"/>
                <w:sz w:val="20"/>
                <w:szCs w:val="20"/>
                <w:u w:val="single"/>
              </w:rPr>
              <w:t>Clarification:</w:t>
            </w:r>
            <w:r w:rsidRPr="00D074CB">
              <w:rPr>
                <w:rFonts w:ascii="Calibri" w:hAnsi="Calibri" w:cs="Calibri"/>
                <w:sz w:val="20"/>
                <w:szCs w:val="20"/>
              </w:rPr>
              <w:t xml:space="preserve">  The benefit is given to </w:t>
            </w:r>
            <w:r w:rsidR="00EA178D" w:rsidRPr="00D074CB">
              <w:rPr>
                <w:rFonts w:ascii="Calibri" w:hAnsi="Calibri" w:cs="Calibri"/>
                <w:sz w:val="20"/>
                <w:szCs w:val="20"/>
              </w:rPr>
              <w:t xml:space="preserve">first-degree </w:t>
            </w:r>
            <w:r w:rsidR="00A345C2" w:rsidRPr="00D074CB">
              <w:rPr>
                <w:rFonts w:ascii="Calibri" w:hAnsi="Calibri" w:cs="Calibri"/>
                <w:sz w:val="20"/>
                <w:szCs w:val="20"/>
              </w:rPr>
              <w:t xml:space="preserve">customers </w:t>
            </w:r>
            <w:r w:rsidR="00EA178D" w:rsidRPr="00D074CB">
              <w:rPr>
                <w:rFonts w:ascii="Calibri" w:hAnsi="Calibri" w:cs="Calibri"/>
                <w:sz w:val="20"/>
                <w:szCs w:val="20"/>
              </w:rPr>
              <w:t>(including reserve soldiers)</w:t>
            </w:r>
            <w:r w:rsidR="00A345C2" w:rsidRPr="00D074CB">
              <w:rPr>
                <w:rFonts w:ascii="Calibri" w:hAnsi="Calibri" w:cs="Calibri"/>
                <w:sz w:val="20"/>
                <w:szCs w:val="20"/>
              </w:rPr>
              <w:t xml:space="preserve"> who, prior to the publication of th</w:t>
            </w:r>
            <w:r w:rsidR="00EA178D" w:rsidRPr="00D074CB">
              <w:rPr>
                <w:rFonts w:ascii="Calibri" w:hAnsi="Calibri" w:cs="Calibri"/>
                <w:sz w:val="20"/>
                <w:szCs w:val="20"/>
              </w:rPr>
              <w:t>is extension (</w:t>
            </w:r>
            <w:r w:rsidR="00E2231D" w:rsidRPr="00D074CB">
              <w:rPr>
                <w:rFonts w:ascii="Calibri" w:hAnsi="Calibri" w:cs="Calibri"/>
                <w:sz w:val="20"/>
                <w:szCs w:val="20"/>
              </w:rPr>
              <w:t>September 20</w:t>
            </w:r>
            <w:r w:rsidR="00EA178D" w:rsidRPr="00D074CB">
              <w:rPr>
                <w:rFonts w:ascii="Calibri" w:hAnsi="Calibri" w:cs="Calibri"/>
                <w:sz w:val="20"/>
                <w:szCs w:val="20"/>
              </w:rPr>
              <w:t>, 2024)</w:t>
            </w:r>
            <w:r w:rsidR="00A345C2" w:rsidRPr="00D074CB">
              <w:rPr>
                <w:rFonts w:ascii="Calibri" w:hAnsi="Calibri" w:cs="Calibri"/>
                <w:sz w:val="20"/>
                <w:szCs w:val="20"/>
              </w:rPr>
              <w:t>, had a negative balance in their current account.</w:t>
            </w:r>
            <w:r w:rsidR="00A345C2" w:rsidRPr="00D074CB">
              <w:rPr>
                <w:rStyle w:val="a6"/>
                <w:rFonts w:ascii="Calibri" w:hAnsi="Calibri" w:cs="Calibri"/>
              </w:rPr>
              <w:footnoteReference w:id="9"/>
            </w:r>
          </w:p>
          <w:p w14:paraId="77E2E97C" w14:textId="3A00F764" w:rsidR="00A345C2" w:rsidRPr="00D074CB" w:rsidRDefault="00A345C2" w:rsidP="000306A4">
            <w:pPr>
              <w:pStyle w:val="regpar"/>
              <w:spacing w:line="240" w:lineRule="auto"/>
              <w:ind w:firstLine="0"/>
              <w:jc w:val="left"/>
              <w:rPr>
                <w:rFonts w:ascii="Calibri" w:hAnsi="Calibri" w:cs="Calibri"/>
                <w:sz w:val="20"/>
                <w:szCs w:val="20"/>
              </w:rPr>
            </w:pPr>
          </w:p>
        </w:tc>
      </w:tr>
      <w:tr w:rsidR="00A345C2" w:rsidRPr="00D074CB" w14:paraId="27BD7898" w14:textId="77777777" w:rsidTr="00591D74">
        <w:tc>
          <w:tcPr>
            <w:tcW w:w="1812" w:type="dxa"/>
          </w:tcPr>
          <w:p w14:paraId="23711FDC" w14:textId="77777777" w:rsidR="00A345C2" w:rsidRPr="00D074CB" w:rsidRDefault="00A345C2" w:rsidP="00A345C2">
            <w:pPr>
              <w:pStyle w:val="regpar"/>
              <w:ind w:firstLine="0"/>
              <w:jc w:val="left"/>
              <w:rPr>
                <w:rFonts w:ascii="Calibri" w:hAnsi="Calibri" w:cs="Calibri"/>
                <w:sz w:val="20"/>
                <w:szCs w:val="20"/>
              </w:rPr>
            </w:pPr>
          </w:p>
        </w:tc>
        <w:tc>
          <w:tcPr>
            <w:tcW w:w="1812" w:type="dxa"/>
          </w:tcPr>
          <w:p w14:paraId="45DFFAE9" w14:textId="46F8F33E" w:rsidR="00A345C2" w:rsidRPr="00D074CB" w:rsidRDefault="00A345C2" w:rsidP="00A345C2">
            <w:pPr>
              <w:pStyle w:val="regpar"/>
              <w:spacing w:line="240" w:lineRule="auto"/>
              <w:ind w:firstLine="0"/>
              <w:jc w:val="left"/>
              <w:rPr>
                <w:rFonts w:ascii="Calibri" w:hAnsi="Calibri" w:cs="Calibri"/>
                <w:sz w:val="20"/>
                <w:szCs w:val="20"/>
              </w:rPr>
            </w:pPr>
            <w:r w:rsidRPr="00D074CB">
              <w:rPr>
                <w:rFonts w:ascii="Calibri" w:hAnsi="Calibri" w:cs="Calibri"/>
                <w:b/>
                <w:bCs/>
                <w:sz w:val="20"/>
                <w:szCs w:val="20"/>
              </w:rPr>
              <w:t>Negative balance (overdraft) in a business current account, up to NIS 30,000</w:t>
            </w:r>
          </w:p>
        </w:tc>
        <w:tc>
          <w:tcPr>
            <w:tcW w:w="1812" w:type="dxa"/>
          </w:tcPr>
          <w:p w14:paraId="3CA99B21" w14:textId="1C518062" w:rsidR="00A345C2" w:rsidRPr="00D074CB" w:rsidRDefault="00A345C2" w:rsidP="00A345C2">
            <w:pPr>
              <w:pStyle w:val="regpar"/>
              <w:spacing w:line="240" w:lineRule="auto"/>
              <w:ind w:firstLine="0"/>
              <w:jc w:val="left"/>
              <w:rPr>
                <w:rFonts w:ascii="Calibri" w:hAnsi="Calibri" w:cs="Calibri"/>
                <w:sz w:val="20"/>
                <w:szCs w:val="20"/>
              </w:rPr>
            </w:pPr>
            <w:r w:rsidRPr="00D074CB">
              <w:rPr>
                <w:rFonts w:ascii="Calibri" w:hAnsi="Calibri" w:cs="Calibri"/>
                <w:sz w:val="20"/>
                <w:szCs w:val="20"/>
              </w:rPr>
              <w:t>3 months</w:t>
            </w:r>
          </w:p>
        </w:tc>
        <w:tc>
          <w:tcPr>
            <w:tcW w:w="1813" w:type="dxa"/>
          </w:tcPr>
          <w:p w14:paraId="51B11CB3" w14:textId="7DB6F6DB" w:rsidR="00A345C2" w:rsidRPr="00D074CB" w:rsidRDefault="00A345C2" w:rsidP="00A345C2">
            <w:pPr>
              <w:pStyle w:val="regpar"/>
              <w:spacing w:line="240" w:lineRule="auto"/>
              <w:ind w:firstLine="0"/>
              <w:jc w:val="left"/>
              <w:rPr>
                <w:rFonts w:ascii="Calibri" w:hAnsi="Calibri" w:cs="Calibri"/>
                <w:sz w:val="20"/>
                <w:szCs w:val="20"/>
              </w:rPr>
            </w:pPr>
            <w:r w:rsidRPr="00D074CB">
              <w:rPr>
                <w:rFonts w:ascii="Calibri" w:hAnsi="Calibri" w:cs="Calibri"/>
                <w:sz w:val="20"/>
                <w:szCs w:val="20"/>
              </w:rPr>
              <w:t>0% interest</w:t>
            </w:r>
          </w:p>
        </w:tc>
        <w:tc>
          <w:tcPr>
            <w:tcW w:w="1813" w:type="dxa"/>
          </w:tcPr>
          <w:p w14:paraId="01A10409" w14:textId="18ED31A3" w:rsidR="00A345C2" w:rsidRPr="00D074CB" w:rsidRDefault="00A345C2" w:rsidP="00E2231D">
            <w:pPr>
              <w:pStyle w:val="regpar"/>
              <w:spacing w:line="240" w:lineRule="auto"/>
              <w:ind w:firstLine="0"/>
              <w:jc w:val="left"/>
              <w:rPr>
                <w:rFonts w:ascii="Calibri" w:hAnsi="Calibri" w:cs="Calibri"/>
              </w:rPr>
            </w:pPr>
            <w:r w:rsidRPr="00D074CB">
              <w:rPr>
                <w:rFonts w:ascii="Calibri" w:hAnsi="Calibri" w:cs="Calibri"/>
                <w:sz w:val="20"/>
                <w:szCs w:val="20"/>
                <w:u w:val="single"/>
              </w:rPr>
              <w:t>Clarification:</w:t>
            </w:r>
            <w:r w:rsidRPr="00D074CB">
              <w:rPr>
                <w:rFonts w:ascii="Calibri" w:hAnsi="Calibri" w:cs="Calibri"/>
                <w:sz w:val="20"/>
                <w:szCs w:val="20"/>
              </w:rPr>
              <w:t xml:space="preserve">  The benefit is given to businesses with a turnover of up to NIS </w:t>
            </w:r>
            <w:r w:rsidR="00E2231D" w:rsidRPr="00D074CB">
              <w:rPr>
                <w:rFonts w:ascii="Calibri" w:hAnsi="Calibri" w:cs="Calibri"/>
                <w:sz w:val="20"/>
                <w:szCs w:val="20"/>
              </w:rPr>
              <w:t>10</w:t>
            </w:r>
            <w:r w:rsidRPr="00D074CB">
              <w:rPr>
                <w:rFonts w:ascii="Calibri" w:hAnsi="Calibri" w:cs="Calibri"/>
                <w:sz w:val="20"/>
                <w:szCs w:val="20"/>
              </w:rPr>
              <w:t xml:space="preserve"> million, which belong to any of the groups of first-degree customers, and which, prior to the publication of the expansion of the program</w:t>
            </w:r>
            <w:r w:rsidR="00EA178D" w:rsidRPr="00D074CB">
              <w:rPr>
                <w:rFonts w:ascii="Calibri" w:hAnsi="Calibri" w:cs="Calibri"/>
                <w:sz w:val="20"/>
                <w:szCs w:val="20"/>
              </w:rPr>
              <w:t xml:space="preserve"> (</w:t>
            </w:r>
            <w:r w:rsidR="00E2231D" w:rsidRPr="00D074CB">
              <w:rPr>
                <w:rFonts w:ascii="Calibri" w:hAnsi="Calibri" w:cs="Calibri"/>
                <w:sz w:val="20"/>
                <w:szCs w:val="20"/>
              </w:rPr>
              <w:t>September 20</w:t>
            </w:r>
            <w:r w:rsidR="00EA178D" w:rsidRPr="00D074CB">
              <w:rPr>
                <w:rFonts w:ascii="Calibri" w:hAnsi="Calibri" w:cs="Calibri"/>
                <w:sz w:val="20"/>
                <w:szCs w:val="20"/>
              </w:rPr>
              <w:t>, 2024)</w:t>
            </w:r>
            <w:r w:rsidRPr="00D074CB">
              <w:rPr>
                <w:rFonts w:ascii="Calibri" w:hAnsi="Calibri" w:cs="Calibri"/>
                <w:sz w:val="20"/>
                <w:szCs w:val="20"/>
              </w:rPr>
              <w:t>, had a negative balance in their current account.  Such businesses shall be exempt from paying interest on negative balances</w:t>
            </w:r>
            <w:r w:rsidRPr="00D074CB">
              <w:rPr>
                <w:rStyle w:val="a6"/>
                <w:rFonts w:ascii="Calibri" w:hAnsi="Calibri" w:cs="Calibri"/>
              </w:rPr>
              <w:footnoteReference w:id="10"/>
            </w:r>
            <w:r w:rsidRPr="00D074CB">
              <w:rPr>
                <w:rFonts w:ascii="Calibri" w:hAnsi="Calibri" w:cs="Calibri"/>
                <w:sz w:val="20"/>
                <w:szCs w:val="20"/>
              </w:rPr>
              <w:t xml:space="preserve"> in the business account up to NIS 30,000, for a period of 3 months, subject to providing </w:t>
            </w:r>
            <w:r w:rsidRPr="00D074CB">
              <w:rPr>
                <w:rFonts w:ascii="Calibri" w:hAnsi="Calibri" w:cs="Calibri"/>
                <w:sz w:val="20"/>
                <w:szCs w:val="20"/>
              </w:rPr>
              <w:lastRenderedPageBreak/>
              <w:t>documentation if the information is not in the bank’s possession.</w:t>
            </w:r>
          </w:p>
        </w:tc>
      </w:tr>
      <w:tr w:rsidR="00A345C2" w:rsidRPr="00D074CB" w14:paraId="1DD5F4C7" w14:textId="77777777" w:rsidTr="00794F7D">
        <w:tc>
          <w:tcPr>
            <w:tcW w:w="1812" w:type="dxa"/>
          </w:tcPr>
          <w:p w14:paraId="2AC836D0" w14:textId="1B258769" w:rsidR="00A345C2" w:rsidRPr="00D074CB" w:rsidRDefault="00A345C2" w:rsidP="00A345C2">
            <w:pPr>
              <w:pStyle w:val="regpar"/>
              <w:ind w:firstLine="0"/>
              <w:jc w:val="left"/>
              <w:rPr>
                <w:rFonts w:ascii="Calibri" w:hAnsi="Calibri" w:cs="Calibri"/>
                <w:b/>
                <w:bCs/>
                <w:color w:val="002060"/>
                <w:sz w:val="20"/>
                <w:szCs w:val="20"/>
              </w:rPr>
            </w:pPr>
            <w:r w:rsidRPr="00D074CB">
              <w:rPr>
                <w:rFonts w:ascii="Calibri" w:hAnsi="Calibri" w:cs="Calibri"/>
                <w:b/>
                <w:bCs/>
                <w:color w:val="002060"/>
                <w:sz w:val="20"/>
                <w:szCs w:val="20"/>
              </w:rPr>
              <w:lastRenderedPageBreak/>
              <w:t>Leniencies with regard to fees:</w:t>
            </w:r>
            <w:r w:rsidRPr="00D074CB">
              <w:rPr>
                <w:rStyle w:val="a6"/>
                <w:rFonts w:ascii="Calibri" w:hAnsi="Calibri" w:cs="Calibri"/>
                <w:b/>
                <w:bCs/>
                <w:color w:val="002060"/>
              </w:rPr>
              <w:footnoteReference w:id="11"/>
            </w:r>
          </w:p>
        </w:tc>
        <w:tc>
          <w:tcPr>
            <w:tcW w:w="7250" w:type="dxa"/>
            <w:gridSpan w:val="4"/>
          </w:tcPr>
          <w:p w14:paraId="6746AFDF" w14:textId="5E95F2EF" w:rsidR="00A345C2" w:rsidRPr="00D074CB" w:rsidRDefault="00A345C2" w:rsidP="00E2231D">
            <w:pPr>
              <w:pStyle w:val="regpar"/>
              <w:spacing w:line="240" w:lineRule="auto"/>
              <w:ind w:firstLine="0"/>
              <w:jc w:val="left"/>
              <w:rPr>
                <w:rFonts w:ascii="Calibri" w:hAnsi="Calibri" w:cs="Calibri"/>
                <w:sz w:val="20"/>
                <w:szCs w:val="20"/>
              </w:rPr>
            </w:pPr>
            <w:r w:rsidRPr="00D074CB">
              <w:rPr>
                <w:rFonts w:ascii="Calibri" w:hAnsi="Calibri" w:cs="Calibri"/>
                <w:sz w:val="20"/>
                <w:szCs w:val="20"/>
              </w:rPr>
              <w:t>Blanket exemption from fees in respect of transactions made by first-degree customers, other than transactions involving foreign exchange, securities, foreign trade, or diamonds (as detailed in the footnote).</w:t>
            </w:r>
          </w:p>
        </w:tc>
      </w:tr>
      <w:tr w:rsidR="00A345C2" w:rsidRPr="00D074CB" w14:paraId="46A1F828" w14:textId="77777777" w:rsidTr="00A454E8">
        <w:tc>
          <w:tcPr>
            <w:tcW w:w="9062" w:type="dxa"/>
            <w:gridSpan w:val="5"/>
          </w:tcPr>
          <w:p w14:paraId="76934656" w14:textId="77777777" w:rsidR="00A345C2" w:rsidRPr="00D074CB" w:rsidRDefault="00A345C2" w:rsidP="00A345C2">
            <w:pPr>
              <w:pStyle w:val="regpar"/>
              <w:ind w:firstLine="0"/>
              <w:jc w:val="center"/>
              <w:rPr>
                <w:rFonts w:ascii="Calibri" w:hAnsi="Calibri" w:cs="Calibri"/>
                <w:b/>
                <w:bCs/>
                <w:color w:val="CC0000"/>
                <w:sz w:val="20"/>
                <w:szCs w:val="20"/>
              </w:rPr>
            </w:pPr>
            <w:r w:rsidRPr="00D074CB">
              <w:rPr>
                <w:rFonts w:ascii="Calibri" w:hAnsi="Calibri" w:cs="Calibri"/>
                <w:b/>
                <w:bCs/>
                <w:color w:val="CC0000"/>
                <w:sz w:val="20"/>
                <w:szCs w:val="20"/>
              </w:rPr>
              <w:t>Second-degree customers</w:t>
            </w:r>
          </w:p>
          <w:p w14:paraId="4135C3B6" w14:textId="0AFE4FBA" w:rsidR="00A345C2" w:rsidRPr="00D074CB" w:rsidRDefault="00A345C2" w:rsidP="00A345C2">
            <w:pPr>
              <w:pStyle w:val="regpar"/>
              <w:spacing w:line="240" w:lineRule="auto"/>
              <w:ind w:firstLine="0"/>
              <w:jc w:val="center"/>
              <w:rPr>
                <w:rFonts w:ascii="Calibri" w:hAnsi="Calibri" w:cs="Calibri"/>
                <w:sz w:val="20"/>
                <w:szCs w:val="20"/>
              </w:rPr>
            </w:pPr>
            <w:r w:rsidRPr="00D074CB">
              <w:rPr>
                <w:rFonts w:ascii="Calibri" w:hAnsi="Calibri" w:cs="Calibri"/>
                <w:b/>
                <w:bCs/>
                <w:color w:val="17365D" w:themeColor="text2" w:themeShade="BF"/>
                <w:sz w:val="20"/>
                <w:szCs w:val="20"/>
              </w:rPr>
              <w:t>All other bank customers</w:t>
            </w:r>
          </w:p>
        </w:tc>
      </w:tr>
      <w:tr w:rsidR="00A345C2" w:rsidRPr="00D074CB" w14:paraId="64E31883" w14:textId="77777777" w:rsidTr="00591D74">
        <w:tc>
          <w:tcPr>
            <w:tcW w:w="1812" w:type="dxa"/>
            <w:vMerge w:val="restart"/>
          </w:tcPr>
          <w:p w14:paraId="4EB9E49B" w14:textId="2BBFBB9C" w:rsidR="00A345C2" w:rsidRPr="00D074CB" w:rsidRDefault="00A345C2" w:rsidP="00A345C2">
            <w:pPr>
              <w:pStyle w:val="regpar"/>
              <w:ind w:firstLine="0"/>
              <w:jc w:val="left"/>
              <w:rPr>
                <w:rFonts w:ascii="Calibri" w:hAnsi="Calibri" w:cs="Calibri"/>
                <w:sz w:val="20"/>
                <w:szCs w:val="20"/>
              </w:rPr>
            </w:pPr>
            <w:r w:rsidRPr="00D074CB">
              <w:rPr>
                <w:rFonts w:ascii="Calibri" w:hAnsi="Calibri" w:cs="Calibri"/>
                <w:b/>
                <w:bCs/>
                <w:color w:val="17365D" w:themeColor="text2" w:themeShade="BF"/>
                <w:sz w:val="20"/>
                <w:szCs w:val="20"/>
              </w:rPr>
              <w:t>Leniencies in the credit field:</w:t>
            </w:r>
          </w:p>
        </w:tc>
        <w:tc>
          <w:tcPr>
            <w:tcW w:w="1812" w:type="dxa"/>
          </w:tcPr>
          <w:p w14:paraId="4C83F27D" w14:textId="279889CA" w:rsidR="00A345C2" w:rsidRPr="00D074CB" w:rsidRDefault="00A345C2" w:rsidP="00A345C2">
            <w:pPr>
              <w:pStyle w:val="regpar"/>
              <w:spacing w:line="240" w:lineRule="auto"/>
              <w:ind w:firstLine="0"/>
              <w:jc w:val="left"/>
              <w:rPr>
                <w:rFonts w:ascii="Calibri" w:hAnsi="Calibri" w:cs="Calibri"/>
                <w:sz w:val="20"/>
                <w:szCs w:val="20"/>
              </w:rPr>
            </w:pPr>
            <w:r w:rsidRPr="00D074CB">
              <w:rPr>
                <w:rFonts w:ascii="Calibri" w:hAnsi="Calibri" w:cs="Calibri"/>
                <w:b/>
                <w:bCs/>
                <w:sz w:val="20"/>
                <w:szCs w:val="20"/>
              </w:rPr>
              <w:t>Mortgages</w:t>
            </w:r>
            <w:r w:rsidRPr="00D074CB">
              <w:rPr>
                <w:rStyle w:val="a6"/>
                <w:rFonts w:ascii="Calibri" w:hAnsi="Calibri" w:cs="Calibri"/>
                <w:b/>
                <w:bCs/>
              </w:rPr>
              <w:footnoteReference w:id="12"/>
            </w:r>
          </w:p>
        </w:tc>
        <w:tc>
          <w:tcPr>
            <w:tcW w:w="1812" w:type="dxa"/>
            <w:vMerge w:val="restart"/>
          </w:tcPr>
          <w:p w14:paraId="7CFA79A0" w14:textId="47DD2BA7" w:rsidR="00A345C2" w:rsidRPr="00D074CB" w:rsidRDefault="00E2231D" w:rsidP="00E2231D">
            <w:pPr>
              <w:pStyle w:val="regpar"/>
              <w:numPr>
                <w:ilvl w:val="0"/>
                <w:numId w:val="19"/>
              </w:numPr>
              <w:spacing w:line="240" w:lineRule="auto"/>
              <w:ind w:left="235" w:hanging="218"/>
              <w:jc w:val="left"/>
              <w:rPr>
                <w:rFonts w:ascii="Calibri" w:hAnsi="Calibri" w:cs="Calibri"/>
                <w:sz w:val="20"/>
                <w:szCs w:val="20"/>
              </w:rPr>
            </w:pPr>
            <w:r w:rsidRPr="00D074CB">
              <w:rPr>
                <w:rFonts w:ascii="Calibri" w:hAnsi="Calibri" w:cs="Calibri"/>
                <w:sz w:val="20"/>
                <w:szCs w:val="20"/>
              </w:rPr>
              <w:t xml:space="preserve">A customer who has deferred payments during the program will be eligible to defer for an additional 3 months </w:t>
            </w:r>
            <w:r w:rsidR="00A345C2" w:rsidRPr="00D074CB">
              <w:rPr>
                <w:rFonts w:ascii="Calibri" w:hAnsi="Calibri" w:cs="Calibri"/>
                <w:sz w:val="20"/>
                <w:szCs w:val="20"/>
              </w:rPr>
              <w:t xml:space="preserve">subject to submitting a request, </w:t>
            </w:r>
            <w:r w:rsidRPr="00D074CB">
              <w:rPr>
                <w:rFonts w:ascii="Calibri" w:hAnsi="Calibri" w:cs="Calibri"/>
                <w:sz w:val="20"/>
                <w:szCs w:val="20"/>
              </w:rPr>
              <w:t>provided that the total deferral period will be no more than 9 months</w:t>
            </w:r>
            <w:r w:rsidR="00A345C2" w:rsidRPr="00D074CB">
              <w:rPr>
                <w:rFonts w:ascii="Calibri" w:hAnsi="Calibri" w:cs="Calibri"/>
                <w:sz w:val="20"/>
                <w:szCs w:val="20"/>
              </w:rPr>
              <w:t>.</w:t>
            </w:r>
            <w:r w:rsidR="00A345C2" w:rsidRPr="00D074CB">
              <w:rPr>
                <w:rStyle w:val="a6"/>
                <w:rFonts w:ascii="Calibri" w:hAnsi="Calibri" w:cs="Calibri"/>
              </w:rPr>
              <w:footnoteReference w:id="13"/>
            </w:r>
          </w:p>
          <w:p w14:paraId="48671599" w14:textId="28003FCF" w:rsidR="00A345C2" w:rsidRPr="00D074CB" w:rsidRDefault="00A345C2" w:rsidP="00E2231D">
            <w:pPr>
              <w:pStyle w:val="regpar"/>
              <w:numPr>
                <w:ilvl w:val="0"/>
                <w:numId w:val="19"/>
              </w:numPr>
              <w:spacing w:line="240" w:lineRule="auto"/>
              <w:ind w:left="235" w:hanging="218"/>
              <w:jc w:val="left"/>
              <w:rPr>
                <w:rFonts w:ascii="Calibri" w:hAnsi="Calibri" w:cs="Calibri"/>
                <w:sz w:val="20"/>
                <w:szCs w:val="20"/>
              </w:rPr>
            </w:pPr>
            <w:r w:rsidRPr="00D074CB">
              <w:rPr>
                <w:rFonts w:ascii="Calibri" w:hAnsi="Calibri" w:cs="Calibri"/>
                <w:sz w:val="20"/>
                <w:szCs w:val="20"/>
              </w:rPr>
              <w:t xml:space="preserve">A customer who has not yet </w:t>
            </w:r>
            <w:r w:rsidR="00293E25" w:rsidRPr="00D074CB">
              <w:rPr>
                <w:rFonts w:ascii="Calibri" w:hAnsi="Calibri" w:cs="Calibri"/>
                <w:sz w:val="20"/>
                <w:szCs w:val="20"/>
              </w:rPr>
              <w:t>exercised his eligibility to defer payments shall be eligible for a 3-month deferral subject to submitting a request.</w:t>
            </w:r>
          </w:p>
        </w:tc>
        <w:tc>
          <w:tcPr>
            <w:tcW w:w="1813" w:type="dxa"/>
            <w:vMerge w:val="restart"/>
          </w:tcPr>
          <w:p w14:paraId="3018F59F" w14:textId="4BC145FB" w:rsidR="00A345C2" w:rsidRPr="00D074CB" w:rsidRDefault="00293E25" w:rsidP="00A345C2">
            <w:pPr>
              <w:pStyle w:val="regpar"/>
              <w:spacing w:line="240" w:lineRule="auto"/>
              <w:ind w:firstLine="0"/>
              <w:jc w:val="left"/>
              <w:rPr>
                <w:rFonts w:ascii="Calibri" w:hAnsi="Calibri" w:cs="Calibri"/>
                <w:sz w:val="20"/>
                <w:szCs w:val="20"/>
              </w:rPr>
            </w:pPr>
            <w:r w:rsidRPr="00D074CB">
              <w:rPr>
                <w:rFonts w:ascii="Calibri" w:hAnsi="Calibri" w:cs="Calibri"/>
                <w:sz w:val="20"/>
                <w:szCs w:val="20"/>
              </w:rPr>
              <w:t>The contractual interest rate</w:t>
            </w:r>
            <w:r w:rsidRPr="00D074CB">
              <w:rPr>
                <w:rStyle w:val="a6"/>
                <w:rFonts w:ascii="Calibri" w:hAnsi="Calibri" w:cs="Calibri"/>
              </w:rPr>
              <w:footnoteReference w:id="14"/>
            </w:r>
          </w:p>
        </w:tc>
        <w:tc>
          <w:tcPr>
            <w:tcW w:w="1813" w:type="dxa"/>
            <w:vMerge w:val="restart"/>
          </w:tcPr>
          <w:p w14:paraId="4893B066" w14:textId="2BA3B296" w:rsidR="00A345C2" w:rsidRPr="00D074CB" w:rsidRDefault="00293E25" w:rsidP="00A345C2">
            <w:pPr>
              <w:pStyle w:val="regpar"/>
              <w:spacing w:line="240" w:lineRule="auto"/>
              <w:ind w:firstLine="0"/>
              <w:jc w:val="left"/>
              <w:rPr>
                <w:rFonts w:ascii="Calibri" w:hAnsi="Calibri" w:cs="Calibri"/>
                <w:sz w:val="20"/>
                <w:szCs w:val="20"/>
              </w:rPr>
            </w:pPr>
            <w:r w:rsidRPr="00D074CB">
              <w:rPr>
                <w:rFonts w:ascii="Calibri" w:hAnsi="Calibri" w:cs="Calibri"/>
                <w:sz w:val="20"/>
                <w:szCs w:val="20"/>
              </w:rPr>
              <w:t>Spreading payments out over the remaining loan period, or extending the loan period, at the customer’s choice.</w:t>
            </w:r>
            <w:r w:rsidRPr="00D074CB">
              <w:rPr>
                <w:rStyle w:val="a6"/>
                <w:rFonts w:ascii="Calibri" w:hAnsi="Calibri" w:cs="Calibri"/>
              </w:rPr>
              <w:footnoteReference w:id="15"/>
            </w:r>
          </w:p>
        </w:tc>
      </w:tr>
      <w:tr w:rsidR="00A345C2" w:rsidRPr="00D074CB" w14:paraId="616CFBEF" w14:textId="77777777" w:rsidTr="00591D74">
        <w:tc>
          <w:tcPr>
            <w:tcW w:w="1812" w:type="dxa"/>
            <w:vMerge/>
          </w:tcPr>
          <w:p w14:paraId="77304329" w14:textId="77777777" w:rsidR="00A345C2" w:rsidRPr="00D074CB" w:rsidRDefault="00A345C2" w:rsidP="00A345C2">
            <w:pPr>
              <w:pStyle w:val="regpar"/>
              <w:ind w:firstLine="0"/>
              <w:jc w:val="left"/>
              <w:rPr>
                <w:rFonts w:ascii="Calibri" w:hAnsi="Calibri" w:cs="Calibri"/>
                <w:sz w:val="20"/>
                <w:szCs w:val="20"/>
              </w:rPr>
            </w:pPr>
          </w:p>
        </w:tc>
        <w:tc>
          <w:tcPr>
            <w:tcW w:w="1812" w:type="dxa"/>
          </w:tcPr>
          <w:p w14:paraId="118D797A" w14:textId="485F719E" w:rsidR="00A345C2" w:rsidRPr="00D074CB" w:rsidRDefault="00A345C2" w:rsidP="00A345C2">
            <w:pPr>
              <w:pStyle w:val="regpar"/>
              <w:spacing w:line="240" w:lineRule="auto"/>
              <w:ind w:firstLine="0"/>
              <w:jc w:val="left"/>
              <w:rPr>
                <w:rFonts w:ascii="Calibri" w:hAnsi="Calibri" w:cs="Calibri"/>
                <w:sz w:val="20"/>
                <w:szCs w:val="20"/>
              </w:rPr>
            </w:pPr>
            <w:r w:rsidRPr="00D074CB">
              <w:rPr>
                <w:rFonts w:ascii="Calibri" w:hAnsi="Calibri" w:cs="Calibri"/>
                <w:b/>
                <w:bCs/>
                <w:sz w:val="20"/>
                <w:szCs w:val="20"/>
              </w:rPr>
              <w:t>Cumulative consumer credit up to NIS 100,000</w:t>
            </w:r>
          </w:p>
        </w:tc>
        <w:tc>
          <w:tcPr>
            <w:tcW w:w="1812" w:type="dxa"/>
            <w:vMerge/>
          </w:tcPr>
          <w:p w14:paraId="7B7A0147" w14:textId="77777777" w:rsidR="00A345C2" w:rsidRPr="00D074CB" w:rsidRDefault="00A345C2" w:rsidP="00A345C2">
            <w:pPr>
              <w:pStyle w:val="regpar"/>
              <w:spacing w:line="240" w:lineRule="auto"/>
              <w:ind w:firstLine="0"/>
              <w:jc w:val="left"/>
              <w:rPr>
                <w:rFonts w:ascii="Calibri" w:hAnsi="Calibri" w:cs="Calibri"/>
                <w:sz w:val="20"/>
                <w:szCs w:val="20"/>
              </w:rPr>
            </w:pPr>
          </w:p>
        </w:tc>
        <w:tc>
          <w:tcPr>
            <w:tcW w:w="1813" w:type="dxa"/>
            <w:vMerge/>
          </w:tcPr>
          <w:p w14:paraId="128FF755" w14:textId="77777777" w:rsidR="00A345C2" w:rsidRPr="00D074CB" w:rsidRDefault="00A345C2" w:rsidP="00A345C2">
            <w:pPr>
              <w:pStyle w:val="regpar"/>
              <w:spacing w:line="240" w:lineRule="auto"/>
              <w:ind w:firstLine="0"/>
              <w:jc w:val="left"/>
              <w:rPr>
                <w:rFonts w:ascii="Calibri" w:hAnsi="Calibri" w:cs="Calibri"/>
                <w:sz w:val="20"/>
                <w:szCs w:val="20"/>
              </w:rPr>
            </w:pPr>
          </w:p>
        </w:tc>
        <w:tc>
          <w:tcPr>
            <w:tcW w:w="1813" w:type="dxa"/>
            <w:vMerge/>
          </w:tcPr>
          <w:p w14:paraId="38103924" w14:textId="77777777" w:rsidR="00A345C2" w:rsidRPr="00D074CB" w:rsidRDefault="00A345C2" w:rsidP="00A345C2">
            <w:pPr>
              <w:pStyle w:val="regpar"/>
              <w:spacing w:line="240" w:lineRule="auto"/>
              <w:ind w:firstLine="0"/>
              <w:jc w:val="left"/>
              <w:rPr>
                <w:rFonts w:ascii="Calibri" w:hAnsi="Calibri" w:cs="Calibri"/>
                <w:sz w:val="20"/>
                <w:szCs w:val="20"/>
              </w:rPr>
            </w:pPr>
          </w:p>
        </w:tc>
      </w:tr>
      <w:tr w:rsidR="00A345C2" w:rsidRPr="00D074CB" w14:paraId="12AF849E" w14:textId="77777777" w:rsidTr="00591D74">
        <w:tc>
          <w:tcPr>
            <w:tcW w:w="1812" w:type="dxa"/>
            <w:vMerge/>
          </w:tcPr>
          <w:p w14:paraId="2D09E235" w14:textId="77777777" w:rsidR="00A345C2" w:rsidRPr="00D074CB" w:rsidRDefault="00A345C2" w:rsidP="00A345C2">
            <w:pPr>
              <w:pStyle w:val="regpar"/>
              <w:ind w:firstLine="0"/>
              <w:jc w:val="left"/>
              <w:rPr>
                <w:rFonts w:ascii="Calibri" w:hAnsi="Calibri" w:cs="Calibri"/>
                <w:sz w:val="20"/>
                <w:szCs w:val="20"/>
              </w:rPr>
            </w:pPr>
          </w:p>
        </w:tc>
        <w:tc>
          <w:tcPr>
            <w:tcW w:w="1812" w:type="dxa"/>
          </w:tcPr>
          <w:p w14:paraId="6F37D1AF" w14:textId="109684BB" w:rsidR="00A345C2" w:rsidRPr="00D074CB" w:rsidRDefault="00A345C2" w:rsidP="00A345C2">
            <w:pPr>
              <w:pStyle w:val="regpar"/>
              <w:spacing w:line="240" w:lineRule="auto"/>
              <w:ind w:firstLine="0"/>
              <w:jc w:val="left"/>
              <w:rPr>
                <w:rFonts w:ascii="Calibri" w:hAnsi="Calibri" w:cs="Calibri"/>
                <w:sz w:val="20"/>
                <w:szCs w:val="20"/>
              </w:rPr>
            </w:pPr>
            <w:r w:rsidRPr="00D074CB">
              <w:rPr>
                <w:rFonts w:ascii="Calibri" w:hAnsi="Calibri" w:cs="Calibri"/>
                <w:b/>
                <w:bCs/>
                <w:sz w:val="20"/>
                <w:szCs w:val="20"/>
              </w:rPr>
              <w:t>Business credit up to NIS 2 million</w:t>
            </w:r>
          </w:p>
        </w:tc>
        <w:tc>
          <w:tcPr>
            <w:tcW w:w="1812" w:type="dxa"/>
            <w:vMerge/>
          </w:tcPr>
          <w:p w14:paraId="4B741CE3" w14:textId="77777777" w:rsidR="00A345C2" w:rsidRPr="00D074CB" w:rsidRDefault="00A345C2" w:rsidP="00A345C2">
            <w:pPr>
              <w:pStyle w:val="regpar"/>
              <w:spacing w:line="240" w:lineRule="auto"/>
              <w:ind w:firstLine="0"/>
              <w:jc w:val="left"/>
              <w:rPr>
                <w:rFonts w:ascii="Calibri" w:hAnsi="Calibri" w:cs="Calibri"/>
                <w:sz w:val="20"/>
                <w:szCs w:val="20"/>
              </w:rPr>
            </w:pPr>
          </w:p>
        </w:tc>
        <w:tc>
          <w:tcPr>
            <w:tcW w:w="1813" w:type="dxa"/>
            <w:vMerge/>
          </w:tcPr>
          <w:p w14:paraId="4085031C" w14:textId="77777777" w:rsidR="00A345C2" w:rsidRPr="00D074CB" w:rsidRDefault="00A345C2" w:rsidP="00A345C2">
            <w:pPr>
              <w:pStyle w:val="regpar"/>
              <w:spacing w:line="240" w:lineRule="auto"/>
              <w:ind w:firstLine="0"/>
              <w:jc w:val="left"/>
              <w:rPr>
                <w:rFonts w:ascii="Calibri" w:hAnsi="Calibri" w:cs="Calibri"/>
                <w:sz w:val="20"/>
                <w:szCs w:val="20"/>
              </w:rPr>
            </w:pPr>
          </w:p>
        </w:tc>
        <w:tc>
          <w:tcPr>
            <w:tcW w:w="1813" w:type="dxa"/>
            <w:vMerge/>
          </w:tcPr>
          <w:p w14:paraId="49D5306C" w14:textId="77777777" w:rsidR="00A345C2" w:rsidRPr="00D074CB" w:rsidRDefault="00A345C2" w:rsidP="00A345C2">
            <w:pPr>
              <w:pStyle w:val="regpar"/>
              <w:spacing w:line="240" w:lineRule="auto"/>
              <w:ind w:firstLine="0"/>
              <w:jc w:val="left"/>
              <w:rPr>
                <w:rFonts w:ascii="Calibri" w:hAnsi="Calibri" w:cs="Calibri"/>
                <w:sz w:val="20"/>
                <w:szCs w:val="20"/>
              </w:rPr>
            </w:pPr>
          </w:p>
        </w:tc>
      </w:tr>
      <w:tr w:rsidR="00293E25" w:rsidRPr="00D074CB" w14:paraId="2A01F2E8" w14:textId="77777777" w:rsidTr="005415AA">
        <w:tc>
          <w:tcPr>
            <w:tcW w:w="1812" w:type="dxa"/>
            <w:vMerge/>
          </w:tcPr>
          <w:p w14:paraId="727F4BA8" w14:textId="77777777" w:rsidR="00293E25" w:rsidRPr="00D074CB" w:rsidRDefault="00293E25" w:rsidP="00A345C2">
            <w:pPr>
              <w:pStyle w:val="regpar"/>
              <w:ind w:firstLine="0"/>
              <w:jc w:val="left"/>
              <w:rPr>
                <w:rFonts w:ascii="Calibri" w:hAnsi="Calibri" w:cs="Calibri"/>
                <w:sz w:val="20"/>
                <w:szCs w:val="20"/>
              </w:rPr>
            </w:pPr>
          </w:p>
        </w:tc>
        <w:tc>
          <w:tcPr>
            <w:tcW w:w="1812" w:type="dxa"/>
          </w:tcPr>
          <w:p w14:paraId="188656F5" w14:textId="796EB499" w:rsidR="00293E25" w:rsidRPr="00D074CB" w:rsidRDefault="00293E25" w:rsidP="00A345C2">
            <w:pPr>
              <w:pStyle w:val="regpar"/>
              <w:spacing w:line="240" w:lineRule="auto"/>
              <w:ind w:firstLine="0"/>
              <w:jc w:val="left"/>
              <w:rPr>
                <w:rFonts w:ascii="Calibri" w:hAnsi="Calibri" w:cs="Calibri"/>
                <w:sz w:val="20"/>
                <w:szCs w:val="20"/>
              </w:rPr>
            </w:pPr>
            <w:r w:rsidRPr="00D074CB">
              <w:rPr>
                <w:rFonts w:ascii="Calibri" w:hAnsi="Calibri" w:cs="Calibri"/>
                <w:b/>
                <w:bCs/>
                <w:sz w:val="20"/>
                <w:szCs w:val="20"/>
              </w:rPr>
              <w:t>Fees</w:t>
            </w:r>
          </w:p>
        </w:tc>
        <w:tc>
          <w:tcPr>
            <w:tcW w:w="5438" w:type="dxa"/>
            <w:gridSpan w:val="3"/>
          </w:tcPr>
          <w:p w14:paraId="206DA93B" w14:textId="2FB214F0" w:rsidR="00293E25" w:rsidRPr="00D074CB" w:rsidRDefault="00293E25" w:rsidP="00A345C2">
            <w:pPr>
              <w:pStyle w:val="regpar"/>
              <w:spacing w:line="240" w:lineRule="auto"/>
              <w:ind w:firstLine="0"/>
              <w:jc w:val="left"/>
              <w:rPr>
                <w:rFonts w:ascii="Calibri" w:hAnsi="Calibri" w:cs="Calibri"/>
                <w:sz w:val="20"/>
                <w:szCs w:val="20"/>
              </w:rPr>
            </w:pPr>
            <w:r w:rsidRPr="00D074CB">
              <w:rPr>
                <w:rFonts w:ascii="Calibri" w:hAnsi="Calibri" w:cs="Calibri"/>
                <w:sz w:val="20"/>
                <w:szCs w:val="20"/>
              </w:rPr>
              <w:t>Payments will be deferred without fees being charged.</w:t>
            </w:r>
          </w:p>
        </w:tc>
      </w:tr>
    </w:tbl>
    <w:p w14:paraId="53554089" w14:textId="5DD9F7A7" w:rsidR="00591D74" w:rsidRPr="00D074CB" w:rsidRDefault="00591D74" w:rsidP="00591D74">
      <w:pPr>
        <w:pStyle w:val="regpar"/>
        <w:ind w:firstLine="0"/>
        <w:jc w:val="left"/>
        <w:rPr>
          <w:rFonts w:ascii="Calibri" w:hAnsi="Calibri" w:cs="Calibri"/>
        </w:rPr>
      </w:pPr>
    </w:p>
    <w:p w14:paraId="0DFEB1EA" w14:textId="4C14EEB8" w:rsidR="00293E25" w:rsidRPr="00D074CB" w:rsidRDefault="00293E25" w:rsidP="00591D74">
      <w:pPr>
        <w:pStyle w:val="regpar"/>
        <w:ind w:firstLine="0"/>
        <w:jc w:val="left"/>
        <w:rPr>
          <w:rFonts w:ascii="Calibri" w:hAnsi="Calibri" w:cs="Calibri"/>
        </w:rPr>
      </w:pPr>
      <w:r w:rsidRPr="00D074CB">
        <w:rPr>
          <w:rFonts w:ascii="Calibri" w:hAnsi="Calibri" w:cs="Calibri"/>
          <w:u w:val="single"/>
        </w:rPr>
        <w:t>Clarifications:</w:t>
      </w:r>
    </w:p>
    <w:p w14:paraId="5A16DABD" w14:textId="7E92D325" w:rsidR="00293E25" w:rsidRPr="00D074CB" w:rsidRDefault="00293E25" w:rsidP="00E2231D">
      <w:pPr>
        <w:pStyle w:val="regpar"/>
        <w:numPr>
          <w:ilvl w:val="0"/>
          <w:numId w:val="19"/>
        </w:numPr>
        <w:spacing w:line="240" w:lineRule="auto"/>
        <w:jc w:val="left"/>
        <w:rPr>
          <w:rFonts w:ascii="Calibri" w:hAnsi="Calibri" w:cs="Calibri"/>
        </w:rPr>
      </w:pPr>
      <w:r w:rsidRPr="00D074CB">
        <w:rPr>
          <w:rFonts w:ascii="Calibri" w:hAnsi="Calibri" w:cs="Calibri"/>
        </w:rPr>
        <w:t xml:space="preserve">The program’s extension takes effect on </w:t>
      </w:r>
      <w:r w:rsidR="00E2231D" w:rsidRPr="00D074CB">
        <w:rPr>
          <w:rFonts w:ascii="Calibri" w:hAnsi="Calibri" w:cs="Calibri"/>
        </w:rPr>
        <w:t>October</w:t>
      </w:r>
      <w:r w:rsidRPr="00D074CB">
        <w:rPr>
          <w:rFonts w:ascii="Calibri" w:hAnsi="Calibri" w:cs="Calibri"/>
        </w:rPr>
        <w:t xml:space="preserve"> 1, 2024 in order to allow each bank to prepare, and will last for the period allocated in the program.</w:t>
      </w:r>
    </w:p>
    <w:p w14:paraId="05CEFFCE" w14:textId="49EC2CE7" w:rsidR="00293E25" w:rsidRPr="00D074CB" w:rsidRDefault="00293E25" w:rsidP="00293E25">
      <w:pPr>
        <w:pStyle w:val="regpar"/>
        <w:numPr>
          <w:ilvl w:val="0"/>
          <w:numId w:val="19"/>
        </w:numPr>
        <w:spacing w:line="240" w:lineRule="auto"/>
        <w:contextualSpacing/>
        <w:jc w:val="left"/>
        <w:rPr>
          <w:rFonts w:ascii="Calibri" w:hAnsi="Calibri" w:cs="Calibri"/>
        </w:rPr>
      </w:pPr>
      <w:r w:rsidRPr="00D074CB">
        <w:rPr>
          <w:rFonts w:ascii="Calibri" w:hAnsi="Calibri" w:cs="Calibri"/>
        </w:rPr>
        <w:t>Payment deferrals require the customer to contact the bank and submit a request in the manner set forth by the bank.</w:t>
      </w:r>
    </w:p>
    <w:p w14:paraId="04836599" w14:textId="4A0A8A47" w:rsidR="00293E25" w:rsidRPr="00D074CB" w:rsidRDefault="00293E25" w:rsidP="00293E25">
      <w:pPr>
        <w:pStyle w:val="regpar"/>
        <w:numPr>
          <w:ilvl w:val="0"/>
          <w:numId w:val="19"/>
        </w:numPr>
        <w:spacing w:line="240" w:lineRule="auto"/>
        <w:contextualSpacing/>
        <w:jc w:val="left"/>
        <w:rPr>
          <w:rFonts w:ascii="Calibri" w:hAnsi="Calibri" w:cs="Calibri"/>
        </w:rPr>
      </w:pPr>
      <w:r w:rsidRPr="00D074CB">
        <w:rPr>
          <w:rFonts w:ascii="Calibri" w:hAnsi="Calibri" w:cs="Calibri"/>
        </w:rPr>
        <w:lastRenderedPageBreak/>
        <w:t>This program does not apply to a borrower involved in legal proceedings.  Borrowers who were in arrears at the time of publication of this outline will be allowed to delay payments for a period not exceeding 180 days from the date the arrears began.</w:t>
      </w:r>
    </w:p>
    <w:p w14:paraId="1167A554" w14:textId="449327DB" w:rsidR="009A6F35" w:rsidRPr="00D074CB" w:rsidRDefault="009A6F35" w:rsidP="00E2231D">
      <w:pPr>
        <w:pStyle w:val="regpar"/>
        <w:numPr>
          <w:ilvl w:val="0"/>
          <w:numId w:val="19"/>
        </w:numPr>
        <w:spacing w:line="240" w:lineRule="auto"/>
        <w:contextualSpacing/>
        <w:jc w:val="left"/>
        <w:rPr>
          <w:rFonts w:ascii="Calibri" w:hAnsi="Calibri" w:cs="Calibri"/>
        </w:rPr>
      </w:pPr>
      <w:r w:rsidRPr="00D074CB">
        <w:rPr>
          <w:rFonts w:ascii="Calibri" w:hAnsi="Calibri" w:cs="Calibri"/>
        </w:rPr>
        <w:t xml:space="preserve">Benefits for reserve soldiers based on this program (exemption from fees and absorption of interest on negative current account or business account balances) shall be provided at the bank’s initiative for a period of 3 months.  Accounts will be identified as belonging to a reserve soldier by the </w:t>
      </w:r>
      <w:r w:rsidR="00E2231D" w:rsidRPr="00D074CB">
        <w:rPr>
          <w:rFonts w:ascii="Calibri" w:hAnsi="Calibri" w:cs="Calibri"/>
        </w:rPr>
        <w:t>a receipt or credit due to reserve service being paid into the account during the program period—between October 1, 2024 and December 31,</w:t>
      </w:r>
      <w:r w:rsidRPr="00D074CB">
        <w:rPr>
          <w:rFonts w:ascii="Calibri" w:hAnsi="Calibri" w:cs="Calibri"/>
        </w:rPr>
        <w:t xml:space="preserve"> 2024.</w:t>
      </w:r>
      <w:r w:rsidR="00E2231D" w:rsidRPr="00D074CB">
        <w:rPr>
          <w:rFonts w:ascii="Calibri" w:hAnsi="Calibri" w:cs="Calibri"/>
        </w:rPr>
        <w:t xml:space="preserve">  If the customer service in the reserves during the period and did not receive a credit to his account, he must present documentation to the bank regarding his reserve service.</w:t>
      </w:r>
    </w:p>
    <w:p w14:paraId="482F1900" w14:textId="6A286B5F" w:rsidR="00293E25" w:rsidRPr="00D074CB" w:rsidRDefault="00293E25" w:rsidP="00293E25">
      <w:pPr>
        <w:pStyle w:val="regpar"/>
        <w:numPr>
          <w:ilvl w:val="0"/>
          <w:numId w:val="19"/>
        </w:numPr>
        <w:spacing w:line="240" w:lineRule="auto"/>
        <w:contextualSpacing/>
        <w:jc w:val="left"/>
        <w:rPr>
          <w:rFonts w:ascii="Calibri" w:hAnsi="Calibri" w:cs="Calibri"/>
        </w:rPr>
      </w:pPr>
      <w:r w:rsidRPr="00D074CB">
        <w:rPr>
          <w:rFonts w:ascii="Calibri" w:hAnsi="Calibri" w:cs="Calibri"/>
        </w:rPr>
        <w:t>Insofar as it is possible to make a customer-initiated enquiry to the bank unnecessary in implementing the outline, including in the area of fees, this should be prioritized.</w:t>
      </w:r>
    </w:p>
    <w:p w14:paraId="4F4CD381" w14:textId="329EB4B7" w:rsidR="00293E25" w:rsidRPr="00D074CB" w:rsidRDefault="00293E25" w:rsidP="00293E25">
      <w:pPr>
        <w:pStyle w:val="regpar"/>
        <w:numPr>
          <w:ilvl w:val="0"/>
          <w:numId w:val="19"/>
        </w:numPr>
        <w:spacing w:line="240" w:lineRule="auto"/>
        <w:contextualSpacing/>
        <w:jc w:val="left"/>
        <w:rPr>
          <w:rFonts w:ascii="Calibri" w:hAnsi="Calibri" w:cs="Calibri"/>
        </w:rPr>
      </w:pPr>
      <w:r w:rsidRPr="00D074CB">
        <w:rPr>
          <w:rFonts w:ascii="Calibri" w:hAnsi="Calibri" w:cs="Calibri"/>
        </w:rPr>
        <w:t xml:space="preserve">This outline presents the minimum conditions, and each bank is permitted to expand upon it to benefit its customers and at their request. </w:t>
      </w:r>
    </w:p>
    <w:sectPr w:rsidR="00293E25" w:rsidRPr="00D074CB" w:rsidSect="004F5A85">
      <w:headerReference w:type="default" r:id="rId18"/>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0366B" w14:textId="77777777" w:rsidR="0081080F" w:rsidRDefault="0081080F">
      <w:pPr>
        <w:spacing w:line="240" w:lineRule="auto"/>
      </w:pPr>
      <w:r>
        <w:separator/>
      </w:r>
    </w:p>
  </w:endnote>
  <w:endnote w:type="continuationSeparator" w:id="0">
    <w:p w14:paraId="433827FF" w14:textId="77777777" w:rsidR="0081080F" w:rsidRDefault="008108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E3D4F" w14:textId="77777777" w:rsidR="0081080F" w:rsidRDefault="0081080F">
      <w:pPr>
        <w:spacing w:line="160" w:lineRule="exact"/>
      </w:pPr>
    </w:p>
  </w:footnote>
  <w:footnote w:type="continuationSeparator" w:id="0">
    <w:p w14:paraId="1929454A" w14:textId="77777777" w:rsidR="0081080F" w:rsidRDefault="0081080F">
      <w:pPr>
        <w:pStyle w:val="rule"/>
      </w:pPr>
      <w:r>
        <w:t>–––––––––––––––––––––––––––</w:t>
      </w:r>
    </w:p>
    <w:p w14:paraId="5F53DF41" w14:textId="77777777" w:rsidR="0081080F" w:rsidRDefault="0081080F">
      <w:pPr>
        <w:pStyle w:val="noteseparator"/>
      </w:pPr>
    </w:p>
  </w:footnote>
  <w:footnote w:id="1">
    <w:p w14:paraId="42D7A4F6" w14:textId="703DD8F8" w:rsidR="008D56FA" w:rsidRDefault="008D56FA" w:rsidP="002C7777">
      <w:pPr>
        <w:pStyle w:val="a7"/>
      </w:pPr>
      <w:r>
        <w:rPr>
          <w:rStyle w:val="a6"/>
        </w:rPr>
        <w:footnoteRef/>
      </w:r>
      <w:r>
        <w:t xml:space="preserve"> </w:t>
      </w:r>
      <w:r w:rsidR="00655C51">
        <w:t xml:space="preserve">People who live or own a business that is located within up to 30 km from the Gaza Strip; people evacuated from their homes by an official state agency as of November 7, 2023 and who live in one of the localities that appear on the lists published on the Bank of Israel website; people serving in the IDF reserves and those mobilized under emergency orders; reserve soldiers who were hospitalized for at least 7 days due to injury caused by the war; accounts of people who are kidnapped or missing; people who are first-degree relatives (spouse, parent, sibling, child) or someone killed in the war or kidnapped or missing; victims from the Nova festival in </w:t>
      </w:r>
      <w:proofErr w:type="spellStart"/>
      <w:r w:rsidR="00655C51">
        <w:t>Re’im</w:t>
      </w:r>
      <w:proofErr w:type="spellEnd"/>
      <w:r w:rsidR="00655C51">
        <w:t xml:space="preserve">; victims of the </w:t>
      </w:r>
      <w:proofErr w:type="spellStart"/>
      <w:r w:rsidR="00655C51">
        <w:t>Psy</w:t>
      </w:r>
      <w:r w:rsidR="002C7777">
        <w:t>d</w:t>
      </w:r>
      <w:r w:rsidR="00655C51">
        <w:t>uck</w:t>
      </w:r>
      <w:proofErr w:type="spellEnd"/>
      <w:r w:rsidR="00655C51">
        <w:t xml:space="preserve"> festival; and victims of the preparatory meeting for the </w:t>
      </w:r>
      <w:proofErr w:type="spellStart"/>
      <w:r w:rsidR="00655C51">
        <w:t>Midburn</w:t>
      </w:r>
      <w:proofErr w:type="spellEnd"/>
      <w:r w:rsidR="00655C51">
        <w:t xml:space="preserve"> festival.</w:t>
      </w:r>
    </w:p>
  </w:footnote>
  <w:footnote w:id="2">
    <w:p w14:paraId="5EB0B597" w14:textId="678B9217" w:rsidR="008D56FA" w:rsidRDefault="008D56FA">
      <w:pPr>
        <w:pStyle w:val="a7"/>
      </w:pPr>
      <w:r>
        <w:rPr>
          <w:rStyle w:val="a6"/>
        </w:rPr>
        <w:footnoteRef/>
      </w:r>
      <w:r>
        <w:t xml:space="preserve"> </w:t>
      </w:r>
      <w:r w:rsidR="00655C51">
        <w:t>Mortgages to an unlimited amount; consumer credit – cumulative up to NIS 100,000; business credit up to NIS 2 million.</w:t>
      </w:r>
    </w:p>
  </w:footnote>
  <w:footnote w:id="3">
    <w:p w14:paraId="3545DC69" w14:textId="5987E3DD" w:rsidR="000306A4" w:rsidRDefault="000306A4" w:rsidP="00A345C2">
      <w:pPr>
        <w:pStyle w:val="a7"/>
      </w:pPr>
      <w:r>
        <w:rPr>
          <w:rStyle w:val="a6"/>
        </w:rPr>
        <w:footnoteRef/>
      </w:r>
      <w:r>
        <w:t xml:space="preserve"> </w:t>
      </w:r>
      <w:r w:rsidR="00A345C2">
        <w:t>In relation</w:t>
      </w:r>
      <w:r>
        <w:t xml:space="preserve"> to a first home or </w:t>
      </w:r>
      <w:r w:rsidR="00A345C2">
        <w:t>those upgrading their housing</w:t>
      </w:r>
      <w:r>
        <w:t xml:space="preserve"> only.</w:t>
      </w:r>
    </w:p>
  </w:footnote>
  <w:footnote w:id="4">
    <w:p w14:paraId="61FFAC58" w14:textId="4968B876" w:rsidR="000306A4" w:rsidRDefault="000306A4">
      <w:pPr>
        <w:pStyle w:val="a7"/>
      </w:pPr>
      <w:r>
        <w:rPr>
          <w:rStyle w:val="a6"/>
        </w:rPr>
        <w:footnoteRef/>
      </w:r>
      <w:r>
        <w:t xml:space="preserve"> To be clear, the program is in addition to what is set out in Section 9(h</w:t>
      </w:r>
      <w:proofErr w:type="gramStart"/>
      <w:r>
        <w:t>)2</w:t>
      </w:r>
      <w:proofErr w:type="gramEnd"/>
      <w:r>
        <w:t xml:space="preserve"> of the Banking (Service to the Customer) Law, 5741–1981, and does not replace it.</w:t>
      </w:r>
    </w:p>
  </w:footnote>
  <w:footnote w:id="5">
    <w:p w14:paraId="3E906979" w14:textId="52B0A54A" w:rsidR="002C7777" w:rsidRDefault="002C7777" w:rsidP="002739F7">
      <w:pPr>
        <w:pStyle w:val="a7"/>
        <w:rPr>
          <w:rtl/>
        </w:rPr>
      </w:pPr>
      <w:r>
        <w:rPr>
          <w:rStyle w:val="a6"/>
        </w:rPr>
        <w:footnoteRef/>
      </w:r>
      <w:r>
        <w:t xml:space="preserve"> </w:t>
      </w:r>
      <w:r w:rsidR="002739F7">
        <w:t xml:space="preserve">In some cases, the type of deferral may be </w:t>
      </w:r>
      <w:r>
        <w:t>subject to</w:t>
      </w:r>
      <w:r w:rsidR="002739F7">
        <w:t xml:space="preserve"> the bank’s</w:t>
      </w:r>
      <w:r>
        <w:t xml:space="preserve"> technological solutions.</w:t>
      </w:r>
    </w:p>
  </w:footnote>
  <w:footnote w:id="6">
    <w:p w14:paraId="42F4398C" w14:textId="49EC3842" w:rsidR="002C7777" w:rsidRDefault="002C7777">
      <w:pPr>
        <w:pStyle w:val="a7"/>
      </w:pPr>
      <w:r>
        <w:rPr>
          <w:rStyle w:val="a6"/>
        </w:rPr>
        <w:footnoteRef/>
      </w:r>
      <w:r>
        <w:t xml:space="preserve"> </w:t>
      </w:r>
      <w:r w:rsidR="00E2231D">
        <w:rPr>
          <w:rFonts w:hint="cs"/>
        </w:rPr>
        <w:t>P</w:t>
      </w:r>
      <w:r w:rsidR="00E2231D">
        <w:t>eople who live or own a business in one of the northern localities that were evacuated by an official agency as of November 7, 2023, and people who live in one of the northern localities that the government has decided to evacuate but has not yet done so, in accordance with the list that appears on the Bank of Israel website.</w:t>
      </w:r>
    </w:p>
  </w:footnote>
  <w:footnote w:id="7">
    <w:p w14:paraId="0A5FE605" w14:textId="6B9E263D" w:rsidR="002C7777" w:rsidRDefault="002C7777">
      <w:pPr>
        <w:pStyle w:val="a7"/>
      </w:pPr>
      <w:r>
        <w:rPr>
          <w:rStyle w:val="a6"/>
        </w:rPr>
        <w:footnoteRef/>
      </w:r>
      <w:r>
        <w:t xml:space="preserve"> </w:t>
      </w:r>
      <w:r w:rsidR="00E2231D">
        <w:t>Reserve soldiers in active reserve duty during the revised program period—October 1, 2024–December 31, 2024.</w:t>
      </w:r>
    </w:p>
  </w:footnote>
  <w:footnote w:id="8">
    <w:p w14:paraId="1518C65C" w14:textId="593FF396" w:rsidR="000306A4" w:rsidRDefault="000306A4">
      <w:pPr>
        <w:pStyle w:val="a7"/>
      </w:pPr>
      <w:r>
        <w:rPr>
          <w:rStyle w:val="a6"/>
        </w:rPr>
        <w:footnoteRef/>
      </w:r>
      <w:r>
        <w:t xml:space="preserve"> Business credit of a business with turnover of up to NIS 25 million, excluding loans in commercial cooperation with a third party.  Regarding business credit with a remaining term to repayment of more than 3 years, payments can be spread out in the manner set out with regard to mortgages.</w:t>
      </w:r>
    </w:p>
  </w:footnote>
  <w:footnote w:id="9">
    <w:p w14:paraId="6F01B365" w14:textId="1E262FB5" w:rsidR="00A345C2" w:rsidRDefault="00A345C2">
      <w:pPr>
        <w:pStyle w:val="a7"/>
      </w:pPr>
      <w:r>
        <w:rPr>
          <w:rStyle w:val="a6"/>
        </w:rPr>
        <w:footnoteRef/>
      </w:r>
      <w:r>
        <w:t xml:space="preserve"> Negative balance that is part of the facility approved by the bank.</w:t>
      </w:r>
    </w:p>
  </w:footnote>
  <w:footnote w:id="10">
    <w:p w14:paraId="25C58F95" w14:textId="77777777" w:rsidR="00A345C2" w:rsidRDefault="00A345C2" w:rsidP="00A345C2">
      <w:pPr>
        <w:pStyle w:val="a7"/>
      </w:pPr>
      <w:r>
        <w:rPr>
          <w:rStyle w:val="a6"/>
        </w:rPr>
        <w:footnoteRef/>
      </w:r>
      <w:r>
        <w:t xml:space="preserve"> Negative balance that is part of the facility approved by the bank.</w:t>
      </w:r>
    </w:p>
  </w:footnote>
  <w:footnote w:id="11">
    <w:p w14:paraId="136BDD9C" w14:textId="77777777" w:rsidR="00A345C2" w:rsidRDefault="00A345C2" w:rsidP="00A345C2">
      <w:pPr>
        <w:pStyle w:val="a7"/>
      </w:pPr>
      <w:r>
        <w:rPr>
          <w:rStyle w:val="a6"/>
        </w:rPr>
        <w:footnoteRef/>
      </w:r>
      <w:r>
        <w:t xml:space="preserve"> The fees that appear in the following sections, with regard to the banks, in the Banking (Service to the Customer)(Fees) Rules, 5768-2008:</w:t>
      </w:r>
    </w:p>
    <w:p w14:paraId="2C2177C0" w14:textId="77777777" w:rsidR="00A345C2" w:rsidRDefault="00A345C2" w:rsidP="00A345C2">
      <w:pPr>
        <w:pStyle w:val="a7"/>
      </w:pPr>
      <w:r>
        <w:t>Section 1 – Current Account (in its entirety)</w:t>
      </w:r>
    </w:p>
    <w:p w14:paraId="1AFBBE92" w14:textId="77777777" w:rsidR="00A345C2" w:rsidRDefault="00A345C2" w:rsidP="00A345C2">
      <w:pPr>
        <w:pStyle w:val="a7"/>
      </w:pPr>
      <w:r>
        <w:t>Section 2 – Information, notices, and warnings (in its entirety)</w:t>
      </w:r>
    </w:p>
    <w:p w14:paraId="46CA94E5" w14:textId="77777777" w:rsidR="00A345C2" w:rsidRDefault="00A345C2" w:rsidP="00A345C2">
      <w:pPr>
        <w:pStyle w:val="a7"/>
      </w:pPr>
      <w:r>
        <w:t>Section 3 – Credit (in its entirety)</w:t>
      </w:r>
    </w:p>
    <w:p w14:paraId="64BEF553" w14:textId="77777777" w:rsidR="00A345C2" w:rsidRDefault="00A345C2" w:rsidP="00A345C2">
      <w:pPr>
        <w:pStyle w:val="a7"/>
      </w:pPr>
      <w:r>
        <w:t>Section 6 – Credit cards (in its entirety, excluding fees – (7) foreign exchange transactions, (8) foreign exchange withdrawals abroad, (9) foreign exchange purchases from abroad)</w:t>
      </w:r>
    </w:p>
    <w:p w14:paraId="11BB90A2" w14:textId="0CD64CB8" w:rsidR="00A345C2" w:rsidRDefault="00A345C2" w:rsidP="00A345C2">
      <w:pPr>
        <w:pStyle w:val="a7"/>
      </w:pPr>
      <w:r>
        <w:t>Section 9 – Fees for handling estates and wills, fees for withdrawing cash (from a remote ATM and by a prepaid card).</w:t>
      </w:r>
    </w:p>
  </w:footnote>
  <w:footnote w:id="12">
    <w:p w14:paraId="21EAD0F8" w14:textId="77777777" w:rsidR="00A345C2" w:rsidRDefault="00A345C2" w:rsidP="009A2A0F">
      <w:pPr>
        <w:pStyle w:val="a7"/>
      </w:pPr>
      <w:r>
        <w:rPr>
          <w:rStyle w:val="a6"/>
        </w:rPr>
        <w:footnoteRef/>
      </w:r>
      <w:r>
        <w:t xml:space="preserve"> In relation to a first home and those upgrading their housing only.</w:t>
      </w:r>
    </w:p>
  </w:footnote>
  <w:footnote w:id="13">
    <w:p w14:paraId="2F44C95C" w14:textId="7B8DF810" w:rsidR="00A345C2" w:rsidRDefault="00A345C2" w:rsidP="00A345C2">
      <w:pPr>
        <w:pStyle w:val="a7"/>
      </w:pPr>
      <w:r>
        <w:rPr>
          <w:rStyle w:val="a6"/>
        </w:rPr>
        <w:footnoteRef/>
      </w:r>
      <w:r>
        <w:t xml:space="preserve"> To be clear, the program is in addition to what is set out in Section 9(h</w:t>
      </w:r>
      <w:proofErr w:type="gramStart"/>
      <w:r>
        <w:t>)2</w:t>
      </w:r>
      <w:proofErr w:type="gramEnd"/>
      <w:r>
        <w:t xml:space="preserve"> of the Banking (Service to the Customer) Law, 5741–1981, and does not replace it.</w:t>
      </w:r>
    </w:p>
  </w:footnote>
  <w:footnote w:id="14">
    <w:p w14:paraId="50A693A3" w14:textId="4B95CA33" w:rsidR="00293E25" w:rsidRDefault="00293E25">
      <w:pPr>
        <w:pStyle w:val="a7"/>
      </w:pPr>
      <w:r>
        <w:rPr>
          <w:rStyle w:val="a6"/>
        </w:rPr>
        <w:footnoteRef/>
      </w:r>
      <w:r>
        <w:t xml:space="preserve"> Deferral of payments is subject to interest for the deferral period.  Therefore, before making a decision to defer payments, it is important to examine the implications of the deferral, including the economic price of the deferral (in terms of interest, monthly payment amount after the deferral, and so forth), in order to make an informed decision.</w:t>
      </w:r>
    </w:p>
  </w:footnote>
  <w:footnote w:id="15">
    <w:p w14:paraId="4206E947" w14:textId="5B18C76E" w:rsidR="00293E25" w:rsidRDefault="00293E25">
      <w:pPr>
        <w:pStyle w:val="a7"/>
      </w:pPr>
      <w:r>
        <w:rPr>
          <w:rStyle w:val="a6"/>
        </w:rPr>
        <w:footnoteRef/>
      </w:r>
      <w:r>
        <w:t xml:space="preserve"> The manner of spreading out the loan is subject to technical limitations derived from the bank’s computer system and subject to supervisory restrictions.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A5595"/>
    <w:multiLevelType w:val="hybridMultilevel"/>
    <w:tmpl w:val="E48A1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15:restartNumberingAfterBreak="0">
    <w:nsid w:val="2D0F5322"/>
    <w:multiLevelType w:val="hybridMultilevel"/>
    <w:tmpl w:val="1990F5AE"/>
    <w:lvl w:ilvl="0" w:tplc="2F02D0EA">
      <w:start w:val="1"/>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0"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7611A5"/>
    <w:multiLevelType w:val="hybridMultilevel"/>
    <w:tmpl w:val="40CC648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F1019E"/>
    <w:multiLevelType w:val="hybridMultilevel"/>
    <w:tmpl w:val="3D94D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6" w15:restartNumberingAfterBreak="0">
    <w:nsid w:val="66867286"/>
    <w:multiLevelType w:val="hybridMultilevel"/>
    <w:tmpl w:val="65862AFC"/>
    <w:lvl w:ilvl="0" w:tplc="06F6710C">
      <w:start w:val="1"/>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3149D6"/>
    <w:multiLevelType w:val="hybridMultilevel"/>
    <w:tmpl w:val="CB74D00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5"/>
  </w:num>
  <w:num w:numId="4">
    <w:abstractNumId w:val="18"/>
  </w:num>
  <w:num w:numId="5">
    <w:abstractNumId w:val="1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5"/>
  </w:num>
  <w:num w:numId="10">
    <w:abstractNumId w:val="20"/>
  </w:num>
  <w:num w:numId="11">
    <w:abstractNumId w:val="14"/>
  </w:num>
  <w:num w:numId="12">
    <w:abstractNumId w:val="10"/>
  </w:num>
  <w:num w:numId="13">
    <w:abstractNumId w:val="4"/>
  </w:num>
  <w:num w:numId="14">
    <w:abstractNumId w:val="2"/>
  </w:num>
  <w:num w:numId="15">
    <w:abstractNumId w:val="13"/>
  </w:num>
  <w:num w:numId="16">
    <w:abstractNumId w:val="1"/>
  </w:num>
  <w:num w:numId="17">
    <w:abstractNumId w:val="17"/>
  </w:num>
  <w:num w:numId="18">
    <w:abstractNumId w:val="12"/>
  </w:num>
  <w:num w:numId="19">
    <w:abstractNumId w:val="16"/>
  </w:num>
  <w:num w:numId="20">
    <w:abstractNumId w:val="6"/>
  </w:num>
  <w:num w:numId="21">
    <w:abstractNumId w:val="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306A4"/>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2451"/>
    <w:rsid w:val="000B5143"/>
    <w:rsid w:val="000C1242"/>
    <w:rsid w:val="000C46E3"/>
    <w:rsid w:val="000D3201"/>
    <w:rsid w:val="000D3F79"/>
    <w:rsid w:val="000E08B9"/>
    <w:rsid w:val="000E2EB0"/>
    <w:rsid w:val="000F4D42"/>
    <w:rsid w:val="00104F58"/>
    <w:rsid w:val="0010545F"/>
    <w:rsid w:val="001116D7"/>
    <w:rsid w:val="00114F59"/>
    <w:rsid w:val="001172A8"/>
    <w:rsid w:val="00121BED"/>
    <w:rsid w:val="001239DD"/>
    <w:rsid w:val="00124970"/>
    <w:rsid w:val="00124AB5"/>
    <w:rsid w:val="00124ED8"/>
    <w:rsid w:val="00126370"/>
    <w:rsid w:val="00127549"/>
    <w:rsid w:val="00130460"/>
    <w:rsid w:val="00143F0D"/>
    <w:rsid w:val="0014603A"/>
    <w:rsid w:val="001550A7"/>
    <w:rsid w:val="00160123"/>
    <w:rsid w:val="00161743"/>
    <w:rsid w:val="00162F9E"/>
    <w:rsid w:val="0016621D"/>
    <w:rsid w:val="00166ECD"/>
    <w:rsid w:val="0018444C"/>
    <w:rsid w:val="00187D68"/>
    <w:rsid w:val="00190909"/>
    <w:rsid w:val="00194F7F"/>
    <w:rsid w:val="001A2237"/>
    <w:rsid w:val="001A6127"/>
    <w:rsid w:val="001B0294"/>
    <w:rsid w:val="001C1743"/>
    <w:rsid w:val="001C209A"/>
    <w:rsid w:val="001C502E"/>
    <w:rsid w:val="001C5614"/>
    <w:rsid w:val="001D0D75"/>
    <w:rsid w:val="001D57CD"/>
    <w:rsid w:val="001D5EBA"/>
    <w:rsid w:val="001E2931"/>
    <w:rsid w:val="001E6D0C"/>
    <w:rsid w:val="001F21EC"/>
    <w:rsid w:val="001F28E6"/>
    <w:rsid w:val="001F51F4"/>
    <w:rsid w:val="00203B3D"/>
    <w:rsid w:val="00210F11"/>
    <w:rsid w:val="00212EBE"/>
    <w:rsid w:val="00236391"/>
    <w:rsid w:val="00243044"/>
    <w:rsid w:val="00246FA7"/>
    <w:rsid w:val="00250C32"/>
    <w:rsid w:val="0025222B"/>
    <w:rsid w:val="00263AC9"/>
    <w:rsid w:val="002739F7"/>
    <w:rsid w:val="00275B82"/>
    <w:rsid w:val="00276225"/>
    <w:rsid w:val="002803D5"/>
    <w:rsid w:val="00283C91"/>
    <w:rsid w:val="002878D8"/>
    <w:rsid w:val="00293E25"/>
    <w:rsid w:val="00295684"/>
    <w:rsid w:val="002A325D"/>
    <w:rsid w:val="002A5EE7"/>
    <w:rsid w:val="002B172C"/>
    <w:rsid w:val="002C31A2"/>
    <w:rsid w:val="002C7777"/>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04B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658B"/>
    <w:rsid w:val="0056099E"/>
    <w:rsid w:val="00562B0B"/>
    <w:rsid w:val="005676E1"/>
    <w:rsid w:val="00572E97"/>
    <w:rsid w:val="00581AE6"/>
    <w:rsid w:val="00590949"/>
    <w:rsid w:val="00591171"/>
    <w:rsid w:val="00591D74"/>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628"/>
    <w:rsid w:val="00641FBE"/>
    <w:rsid w:val="00644EC6"/>
    <w:rsid w:val="0064598C"/>
    <w:rsid w:val="00650B9A"/>
    <w:rsid w:val="00653813"/>
    <w:rsid w:val="006540CC"/>
    <w:rsid w:val="0065491B"/>
    <w:rsid w:val="00655C51"/>
    <w:rsid w:val="00655D2E"/>
    <w:rsid w:val="00660075"/>
    <w:rsid w:val="00663562"/>
    <w:rsid w:val="0067374A"/>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1317E"/>
    <w:rsid w:val="00725CF2"/>
    <w:rsid w:val="00730C23"/>
    <w:rsid w:val="00730F15"/>
    <w:rsid w:val="007342CE"/>
    <w:rsid w:val="007369BA"/>
    <w:rsid w:val="00740582"/>
    <w:rsid w:val="007414E1"/>
    <w:rsid w:val="00741B11"/>
    <w:rsid w:val="00744FCE"/>
    <w:rsid w:val="0074580C"/>
    <w:rsid w:val="00760F71"/>
    <w:rsid w:val="007617BD"/>
    <w:rsid w:val="00770D80"/>
    <w:rsid w:val="00771240"/>
    <w:rsid w:val="00772339"/>
    <w:rsid w:val="0078710E"/>
    <w:rsid w:val="00787F4C"/>
    <w:rsid w:val="007917B0"/>
    <w:rsid w:val="007A1A5F"/>
    <w:rsid w:val="007A34C9"/>
    <w:rsid w:val="007A6C5D"/>
    <w:rsid w:val="007A7425"/>
    <w:rsid w:val="007A7980"/>
    <w:rsid w:val="007B04FD"/>
    <w:rsid w:val="007B71B6"/>
    <w:rsid w:val="007C085F"/>
    <w:rsid w:val="007C1B58"/>
    <w:rsid w:val="007D41E1"/>
    <w:rsid w:val="007E1A57"/>
    <w:rsid w:val="007E616F"/>
    <w:rsid w:val="007F0611"/>
    <w:rsid w:val="007F2CA6"/>
    <w:rsid w:val="007F423C"/>
    <w:rsid w:val="007F71A7"/>
    <w:rsid w:val="0080149A"/>
    <w:rsid w:val="00801CA2"/>
    <w:rsid w:val="00802BFE"/>
    <w:rsid w:val="008052DA"/>
    <w:rsid w:val="00807431"/>
    <w:rsid w:val="00810763"/>
    <w:rsid w:val="0081080F"/>
    <w:rsid w:val="00814968"/>
    <w:rsid w:val="008157BA"/>
    <w:rsid w:val="00817D8A"/>
    <w:rsid w:val="00826845"/>
    <w:rsid w:val="00836D7A"/>
    <w:rsid w:val="00841E41"/>
    <w:rsid w:val="0084331E"/>
    <w:rsid w:val="00843E13"/>
    <w:rsid w:val="00843F4B"/>
    <w:rsid w:val="0084597D"/>
    <w:rsid w:val="00850D4E"/>
    <w:rsid w:val="00857394"/>
    <w:rsid w:val="008600E4"/>
    <w:rsid w:val="0086296B"/>
    <w:rsid w:val="008676DF"/>
    <w:rsid w:val="00867ECF"/>
    <w:rsid w:val="0087075D"/>
    <w:rsid w:val="00872CF4"/>
    <w:rsid w:val="00873E53"/>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D56FA"/>
    <w:rsid w:val="008E2532"/>
    <w:rsid w:val="008E34E9"/>
    <w:rsid w:val="008F0C79"/>
    <w:rsid w:val="008F3DE8"/>
    <w:rsid w:val="008F4908"/>
    <w:rsid w:val="009055ED"/>
    <w:rsid w:val="00912CE3"/>
    <w:rsid w:val="009249B9"/>
    <w:rsid w:val="009269B2"/>
    <w:rsid w:val="00930D0F"/>
    <w:rsid w:val="00932779"/>
    <w:rsid w:val="009342BD"/>
    <w:rsid w:val="009345ED"/>
    <w:rsid w:val="00934ED3"/>
    <w:rsid w:val="00940505"/>
    <w:rsid w:val="00941183"/>
    <w:rsid w:val="00943EFE"/>
    <w:rsid w:val="00946CAD"/>
    <w:rsid w:val="00970925"/>
    <w:rsid w:val="00976BD9"/>
    <w:rsid w:val="00987141"/>
    <w:rsid w:val="00991A2A"/>
    <w:rsid w:val="009937AE"/>
    <w:rsid w:val="009A2328"/>
    <w:rsid w:val="009A374A"/>
    <w:rsid w:val="009A6F35"/>
    <w:rsid w:val="009B0072"/>
    <w:rsid w:val="009B01E1"/>
    <w:rsid w:val="009B5ABC"/>
    <w:rsid w:val="009C2CE3"/>
    <w:rsid w:val="009D0BCE"/>
    <w:rsid w:val="009D5B6B"/>
    <w:rsid w:val="009D6B3B"/>
    <w:rsid w:val="009D71A3"/>
    <w:rsid w:val="009E5610"/>
    <w:rsid w:val="009F3027"/>
    <w:rsid w:val="009F4C02"/>
    <w:rsid w:val="009F5C01"/>
    <w:rsid w:val="00A06CAC"/>
    <w:rsid w:val="00A10C60"/>
    <w:rsid w:val="00A176D5"/>
    <w:rsid w:val="00A2357F"/>
    <w:rsid w:val="00A2557F"/>
    <w:rsid w:val="00A27711"/>
    <w:rsid w:val="00A30E4A"/>
    <w:rsid w:val="00A339CF"/>
    <w:rsid w:val="00A345C2"/>
    <w:rsid w:val="00A362B4"/>
    <w:rsid w:val="00A41ECF"/>
    <w:rsid w:val="00A43D36"/>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58CF"/>
    <w:rsid w:val="00B17288"/>
    <w:rsid w:val="00B23E71"/>
    <w:rsid w:val="00B269CD"/>
    <w:rsid w:val="00B3068E"/>
    <w:rsid w:val="00B3103B"/>
    <w:rsid w:val="00B37BBE"/>
    <w:rsid w:val="00B46F7B"/>
    <w:rsid w:val="00B476CC"/>
    <w:rsid w:val="00B52957"/>
    <w:rsid w:val="00B552D1"/>
    <w:rsid w:val="00B5736D"/>
    <w:rsid w:val="00B57F69"/>
    <w:rsid w:val="00B62206"/>
    <w:rsid w:val="00B6764F"/>
    <w:rsid w:val="00B76579"/>
    <w:rsid w:val="00B81305"/>
    <w:rsid w:val="00B9723D"/>
    <w:rsid w:val="00BA0FF7"/>
    <w:rsid w:val="00BA3A63"/>
    <w:rsid w:val="00BA589A"/>
    <w:rsid w:val="00BA78B9"/>
    <w:rsid w:val="00BC05E1"/>
    <w:rsid w:val="00BC46DE"/>
    <w:rsid w:val="00BC6BBA"/>
    <w:rsid w:val="00BD570C"/>
    <w:rsid w:val="00BE50DA"/>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41456"/>
    <w:rsid w:val="00C4244A"/>
    <w:rsid w:val="00C5022D"/>
    <w:rsid w:val="00C52A97"/>
    <w:rsid w:val="00C62AC4"/>
    <w:rsid w:val="00C63A99"/>
    <w:rsid w:val="00C64770"/>
    <w:rsid w:val="00C67CCF"/>
    <w:rsid w:val="00C701EA"/>
    <w:rsid w:val="00C76EFC"/>
    <w:rsid w:val="00C773B3"/>
    <w:rsid w:val="00C80C62"/>
    <w:rsid w:val="00C81F0F"/>
    <w:rsid w:val="00C82902"/>
    <w:rsid w:val="00C83905"/>
    <w:rsid w:val="00C839A9"/>
    <w:rsid w:val="00C870AA"/>
    <w:rsid w:val="00C96635"/>
    <w:rsid w:val="00C97616"/>
    <w:rsid w:val="00CA4BB8"/>
    <w:rsid w:val="00CA68B3"/>
    <w:rsid w:val="00CB474B"/>
    <w:rsid w:val="00CC493C"/>
    <w:rsid w:val="00CC598E"/>
    <w:rsid w:val="00CC59FC"/>
    <w:rsid w:val="00CC65CD"/>
    <w:rsid w:val="00CD51D2"/>
    <w:rsid w:val="00CE1CDD"/>
    <w:rsid w:val="00CE65D4"/>
    <w:rsid w:val="00CE7A79"/>
    <w:rsid w:val="00CF4492"/>
    <w:rsid w:val="00D00CF7"/>
    <w:rsid w:val="00D038A8"/>
    <w:rsid w:val="00D0407A"/>
    <w:rsid w:val="00D043CC"/>
    <w:rsid w:val="00D074CB"/>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2231D"/>
    <w:rsid w:val="00E305A3"/>
    <w:rsid w:val="00E3258A"/>
    <w:rsid w:val="00E32A9C"/>
    <w:rsid w:val="00E33F37"/>
    <w:rsid w:val="00E37EA3"/>
    <w:rsid w:val="00E40792"/>
    <w:rsid w:val="00E448BF"/>
    <w:rsid w:val="00E50A6B"/>
    <w:rsid w:val="00E52DD0"/>
    <w:rsid w:val="00E6497E"/>
    <w:rsid w:val="00E65CA7"/>
    <w:rsid w:val="00E67A70"/>
    <w:rsid w:val="00E701BC"/>
    <w:rsid w:val="00E74B20"/>
    <w:rsid w:val="00E878FC"/>
    <w:rsid w:val="00E92061"/>
    <w:rsid w:val="00E9221F"/>
    <w:rsid w:val="00E927A6"/>
    <w:rsid w:val="00EA178D"/>
    <w:rsid w:val="00EA1D70"/>
    <w:rsid w:val="00EA2EEA"/>
    <w:rsid w:val="00EA2FB0"/>
    <w:rsid w:val="00EA3CE9"/>
    <w:rsid w:val="00EB1022"/>
    <w:rsid w:val="00EB2AB7"/>
    <w:rsid w:val="00EC6A3B"/>
    <w:rsid w:val="00ED1987"/>
    <w:rsid w:val="00ED1A90"/>
    <w:rsid w:val="00ED576F"/>
    <w:rsid w:val="00ED613E"/>
    <w:rsid w:val="00ED6F4E"/>
    <w:rsid w:val="00EE4F43"/>
    <w:rsid w:val="00EF5815"/>
    <w:rsid w:val="00F0557B"/>
    <w:rsid w:val="00F110FE"/>
    <w:rsid w:val="00F13C80"/>
    <w:rsid w:val="00F14FC5"/>
    <w:rsid w:val="00F17BE5"/>
    <w:rsid w:val="00F217C5"/>
    <w:rsid w:val="00F23C43"/>
    <w:rsid w:val="00F2605B"/>
    <w:rsid w:val="00F260CE"/>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 w:type="paragraph" w:styleId="NormalWeb">
    <w:name w:val="Normal (Web)"/>
    <w:basedOn w:val="a"/>
    <w:uiPriority w:val="99"/>
    <w:semiHidden/>
    <w:unhideWhenUsed/>
    <w:rsid w:val="000C46E3"/>
    <w:pPr>
      <w:spacing w:before="100" w:beforeAutospacing="1" w:after="100" w:afterAutospacing="1" w:line="240" w:lineRule="auto"/>
      <w:jc w:val="left"/>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i.org.il/en/communication-and-publications/press-releases/a08-11-23/"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i.org.il/en/communication-and-publications/press-releases/c15-10-23/" TargetMode="External"/><Relationship Id="rId17" Type="http://schemas.openxmlformats.org/officeDocument/2006/relationships/hyperlink" Target="https://www.boi.org.il/en/bank-of-israel/iron-swords/boi-outline-banks2024/" TargetMode="External"/><Relationship Id="rId2" Type="http://schemas.openxmlformats.org/officeDocument/2006/relationships/customXml" Target="../customXml/item2.xml"/><Relationship Id="rId16" Type="http://schemas.openxmlformats.org/officeDocument/2006/relationships/hyperlink" Target="https://www.boi.org.il/en/communication-and-publications/press-releases/2362024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boi.org.il/en/communication-and-publications/press-releases/for-the-third-time-the-bank-of-israel-extends-and-expands-the-comprehensive-assistance-program-adopted-by-the-banks-for-dealing-with-the-ramifications-of-the-swords-of-iron-wa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i.org.il/en/communication-and-publications/press-releases/a17-12-23/"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2.xml><?xml version="1.0" encoding="utf-8"?>
<ds:datastoreItem xmlns:ds="http://schemas.openxmlformats.org/officeDocument/2006/customXml" ds:itemID="{37CB3AD7-C05B-4FB1-A8D2-B75B3DAE7EF1}">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950476-172E-4E75-A9D3-22BAA1E1C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2517</Words>
  <Characters>13436</Characters>
  <Application>Microsoft Office Word</Application>
  <DocSecurity>0</DocSecurity>
  <Lines>111</Lines>
  <Paragraphs>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15922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2024-09-23T11:15:00Z</dcterms:created>
  <dcterms:modified xsi:type="dcterms:W3CDTF">2024-09-23T11:18:00Z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