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857616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7F01AE" w:rsidRDefault="00466185" w:rsidP="00AE40EC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1A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7F01AE" w:rsidRDefault="00466185" w:rsidP="00AE40EC">
            <w:pPr>
              <w:bidi/>
              <w:spacing w:line="360" w:lineRule="auto"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1AE">
              <w:rPr>
                <w:rFonts w:ascii="Arial" w:hAnsi="Arial" w:cs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7F01AE" w:rsidRDefault="00466185" w:rsidP="00AE40EC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1AE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511300" cy="503555"/>
                  <wp:effectExtent l="0" t="0" r="0" b="0"/>
                  <wp:docPr id="3" name="תמונה 16" descr="cid:image002.png@01DB7093.7C850F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16" descr="cid:image002.png@01DB7093.7C850F4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7F01AE" w:rsidRDefault="00466185" w:rsidP="00FF7373">
            <w:pPr>
              <w:bidi/>
              <w:spacing w:line="48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01AE">
              <w:rPr>
                <w:rFonts w:ascii="Arial" w:hAnsi="Arial" w:cs="Arial"/>
                <w:sz w:val="24"/>
                <w:szCs w:val="24"/>
                <w:rtl/>
              </w:rPr>
              <w:t xml:space="preserve">‏ירושלים, </w:t>
            </w:r>
            <w:r w:rsidR="0037120D" w:rsidRPr="007F01AE">
              <w:rPr>
                <w:rFonts w:ascii="Arial" w:hAnsi="Arial" w:cs="Arial"/>
                <w:sz w:val="24"/>
                <w:szCs w:val="24"/>
                <w:rtl/>
              </w:rPr>
              <w:t>כ</w:t>
            </w:r>
            <w:r w:rsidR="00FF7373" w:rsidRPr="007F01AE">
              <w:rPr>
                <w:rFonts w:ascii="Arial" w:hAnsi="Arial" w:cs="Arial"/>
                <w:sz w:val="24"/>
                <w:szCs w:val="24"/>
                <w:rtl/>
              </w:rPr>
              <w:t>ח</w:t>
            </w:r>
            <w:r w:rsidR="00B93E21" w:rsidRPr="007F01AE">
              <w:rPr>
                <w:rFonts w:ascii="Arial" w:hAnsi="Arial" w:cs="Arial"/>
                <w:sz w:val="24"/>
                <w:szCs w:val="24"/>
                <w:rtl/>
              </w:rPr>
              <w:t>'</w:t>
            </w:r>
            <w:r w:rsidR="00F55A2F" w:rsidRPr="007F01A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F7373" w:rsidRPr="007F01AE">
              <w:rPr>
                <w:rFonts w:ascii="Arial" w:hAnsi="Arial" w:cs="Arial"/>
                <w:sz w:val="24"/>
                <w:szCs w:val="24"/>
                <w:rtl/>
              </w:rPr>
              <w:t>אלול</w:t>
            </w:r>
            <w:r w:rsidRPr="007F01AE">
              <w:rPr>
                <w:rFonts w:ascii="Arial" w:hAnsi="Arial" w:cs="Arial"/>
                <w:sz w:val="24"/>
                <w:szCs w:val="24"/>
                <w:rtl/>
              </w:rPr>
              <w:t>, התשפ"</w:t>
            </w:r>
            <w:r w:rsidR="00430287" w:rsidRPr="007F01AE">
              <w:rPr>
                <w:rFonts w:ascii="Arial" w:hAnsi="Arial" w:cs="Arial"/>
                <w:sz w:val="24"/>
                <w:szCs w:val="24"/>
                <w:rtl/>
              </w:rPr>
              <w:t>ה</w:t>
            </w:r>
          </w:p>
          <w:p w:rsidR="00BB4D0D" w:rsidRPr="007F01AE" w:rsidRDefault="00466185" w:rsidP="00FF7373">
            <w:pPr>
              <w:bidi/>
              <w:spacing w:line="480" w:lineRule="auto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7F01AE">
              <w:rPr>
                <w:rFonts w:ascii="Arial" w:hAnsi="Arial" w:cs="Arial"/>
                <w:sz w:val="24"/>
                <w:szCs w:val="24"/>
                <w:rtl/>
              </w:rPr>
              <w:t>‏‏</w:t>
            </w:r>
            <w:r w:rsidR="00FF7373" w:rsidRPr="007F01AE">
              <w:rPr>
                <w:rFonts w:ascii="Arial" w:hAnsi="Arial" w:cs="Arial"/>
                <w:sz w:val="24"/>
                <w:szCs w:val="24"/>
                <w:rtl/>
              </w:rPr>
              <w:t>21</w:t>
            </w:r>
            <w:r w:rsidR="00F55A2F" w:rsidRPr="007F01A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FF7373" w:rsidRPr="007F01AE">
              <w:rPr>
                <w:rFonts w:ascii="Arial" w:hAnsi="Arial" w:cs="Arial"/>
                <w:sz w:val="24"/>
                <w:szCs w:val="24"/>
                <w:rtl/>
              </w:rPr>
              <w:t>בספטמבר</w:t>
            </w:r>
            <w:r w:rsidRPr="007F01A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A26840" w:rsidRPr="007F01AE">
              <w:rPr>
                <w:rFonts w:ascii="Arial" w:hAnsi="Arial" w:cs="Arial"/>
                <w:sz w:val="24"/>
                <w:szCs w:val="24"/>
                <w:rtl/>
              </w:rPr>
              <w:t>202</w:t>
            </w:r>
            <w:r w:rsidR="00BC5543" w:rsidRPr="007F01AE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</w:tr>
      <w:tr w:rsidR="00857616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7F01AE" w:rsidRDefault="000C1956" w:rsidP="00AE40EC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C1956" w:rsidRPr="007F01AE" w:rsidRDefault="000C1956" w:rsidP="00AE40EC">
            <w:pPr>
              <w:bidi/>
              <w:jc w:val="center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7F01AE" w:rsidRDefault="000C1956" w:rsidP="00B93E21">
            <w:pPr>
              <w:bidi/>
              <w:spacing w:line="480" w:lineRule="auto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BB4D0D" w:rsidRPr="007F01AE" w:rsidRDefault="00466185" w:rsidP="00A834D2">
      <w:pPr>
        <w:bidi/>
        <w:spacing w:before="240" w:line="360" w:lineRule="auto"/>
        <w:ind w:right="-102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بيان صحفي:</w:t>
      </w:r>
    </w:p>
    <w:p w:rsidR="009E07BE" w:rsidRPr="007F01AE" w:rsidRDefault="009E07BE" w:rsidP="009E07BE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</w:p>
    <w:p w:rsidR="007F01AE" w:rsidRPr="00012175" w:rsidRDefault="00466185" w:rsidP="00DC4D5D">
      <w:pPr>
        <w:jc w:val="center"/>
        <w:rPr>
          <w:rFonts w:ascii="Calibri" w:hAnsi="Calibri" w:cs="Times New Roman"/>
          <w:b/>
          <w:bCs/>
          <w:sz w:val="28"/>
          <w:szCs w:val="28"/>
          <w:rtl/>
          <w:lang w:bidi="ar-SA"/>
        </w:rPr>
      </w:pP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تطور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ديون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القطاع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الخاص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غير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المالي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في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الربع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DC4D5D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الثاني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من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عام</w:t>
      </w:r>
      <w:r w:rsidRPr="00012175">
        <w:rPr>
          <w:rFonts w:ascii="Calibri" w:hAnsi="Calibri" w:cs="Times New Roman"/>
          <w:b/>
          <w:bCs/>
          <w:sz w:val="28"/>
          <w:szCs w:val="28"/>
          <w:rtl/>
          <w:lang w:bidi="ar-SA"/>
        </w:rPr>
        <w:t xml:space="preserve"> </w:t>
      </w:r>
      <w:r w:rsidR="00DC4D5D">
        <w:rPr>
          <w:rFonts w:ascii="Calibri" w:hAnsi="Calibri" w:cs="Times New Roman" w:hint="cs"/>
          <w:b/>
          <w:bCs/>
          <w:sz w:val="28"/>
          <w:szCs w:val="28"/>
          <w:rtl/>
          <w:lang w:bidi="ar-SA"/>
        </w:rPr>
        <w:t>2025</w:t>
      </w:r>
    </w:p>
    <w:p w:rsidR="007F01AE" w:rsidRPr="007F01AE" w:rsidRDefault="007F01AE" w:rsidP="007F01AE">
      <w:pPr>
        <w:rPr>
          <w:rFonts w:cstheme="minorBidi"/>
          <w:rtl/>
          <w:lang w:bidi="ar-SA"/>
        </w:rPr>
      </w:pPr>
    </w:p>
    <w:p w:rsidR="00A92E0A" w:rsidRPr="007F01AE" w:rsidRDefault="00A92E0A" w:rsidP="001F0A9C">
      <w:pPr>
        <w:bidi/>
        <w:spacing w:line="360" w:lineRule="auto"/>
        <w:jc w:val="both"/>
        <w:rPr>
          <w:rFonts w:ascii="Arial" w:hAnsi="Arial" w:cs="Arial"/>
          <w:sz w:val="24"/>
          <w:szCs w:val="24"/>
          <w:highlight w:val="yellow"/>
          <w:rtl/>
        </w:rPr>
      </w:pPr>
    </w:p>
    <w:p w:rsidR="007F01AE" w:rsidRPr="004844D6" w:rsidRDefault="00466185" w:rsidP="00DC4D5D">
      <w:pPr>
        <w:spacing w:line="360" w:lineRule="auto"/>
        <w:jc w:val="right"/>
        <w:rPr>
          <w:rFonts w:ascii="Calibri" w:hAnsi="Calibri"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فيما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يلي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ملخص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لتطورات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بيانات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القطاع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الخاص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المالي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الربع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C4D5D">
        <w:rPr>
          <w:rFonts w:ascii="Calibri" w:hAnsi="Calibri" w:cs="Arial" w:hint="cs"/>
          <w:sz w:val="24"/>
          <w:szCs w:val="24"/>
          <w:rtl/>
          <w:lang w:bidi="ar-SA"/>
        </w:rPr>
        <w:t>الثاني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>:</w:t>
      </w:r>
    </w:p>
    <w:p w:rsidR="007F01AE" w:rsidRPr="007F01AE" w:rsidRDefault="007F01AE" w:rsidP="007F01AE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</w:p>
    <w:p w:rsidR="007F01AE" w:rsidRPr="007F01AE" w:rsidRDefault="00466185" w:rsidP="004E5AE1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ارتفع رصيد دين 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>القطاع الخاص غير المالي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="00DC4D5D" w:rsidRPr="00DC4D5D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الأعمال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والأسر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) في الربع الثاني من العام بنحو 2.1% لي</w:t>
      </w:r>
      <w:r w:rsidR="00DC4D5D">
        <w:rPr>
          <w:rFonts w:ascii="Arial" w:hAnsi="Arial" w:cs="Arial"/>
          <w:sz w:val="24"/>
          <w:szCs w:val="24"/>
          <w:rtl/>
          <w:lang w:bidi="ar-SA"/>
        </w:rPr>
        <w:t xml:space="preserve">صل إلى حوالي 2.3 تريليون شيكل.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ارتفع معدل النمو السنوي لهذا الرصيد إلى حوالي 8.2%.</w:t>
      </w:r>
    </w:p>
    <w:p w:rsidR="007F01AE" w:rsidRDefault="00466185" w:rsidP="00DC4D5D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ارتفع رصيد 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>دين قطاع الأعمال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هذا الربع بنحو 2.6% (حوالي 36 مليار شيكل) ليصل إل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ى حوالي 1.5 تريليون شيكل، ويعود ذلك أساس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إلى زيادة صافي </w:t>
      </w:r>
      <w:r w:rsidR="00DC4D5D">
        <w:rPr>
          <w:rFonts w:ascii="Arial" w:hAnsi="Arial" w:cs="Arial" w:hint="cs"/>
          <w:sz w:val="24"/>
          <w:szCs w:val="24"/>
          <w:rtl/>
          <w:lang w:bidi="ar-SA"/>
        </w:rPr>
        <w:t xml:space="preserve">جمع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الدين </w:t>
      </w:r>
      <w:r w:rsidR="00DC4D5D">
        <w:rPr>
          <w:rFonts w:ascii="Arial" w:hAnsi="Arial" w:cs="Arial" w:hint="cs"/>
          <w:sz w:val="24"/>
          <w:szCs w:val="24"/>
          <w:rtl/>
          <w:lang w:bidi="ar-SA"/>
        </w:rPr>
        <w:t>من خلال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DC4D5D">
        <w:rPr>
          <w:rFonts w:ascii="Arial" w:hAnsi="Arial" w:cs="Arial" w:hint="cs"/>
          <w:sz w:val="24"/>
          <w:szCs w:val="24"/>
          <w:rtl/>
          <w:lang w:bidi="ar-SA"/>
        </w:rPr>
        <w:t>القروض المصرفية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. </w:t>
      </w:r>
    </w:p>
    <w:p w:rsidR="007F01AE" w:rsidRPr="007F01AE" w:rsidRDefault="00466185" w:rsidP="004E5AE1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استمر 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>رصيد ديون الأسر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النمو أيض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هذا الربع إلى حوالي 866 مليار شيكل، وهو مزيج من زيادة 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>رصيد ديون الإسكان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(حوالي 12 مليار شيكل، 2</w:t>
      </w:r>
      <w:r w:rsidR="00DC4D5D">
        <w:rPr>
          <w:rFonts w:ascii="Arial" w:hAnsi="Arial" w:cs="Arial" w:hint="cs"/>
          <w:sz w:val="24"/>
          <w:szCs w:val="24"/>
          <w:rtl/>
          <w:lang w:bidi="ar-SA"/>
        </w:rPr>
        <w:t>%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) نتيجة الحصول على قروض عقارية جديدة من البنوك وانخفاض </w:t>
      </w:r>
      <w:r w:rsidRPr="00DC4D5D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رصيد الديون غير </w:t>
      </w:r>
      <w:r w:rsidR="004E5AE1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الإسكانية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(حوالي 1.4 مليار شيكل، -0.6</w:t>
      </w:r>
      <w:r w:rsidR="00DC4D5D">
        <w:rPr>
          <w:rFonts w:ascii="Arial" w:hAnsi="Arial" w:cs="Arial" w:hint="cs"/>
          <w:sz w:val="24"/>
          <w:szCs w:val="24"/>
          <w:rtl/>
          <w:lang w:bidi="ar-SA"/>
        </w:rPr>
        <w:t>%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)، لأول مرة منذ الربع الأخير من عام 2023، إلى حوالي 236 مليار شيكل، نتيجة انخفاض رصيد الديون للبنوك وشركات بطاقات الائتمان.</w:t>
      </w:r>
    </w:p>
    <w:p w:rsidR="00FF4A03" w:rsidRPr="007F01AE" w:rsidRDefault="00FF4A03" w:rsidP="00FF4A03">
      <w:pPr>
        <w:pStyle w:val="a9"/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Pr="007F01AE" w:rsidRDefault="00466185" w:rsidP="00DC4D5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01AE">
        <w:rPr>
          <w:rStyle w:val="10"/>
          <w:rtl/>
          <w:lang w:bidi="ar-SA"/>
        </w:rPr>
        <w:t xml:space="preserve">ديون قطاع الأعمال غير </w:t>
      </w:r>
      <w:r w:rsidRPr="007F01AE">
        <w:rPr>
          <w:rStyle w:val="10"/>
          <w:rtl/>
          <w:lang w:bidi="ar-SA"/>
        </w:rPr>
        <w:t xml:space="preserve">المالي </w:t>
      </w:r>
      <w:r>
        <w:rPr>
          <w:rStyle w:val="af2"/>
          <w:rFonts w:ascii="Arial" w:hAnsi="Arial" w:cs="Arial"/>
          <w:b/>
          <w:bCs/>
          <w:sz w:val="24"/>
          <w:szCs w:val="24"/>
          <w:rtl/>
        </w:rPr>
        <w:footnoteReference w:id="1"/>
      </w:r>
      <w:r w:rsidR="0028327B" w:rsidRPr="007F01AE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2B18C6" w:rsidRPr="007F01AE" w:rsidRDefault="00466185" w:rsidP="00BE23CF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أفادت </w:t>
      </w:r>
      <w:r>
        <w:rPr>
          <w:rFonts w:ascii="Arial" w:hAnsi="Arial" w:cs="Arial" w:hint="cs"/>
          <w:sz w:val="24"/>
          <w:szCs w:val="24"/>
          <w:rtl/>
          <w:lang w:bidi="ar-SA"/>
        </w:rPr>
        <w:t>شعبة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المعلومات والإحصاء أنه في الربع الثاني من عام 2025، ارتفع 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>رصيد ديون قطاع الأعمال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بنحو 2.6% (أي ما يعادل 36 مليار شيكل تقريب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) ليصل إلى مستوى يقارب 1.5 تريليون شيكل</w:t>
      </w:r>
      <w:r w:rsidR="00BE23CF" w:rsidRPr="007F01AE">
        <w:rPr>
          <w:rFonts w:ascii="Arial" w:hAnsi="Arial" w:cs="Arial"/>
          <w:sz w:val="24"/>
          <w:szCs w:val="24"/>
          <w:rtl/>
        </w:rPr>
        <w:t>.</w:t>
      </w:r>
      <w:r w:rsidR="00FF7373" w:rsidRPr="007F01AE">
        <w:rPr>
          <w:rFonts w:ascii="Arial" w:hAnsi="Arial" w:cs="Arial"/>
          <w:sz w:val="24"/>
          <w:szCs w:val="24"/>
          <w:rtl/>
        </w:rPr>
        <w:t xml:space="preserve"> </w:t>
      </w:r>
    </w:p>
    <w:p w:rsidR="007F01AE" w:rsidRPr="002A66CB" w:rsidRDefault="00466185" w:rsidP="004E5AE1">
      <w:pPr>
        <w:pStyle w:val="a9"/>
        <w:bidi/>
        <w:spacing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2A66CB">
        <w:rPr>
          <w:rFonts w:ascii="Arial" w:hAnsi="Arial" w:cs="Arial" w:hint="cs"/>
          <w:sz w:val="24"/>
          <w:szCs w:val="24"/>
          <w:rtl/>
          <w:lang w:bidi="ar-SA"/>
        </w:rPr>
        <w:t>جاء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هذا الارتفاع في الرصيد نتيجةً لزيادة صافي الدين بشكل كبير، والذي بلغ حوالي 58 مليار شيكل، ويعود ذلك أساس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إلى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ائتمان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2A66CB">
        <w:rPr>
          <w:rFonts w:ascii="Arial" w:hAnsi="Arial" w:cs="Arial"/>
          <w:sz w:val="24"/>
          <w:szCs w:val="24"/>
          <w:rtl/>
          <w:lang w:bidi="ar-SA"/>
        </w:rPr>
        <w:t>مصرفي، والذي مُنح في الغالب لقطاع الخدمات المالية، بما في ذلك الائتمان لغرض ضمان المعاملات في الأدوات المشتقة وقروض الأوراق الم</w:t>
      </w:r>
      <w:r w:rsidRPr="002A66CB">
        <w:rPr>
          <w:rFonts w:ascii="Arial" w:hAnsi="Arial" w:cs="Arial"/>
          <w:sz w:val="24"/>
          <w:szCs w:val="24"/>
          <w:rtl/>
          <w:lang w:bidi="ar-SA"/>
        </w:rPr>
        <w:t>الية. بالإضافة إلى ذلك، ساهم إصدار سندات قابلة للتداول في إسرائيل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/>
          <w:sz w:val="24"/>
          <w:szCs w:val="24"/>
          <w:rtl/>
          <w:lang w:bidi="ar-SA"/>
        </w:rPr>
        <w:t>في هذه الزيادة، بالإضافة إلى زيادة بنسبة 1.3% تقريب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في مؤشر أسعار المستهلك</w:t>
      </w:r>
      <w:r>
        <w:rPr>
          <w:rStyle w:val="af2"/>
          <w:rFonts w:ascii="Arial" w:hAnsi="Arial" w:cs="Arial"/>
          <w:sz w:val="24"/>
          <w:szCs w:val="24"/>
          <w:rtl/>
        </w:rPr>
        <w:footnoteReference w:id="2"/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والذي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أدى إلى زيادة قيمة الديون المرتبطة بالمؤشر؛ وقد تم تعويض هذه الزيادات جزئي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بارتفاع قيمة الشيكل مقابل الدولار بنحو 9.3%،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والذي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أدى إلى انخفاض قيمة الديون المقومة بالعملات الأجنبية والديون المرتبطة بها، بالإضافة إلى صافي سداد الديون المحصلة في الخارج والسندات غير القابلة للتداول في إسرائيل.</w:t>
      </w:r>
    </w:p>
    <w:p w:rsidR="007F01AE" w:rsidRPr="007F01AE" w:rsidRDefault="00466185" w:rsidP="002A66CB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أدت هذه </w:t>
      </w:r>
      <w:r w:rsidR="002A66CB">
        <w:rPr>
          <w:rFonts w:ascii="Arial" w:hAnsi="Arial" w:cs="Arial" w:hint="cs"/>
          <w:sz w:val="24"/>
          <w:szCs w:val="24"/>
          <w:rtl/>
          <w:lang w:bidi="ar-SA"/>
        </w:rPr>
        <w:t>التأثيرات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إلى استمرار </w:t>
      </w:r>
      <w:r w:rsidR="002A66CB">
        <w:rPr>
          <w:rFonts w:ascii="Arial" w:hAnsi="Arial" w:cs="Arial" w:hint="cs"/>
          <w:sz w:val="24"/>
          <w:szCs w:val="24"/>
          <w:rtl/>
          <w:lang w:bidi="ar-SA"/>
        </w:rPr>
        <w:t>زيادة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معدل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النمو السنوي لرصيد الدي</w:t>
      </w:r>
      <w:r w:rsidR="002A66CB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ن للبنوك في هذا الربع إلى حوالي 16%، وهو اتجاه بدأ في النصف الثاني من عام 2024، بينما استمر معدل النمو السنوي للدين للمقرضين غير المصرفيين في الانخفاض للربع الثاني على التوالي، لكنه ظل إيجابي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وبلغ حوالي 0.5% مقارنة بـ 3.5% في الر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بع السابق. (الشكلان 1 و2).</w:t>
      </w:r>
    </w:p>
    <w:p w:rsidR="007F01AE" w:rsidRDefault="00466185" w:rsidP="004E5AE1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في الربع الثاني من العام، 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>أصدر قطاع الأعمال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سندات بقيمة حوالي 28 مليار شيكل، وهو أعلى بكثير من متوسط ​​جمع الأموال ربع السنوي في الأرباع الأربعة السابقة (حوالي 16 مليار شيكل في المتوسط ​​لكل ربع). وقد نفذت شركات من قطاع العقارات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والبناء </w:t>
      </w:r>
      <w:r w:rsidRPr="007F01AE">
        <w:rPr>
          <w:rFonts w:ascii="Arial" w:hAnsi="Arial" w:cs="Arial"/>
          <w:sz w:val="24"/>
          <w:szCs w:val="24"/>
          <w:rtl/>
          <w:lang w:bidi="ar-SA"/>
        </w:rPr>
        <w:lastRenderedPageBreak/>
        <w:t xml:space="preserve">حوالي 43% من الإصدارات في هذا الربع، وهو </w:t>
      </w:r>
      <w:r w:rsidR="002A66C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قطاع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 xml:space="preserve">الذي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لا يزال رائد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جمع الأموال، على غرار السنوات السابقة. (الشكل 3).</w:t>
      </w:r>
    </w:p>
    <w:p w:rsidR="002A66CB" w:rsidRPr="002A66CB" w:rsidRDefault="00466185" w:rsidP="004E5AE1">
      <w:pPr>
        <w:bidi/>
        <w:spacing w:line="360" w:lineRule="auto"/>
        <w:ind w:left="685"/>
        <w:jc w:val="both"/>
        <w:rPr>
          <w:rFonts w:ascii="Arial" w:hAnsi="Arial" w:cs="Arial"/>
          <w:sz w:val="24"/>
          <w:szCs w:val="24"/>
        </w:rPr>
      </w:pP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في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شهر تموز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2025، أصدر قطاع الأعمال سندات بقيمة تقارب 14 مليار شيكل، 56% منها تقريب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من قِبل شركات في قطاع الع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قارات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والإنشاءات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. </w:t>
      </w:r>
    </w:p>
    <w:p w:rsidR="007F01AE" w:rsidRPr="002A66CB" w:rsidRDefault="00466185" w:rsidP="004E5AE1">
      <w:pPr>
        <w:pStyle w:val="a9"/>
        <w:numPr>
          <w:ilvl w:val="0"/>
          <w:numId w:val="8"/>
        </w:numPr>
        <w:bidi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في الربع الثاني من العام، استمر </w:t>
      </w:r>
      <w:r>
        <w:rPr>
          <w:rFonts w:ascii="Arial" w:hAnsi="Arial" w:cs="Arial"/>
          <w:b/>
          <w:bCs/>
          <w:sz w:val="24"/>
          <w:szCs w:val="24"/>
          <w:rtl/>
          <w:lang w:bidi="ar-SA"/>
        </w:rPr>
        <w:t>الفارق</w:t>
      </w:r>
      <w:r>
        <w:rPr>
          <w:rStyle w:val="af2"/>
          <w:rFonts w:ascii="Arial" w:hAnsi="Arial" w:cs="Arial"/>
          <w:b/>
          <w:bCs/>
          <w:sz w:val="24"/>
          <w:szCs w:val="24"/>
          <w:rtl/>
        </w:rPr>
        <w:footnoteReference w:id="3"/>
      </w:r>
      <w:r w:rsidR="00884ED4" w:rsidRPr="007F01A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بين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عائد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سندات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الشركات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المدرجة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في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مؤشر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تل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بوند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60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 xml:space="preserve">وبين </w:t>
      </w:r>
      <w:r w:rsidRPr="002A66CB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عائد السندات الحكومية المرتبطة </w:t>
      </w:r>
      <w:r w:rsidRPr="002A66CB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بالمؤشر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في التقلص إلى حوالي 0.83 نقطة مئوية، واستمر هذا التقلص في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تموز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2025 ليصل إلى حوالي 0.77 نقطة مئوية. في </w:t>
      </w:r>
      <w:r w:rsidRPr="002A66CB">
        <w:rPr>
          <w:rFonts w:ascii="Arial" w:hAnsi="Arial" w:cs="Arial" w:hint="cs"/>
          <w:sz w:val="24"/>
          <w:szCs w:val="24"/>
          <w:rtl/>
          <w:lang w:bidi="ar-SA"/>
        </w:rPr>
        <w:t>آب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2025 ارتفع هذا الفارق بشكل طفيف إلى حوالي 0.79 نقطة مئوية، إلا أن هذا المستوى ظل منخفض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2A66CB">
        <w:rPr>
          <w:rFonts w:ascii="Arial" w:hAnsi="Arial" w:cs="Arial"/>
          <w:sz w:val="24"/>
          <w:szCs w:val="24"/>
          <w:rtl/>
          <w:lang w:bidi="ar-SA"/>
        </w:rPr>
        <w:t xml:space="preserve"> مقارنةً بالسنوات الثلاث الماضية. (الشكل 4).</w:t>
      </w:r>
    </w:p>
    <w:p w:rsidR="0037366E" w:rsidRPr="007F01AE" w:rsidRDefault="0037366E" w:rsidP="0037366E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1AEA" w:rsidRPr="007F01AE" w:rsidRDefault="00466185" w:rsidP="00DC243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rtl/>
        </w:rPr>
      </w:pPr>
      <w:r w:rsidRPr="004844D6">
        <w:rPr>
          <w:rFonts w:ascii="Calibri" w:hAnsi="Calibri" w:hint="cs"/>
          <w:b/>
          <w:bCs/>
          <w:rtl/>
          <w:lang w:bidi="ar-SA"/>
        </w:rPr>
        <w:t>جدول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 w:rsidRPr="004844D6">
        <w:rPr>
          <w:rFonts w:ascii="Calibri" w:hAnsi="Calibri" w:hint="cs"/>
          <w:b/>
          <w:bCs/>
          <w:rtl/>
          <w:lang w:bidi="ar-SA"/>
        </w:rPr>
        <w:t>توزيع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  <w:r w:rsidRPr="007F01AE">
        <w:rPr>
          <w:rFonts w:ascii="Arial" w:hAnsi="Arial" w:cs="Arial"/>
          <w:vertAlign w:val="superscript"/>
          <w:rtl/>
        </w:rPr>
        <w:t xml:space="preserve"> </w:t>
      </w:r>
      <w:r w:rsidR="0012175B" w:rsidRPr="007F01AE">
        <w:rPr>
          <w:rFonts w:ascii="Arial" w:hAnsi="Arial" w:cs="Arial"/>
          <w:vertAlign w:val="superscript"/>
          <w:rtl/>
        </w:rPr>
        <w:t>1</w:t>
      </w:r>
      <w:r w:rsidR="00303DA6" w:rsidRPr="007F01AE">
        <w:rPr>
          <w:rFonts w:ascii="Arial" w:hAnsi="Arial" w:cs="Arial"/>
          <w:vertAlign w:val="superscript"/>
          <w:rtl/>
        </w:rPr>
        <w:t xml:space="preserve"> </w:t>
      </w:r>
    </w:p>
    <w:p w:rsidR="002A60C4" w:rsidRPr="007F01AE" w:rsidRDefault="00466185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noProof/>
          <w:rtl/>
        </w:rPr>
        <w:t xml:space="preserve"> </w:t>
      </w:r>
      <w:r w:rsidRPr="007F01AE">
        <w:rPr>
          <w:rFonts w:ascii="Arial" w:hAnsi="Arial" w:cs="Arial"/>
          <w:noProof/>
          <w:rtl/>
        </w:rPr>
        <w:drawing>
          <wp:inline distT="0" distB="0" distL="0" distR="0">
            <wp:extent cx="5278120" cy="2774825"/>
            <wp:effectExtent l="0" t="0" r="0" b="6985"/>
            <wp:docPr id="7" name="תמונה 7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B" w:rsidRPr="007F01AE" w:rsidRDefault="00061F4B" w:rsidP="000C1DB1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rtl/>
        </w:rPr>
      </w:pPr>
    </w:p>
    <w:p w:rsidR="00362735" w:rsidRPr="007F01AE" w:rsidRDefault="00466185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7F01AE">
        <w:rPr>
          <w:rFonts w:ascii="Arial" w:hAnsi="Arial" w:cs="Arial"/>
          <w:b/>
          <w:bCs/>
          <w:sz w:val="24"/>
          <w:szCs w:val="24"/>
          <w:rtl/>
        </w:rPr>
        <w:br w:type="page"/>
      </w:r>
    </w:p>
    <w:p w:rsidR="007F01AE" w:rsidRPr="007F01AE" w:rsidRDefault="00466185" w:rsidP="007F01AE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Arial"/>
          <w:rtl/>
          <w:lang w:bidi="ar-SA"/>
        </w:rPr>
      </w:pPr>
      <w:r w:rsidRPr="004844D6">
        <w:rPr>
          <w:rFonts w:ascii="Calibri" w:hAnsi="Calibri" w:hint="cs"/>
          <w:b/>
          <w:bCs/>
          <w:rtl/>
          <w:lang w:bidi="ar-SA"/>
        </w:rPr>
        <w:lastRenderedPageBreak/>
        <w:t>الشكل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>
        <w:rPr>
          <w:rFonts w:ascii="Calibri" w:hAnsi="Calibri" w:hint="cs"/>
          <w:b/>
          <w:bCs/>
          <w:rtl/>
          <w:lang w:bidi="ar-SA"/>
        </w:rPr>
        <w:t>تقدير تحركات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إجمالي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</w:p>
    <w:p w:rsidR="002A60C4" w:rsidRPr="007F01AE" w:rsidRDefault="00466185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F01AE"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5261610" cy="2719070"/>
            <wp:effectExtent l="0" t="0" r="0" b="5080"/>
            <wp:docPr id="8" name="תמונה 8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7F01AE" w:rsidRDefault="00FF4A03" w:rsidP="00FF4A03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F01AE" w:rsidRPr="007F01AE" w:rsidRDefault="00466185" w:rsidP="007F01AE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المقابل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وغير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</w:p>
    <w:p w:rsidR="00675551" w:rsidRPr="007F01AE" w:rsidRDefault="00466185" w:rsidP="0067555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7F01AE"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5261610" cy="2542540"/>
            <wp:effectExtent l="0" t="0" r="0" b="0"/>
            <wp:docPr id="10" name="תמונה 10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EED" w:rsidRPr="007F01AE" w:rsidRDefault="00BD2EED" w:rsidP="00BD2EED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Pr="007F01AE" w:rsidRDefault="00D33B21" w:rsidP="00D33B2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Pr="007F01AE" w:rsidRDefault="00D33B21" w:rsidP="00D33B2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Pr="007F01AE" w:rsidRDefault="00D33B21" w:rsidP="00D33B2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Pr="007F01AE" w:rsidRDefault="00D33B21" w:rsidP="00D33B2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Pr="007F01AE" w:rsidRDefault="00D33B21" w:rsidP="00D33B2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20745C" w:rsidRPr="007F01AE" w:rsidRDefault="0020745C" w:rsidP="0020745C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F01AE" w:rsidRPr="007F01AE" w:rsidRDefault="00466185" w:rsidP="007F01AE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bidi="ar-SA"/>
        </w:rPr>
      </w:pP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lastRenderedPageBreak/>
        <w:t xml:space="preserve">الشكل 3: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إصدارات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السندات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لقطاع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الأعمال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غير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المالي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خلال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الربع،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</w:t>
      </w:r>
      <w:r w:rsidRPr="00276340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حسب</w:t>
      </w:r>
      <w:r w:rsidRPr="00276340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القطاعات</w:t>
      </w:r>
    </w:p>
    <w:p w:rsidR="00F83505" w:rsidRPr="007F01AE" w:rsidRDefault="00466185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F01AE"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5218430" cy="2962910"/>
            <wp:effectExtent l="0" t="0" r="1270" b="8890"/>
            <wp:docPr id="11" name="תמונה 11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7F01AE" w:rsidRDefault="00FF4A03" w:rsidP="00FF4A03">
      <w:pPr>
        <w:pStyle w:val="a9"/>
        <w:bidi/>
        <w:spacing w:line="360" w:lineRule="auto"/>
        <w:ind w:left="360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F01AE" w:rsidRPr="004844D6" w:rsidRDefault="00466185" w:rsidP="007F01AE">
      <w:pPr>
        <w:pStyle w:val="a9"/>
        <w:spacing w:line="360" w:lineRule="auto"/>
        <w:ind w:left="360" w:right="-101"/>
        <w:jc w:val="center"/>
        <w:rPr>
          <w:rFonts w:ascii="Calibri" w:hAnsi="Calibri"/>
          <w:b/>
          <w:bCs/>
          <w:sz w:val="24"/>
          <w:szCs w:val="24"/>
          <w:rtl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4: 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الهامش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بين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الشركات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تل بوند </w:t>
      </w:r>
      <w:r>
        <w:rPr>
          <w:rFonts w:ascii="Calibri" w:hAnsi="Calibri" w:hint="cs"/>
          <w:b/>
          <w:bCs/>
          <w:sz w:val="24"/>
          <w:szCs w:val="24"/>
          <w:rtl/>
          <w:lang w:bidi="ar-SA"/>
        </w:rPr>
        <w:t>60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)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والسندات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الحكومية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المرتبطة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بالمؤشر</w:t>
      </w:r>
    </w:p>
    <w:p w:rsidR="007F01AE" w:rsidRPr="007F01AE" w:rsidRDefault="00466185" w:rsidP="007F01AE">
      <w:pPr>
        <w:pStyle w:val="a9"/>
        <w:bidi/>
        <w:spacing w:line="360" w:lineRule="auto"/>
        <w:ind w:left="360" w:right="-101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(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معدل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شهري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</w:p>
    <w:p w:rsidR="00522BB0" w:rsidRPr="007F01AE" w:rsidRDefault="00466185" w:rsidP="00522BB0">
      <w:pPr>
        <w:pStyle w:val="a9"/>
        <w:bidi/>
        <w:spacing w:line="360" w:lineRule="auto"/>
        <w:ind w:left="-52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7F01AE"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5255260" cy="2609215"/>
            <wp:effectExtent l="0" t="0" r="2540" b="635"/>
            <wp:docPr id="12" name="תמונה 1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Arial"/>
          <w:sz w:val="24"/>
          <w:szCs w:val="24"/>
          <w:u w:val="single"/>
          <w:rtl/>
          <w:lang w:bidi="ar-SA"/>
        </w:rPr>
      </w:pPr>
    </w:p>
    <w:p w:rsidR="009F574F" w:rsidRPr="007F01AE" w:rsidRDefault="00466185" w:rsidP="002A66CB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</w:rPr>
      </w:pPr>
      <w:r w:rsidRPr="007F01AE">
        <w:rPr>
          <w:rStyle w:val="10"/>
          <w:rtl/>
          <w:lang w:bidi="ar-SA"/>
        </w:rPr>
        <w:t>ديون الأسر</w:t>
      </w:r>
    </w:p>
    <w:p w:rsidR="007F01AE" w:rsidRPr="007F01AE" w:rsidRDefault="00466185" w:rsidP="004E5AE1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في الربع الثاني من عام 2025، </w:t>
      </w:r>
      <w:r w:rsidRPr="004E5AE1">
        <w:rPr>
          <w:rFonts w:ascii="Arial" w:hAnsi="Arial" w:cs="Arial"/>
          <w:b/>
          <w:bCs/>
          <w:sz w:val="24"/>
          <w:szCs w:val="24"/>
          <w:rtl/>
          <w:lang w:bidi="ar-SA"/>
        </w:rPr>
        <w:t>استمر رصيد ديون الأسر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النمو بنحو 1.3% (حوالي 11 مليار شيكل) ليصل إلى نحو 866 مليار شيكل، ويعزى ذلك إلى زيادة </w:t>
      </w:r>
      <w:r w:rsidRPr="004E5AE1">
        <w:rPr>
          <w:rFonts w:ascii="Arial" w:hAnsi="Arial" w:cs="Arial"/>
          <w:b/>
          <w:bCs/>
          <w:sz w:val="24"/>
          <w:szCs w:val="24"/>
          <w:rtl/>
          <w:lang w:bidi="ar-SA"/>
        </w:rPr>
        <w:t>رصيد ديون الإسكان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(حوالي 12 مليار شيكل، 2%)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والذي و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صل إلى نحو 630 مليار شيكل معظمها للبنوك؛ وانخفاض رصيد </w:t>
      </w:r>
      <w:r w:rsidRPr="004E5AE1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الديون </w:t>
      </w:r>
      <w:r w:rsidR="004E5AE1" w:rsidRPr="004E5AE1">
        <w:rPr>
          <w:rFonts w:ascii="Arial" w:hAnsi="Arial" w:cs="Arial" w:hint="cs"/>
          <w:b/>
          <w:bCs/>
          <w:sz w:val="24"/>
          <w:szCs w:val="24"/>
          <w:rtl/>
          <w:lang w:bidi="ar-SA"/>
        </w:rPr>
        <w:t>غير الإسكانية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(حوالي 1.4 مليار شيكل، -0.6%) لأول مرة منذ الربع الأخير من عام 2023،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والذي و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صل إلى نحو 236 مليار شيكل،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 xml:space="preserve">وذلك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نتيجة انخفاض رصيد الديون للبنوك وشركات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بطاقات الائتمان.</w:t>
      </w:r>
    </w:p>
    <w:p w:rsidR="007F01AE" w:rsidRPr="007F01AE" w:rsidRDefault="00466185" w:rsidP="004E5AE1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أدت هذه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التأثيرات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إلى استمرار ارتفاع معدل النمو السنوي لرصيد ديون الإسكان إلى نحو 8%، وهو اتجاه بدأ في الربع الثاني من عام 2024، بينما استمر معدل النمو السنوي لرصيد الديون غير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الإسكانية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في الانخفاض للربع الثاني على التوالي، ولكنه ظل إيجابي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، وبلغ نحو 3.2%. (الشكل 5).</w:t>
      </w:r>
    </w:p>
    <w:p w:rsidR="004B1C81" w:rsidRPr="007F01AE" w:rsidRDefault="00466185" w:rsidP="00E10684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lastRenderedPageBreak/>
        <w:t xml:space="preserve">يُعزى ارتفاع ديون الإسكان إلى استمرار الحصول على قروض عقارية جديدة من البنوك، والتي بدأت في نهاية عام </w:t>
      </w:r>
      <w:r>
        <w:rPr>
          <w:rFonts w:ascii="Arial" w:hAnsi="Arial" w:cs="Arial" w:hint="cs"/>
          <w:sz w:val="24"/>
          <w:szCs w:val="24"/>
          <w:rtl/>
          <w:lang w:bidi="ar-SA"/>
        </w:rPr>
        <w:t>2023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وبلغت في الربع الثاني من العام بعد </w:t>
      </w:r>
      <w:r>
        <w:rPr>
          <w:rFonts w:ascii="Arial" w:hAnsi="Arial" w:cs="Arial" w:hint="cs"/>
          <w:sz w:val="24"/>
          <w:szCs w:val="24"/>
          <w:rtl/>
          <w:lang w:bidi="ar-SA"/>
        </w:rPr>
        <w:t>تعديلها موسمياً نحو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26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مليار شيكل، و</w:t>
      </w:r>
      <w:r w:rsidR="00E10684">
        <w:rPr>
          <w:rFonts w:ascii="Arial" w:hAnsi="Arial" w:cs="Arial" w:hint="cs"/>
          <w:sz w:val="24"/>
          <w:szCs w:val="24"/>
          <w:rtl/>
          <w:lang w:bidi="ar-SA"/>
        </w:rPr>
        <w:t>ذلك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أعلى بقليل من الفترة المقابلة من العام الماضي (حوالي </w:t>
      </w:r>
      <w:r>
        <w:rPr>
          <w:rFonts w:ascii="Arial" w:hAnsi="Arial" w:cs="Arial" w:hint="cs"/>
          <w:sz w:val="24"/>
          <w:szCs w:val="24"/>
          <w:rtl/>
          <w:lang w:bidi="ar-SA"/>
        </w:rPr>
        <w:t>21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مليار شيكل</w:t>
      </w:r>
      <w:r w:rsidR="003832C2" w:rsidRPr="007F01AE">
        <w:rPr>
          <w:rFonts w:ascii="Arial" w:hAnsi="Arial" w:cs="Arial"/>
          <w:sz w:val="24"/>
          <w:szCs w:val="24"/>
          <w:rtl/>
        </w:rPr>
        <w:t xml:space="preserve">). </w:t>
      </w:r>
    </w:p>
    <w:p w:rsidR="007F01AE" w:rsidRPr="007F01AE" w:rsidRDefault="00466185" w:rsidP="00E10684">
      <w:pPr>
        <w:pStyle w:val="a9"/>
        <w:bidi/>
        <w:spacing w:before="240" w:after="120" w:line="360" w:lineRule="auto"/>
        <w:rPr>
          <w:rFonts w:ascii="Arial" w:hAnsi="Arial" w:cs="Arial"/>
          <w:sz w:val="24"/>
          <w:szCs w:val="24"/>
          <w:lang w:bidi="ar-SA"/>
        </w:rPr>
      </w:pP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في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 xml:space="preserve">أشهر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تموز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آب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2025،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بلغ متوسط ​​الحصول على قروض عقارية جديدة من البنوك</w:t>
      </w:r>
      <w:r w:rsidR="00E10684"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بعد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تعديله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E10684">
        <w:rPr>
          <w:rFonts w:ascii="Arial" w:hAnsi="Arial" w:cs="Arial" w:hint="cs"/>
          <w:sz w:val="24"/>
          <w:szCs w:val="24"/>
          <w:rtl/>
          <w:lang w:bidi="ar-SA"/>
        </w:rPr>
        <w:t>موسمياً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حوالي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9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 مليارات شيكل شهري</w:t>
      </w:r>
      <w:r w:rsidR="00E10684">
        <w:rPr>
          <w:rFonts w:ascii="Arial" w:hAnsi="Arial" w:cs="Arial"/>
          <w:sz w:val="24"/>
          <w:szCs w:val="24"/>
          <w:rtl/>
          <w:lang w:bidi="ar-SA"/>
        </w:rPr>
        <w:t>اً</w:t>
      </w:r>
      <w:r w:rsidRPr="007F01AE">
        <w:rPr>
          <w:rFonts w:ascii="Arial" w:hAnsi="Arial" w:cs="Arial"/>
          <w:sz w:val="24"/>
          <w:szCs w:val="24"/>
          <w:rtl/>
          <w:lang w:bidi="ar-SA"/>
        </w:rPr>
        <w:t xml:space="preserve">. (الشكل </w:t>
      </w:r>
      <w:r w:rsidR="004E5AE1">
        <w:rPr>
          <w:rFonts w:ascii="Arial" w:hAnsi="Arial" w:cs="Arial" w:hint="cs"/>
          <w:sz w:val="24"/>
          <w:szCs w:val="24"/>
          <w:rtl/>
          <w:lang w:bidi="ar-SA"/>
        </w:rPr>
        <w:t>6</w:t>
      </w:r>
      <w:r w:rsidRPr="007F01AE">
        <w:rPr>
          <w:rFonts w:ascii="Arial" w:hAnsi="Arial" w:cs="Arial"/>
          <w:sz w:val="24"/>
          <w:szCs w:val="24"/>
          <w:rtl/>
          <w:lang w:bidi="ar-SA"/>
        </w:rPr>
        <w:t>).</w:t>
      </w:r>
    </w:p>
    <w:p w:rsidR="00FF4A03" w:rsidRPr="007F01AE" w:rsidRDefault="00FF4A03" w:rsidP="00FF4A03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E149DD" w:rsidRPr="007F01AE" w:rsidRDefault="00466185" w:rsidP="00FF4A03">
      <w:pPr>
        <w:bidi/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الجدول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أرصدة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ديون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الأسر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 </w:t>
      </w:r>
      <w:r w:rsidR="00AC3E61" w:rsidRPr="007F01AE">
        <w:rPr>
          <w:rFonts w:ascii="Arial" w:hAnsi="Arial" w:cs="Arial"/>
          <w:b/>
          <w:bCs/>
          <w:sz w:val="24"/>
          <w:szCs w:val="24"/>
          <w:vertAlign w:val="superscript"/>
          <w:rtl/>
        </w:rPr>
        <w:t>1</w:t>
      </w:r>
      <w:r w:rsidR="009653F5" w:rsidRPr="007F01AE">
        <w:rPr>
          <w:rFonts w:ascii="Arial" w:hAnsi="Arial" w:cs="Arial"/>
          <w:sz w:val="24"/>
          <w:szCs w:val="24"/>
        </w:rPr>
        <w:t xml:space="preserve"> </w:t>
      </w:r>
    </w:p>
    <w:p w:rsidR="00D46A28" w:rsidRPr="007F01AE" w:rsidRDefault="00466185" w:rsidP="00DC51E3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7F01AE">
        <w:rPr>
          <w:rFonts w:ascii="Arial" w:hAnsi="Arial" w:cs="Arial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4840289"/>
            <wp:effectExtent l="0" t="0" r="0" b="0"/>
            <wp:docPr id="14" name="תמונה 14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7F01AE" w:rsidRDefault="00D46A28" w:rsidP="00D46A28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941A49" w:rsidRPr="007F01AE" w:rsidRDefault="00941A49" w:rsidP="00D46A28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C2431" w:rsidRPr="007F01AE" w:rsidRDefault="00DC2431" w:rsidP="0007039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C2431" w:rsidRPr="007F01AE" w:rsidRDefault="00DC2431" w:rsidP="00DC243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Pr="007F01AE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827F5E" w:rsidRPr="007F01AE" w:rsidRDefault="00827F5E" w:rsidP="00827F5E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827F5E" w:rsidRPr="007F01AE" w:rsidRDefault="00827F5E" w:rsidP="00827F5E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Pr="007F01AE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Pr="007F01AE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Pr="007F01AE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A26F1C" w:rsidRPr="007F01AE" w:rsidRDefault="00A26F1C" w:rsidP="00A26F1C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A26F1C" w:rsidRPr="007F01AE" w:rsidRDefault="00A26F1C" w:rsidP="00A26F1C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A26F1C" w:rsidRPr="007F01AE" w:rsidRDefault="00A26F1C" w:rsidP="00A26F1C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Pr="007F01AE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F01AE" w:rsidRPr="007F01AE" w:rsidRDefault="00466185" w:rsidP="007F01AE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5: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 xml:space="preserve">في ديون الأسر الإسكانية وغير الإسكانية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المماثل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ascii="Calibri" w:hAnsi="Calibri"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Times New Roman" w:hint="cs"/>
          <w:b/>
          <w:bCs/>
          <w:sz w:val="24"/>
          <w:szCs w:val="24"/>
          <w:rtl/>
          <w:lang w:bidi="ar-SA"/>
        </w:rPr>
        <w:t>السابق</w:t>
      </w:r>
    </w:p>
    <w:p w:rsidR="00F619D6" w:rsidRPr="007F01AE" w:rsidRDefault="00F619D6" w:rsidP="00F619D6">
      <w:pPr>
        <w:bidi/>
        <w:jc w:val="center"/>
        <w:rPr>
          <w:rFonts w:ascii="Arial" w:hAnsi="Arial" w:cs="Arial"/>
          <w:b/>
          <w:bCs/>
          <w:sz w:val="24"/>
          <w:szCs w:val="24"/>
        </w:rPr>
      </w:pPr>
    </w:p>
    <w:p w:rsidR="00C10811" w:rsidRPr="007F01AE" w:rsidRDefault="00466185" w:rsidP="00B33FA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7F01AE">
        <w:rPr>
          <w:rFonts w:ascii="Arial" w:hAnsi="Arial" w:cs="Arial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255260" cy="2731135"/>
            <wp:effectExtent l="0" t="0" r="2540" b="0"/>
            <wp:docPr id="15" name="תמונה 15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7F01AE" w:rsidRDefault="00C10811" w:rsidP="00C1081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F01AE" w:rsidRPr="007F01AE" w:rsidRDefault="00466185" w:rsidP="007F01AE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6: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حجم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القروض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الجديدة</w:t>
      </w:r>
      <w:r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 التي منحتها البنوك للجمهور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لشراء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شقة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سكنية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(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الرهون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العقارية</w:t>
      </w:r>
      <w:r w:rsidRPr="004844D6">
        <w:rPr>
          <w:rFonts w:ascii="Calibri" w:hAnsi="Calibri" w:cs="Arial"/>
          <w:b/>
          <w:bCs/>
          <w:sz w:val="24"/>
          <w:szCs w:val="24"/>
          <w:rtl/>
          <w:lang w:bidi="ar-SA"/>
        </w:rPr>
        <w:t>)</w:t>
      </w:r>
    </w:p>
    <w:p w:rsidR="002022F7" w:rsidRPr="007F01AE" w:rsidRDefault="00466185" w:rsidP="00AD6881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  <w:bookmarkStart w:id="0" w:name="_GoBack"/>
      <w:r w:rsidRPr="007F01AE">
        <w:rPr>
          <w:rFonts w:ascii="Arial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699932</wp:posOffset>
            </wp:positionH>
            <wp:positionV relativeFrom="paragraph">
              <wp:posOffset>314798</wp:posOffset>
            </wp:positionV>
            <wp:extent cx="5248910" cy="2712720"/>
            <wp:effectExtent l="0" t="0" r="8890" b="0"/>
            <wp:wrapTight wrapText="bothSides">
              <wp:wrapPolygon edited="0">
                <wp:start x="0" y="0"/>
                <wp:lineTo x="0" y="21388"/>
                <wp:lineTo x="21558" y="21388"/>
                <wp:lineTo x="21558" y="0"/>
                <wp:lineTo x="0" y="0"/>
              </wp:wrapPolygon>
            </wp:wrapTight>
            <wp:docPr id="1" name="תמונה 1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2022F7" w:rsidRPr="007F01AE" w:rsidRDefault="002022F7" w:rsidP="002022F7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37366E" w:rsidRPr="007F01AE" w:rsidRDefault="0037366E" w:rsidP="0037366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37366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65142E" w:rsidRPr="007F01AE" w:rsidRDefault="0065142E" w:rsidP="0065142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</w:rPr>
      </w:pPr>
    </w:p>
    <w:p w:rsidR="007F01AE" w:rsidRPr="004844D6" w:rsidRDefault="00466185" w:rsidP="004E5AE1">
      <w:pPr>
        <w:pStyle w:val="a9"/>
        <w:bidi/>
        <w:spacing w:before="480" w:line="360" w:lineRule="auto"/>
        <w:ind w:left="0"/>
        <w:rPr>
          <w:rFonts w:ascii="Calibri" w:hAnsi="Calibri"/>
          <w:sz w:val="24"/>
          <w:szCs w:val="24"/>
          <w:rtl/>
          <w:lang w:bidi="ar-SA"/>
        </w:rPr>
      </w:pP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راجع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لمزيد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حول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الموضوع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موقع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البنك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صفحة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7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أرصدة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الائتمان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في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النظام الاقتصادي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8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الرهن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العقاري</w:t>
        </w:r>
      </w:hyperlink>
      <w:r w:rsidRPr="004844D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844D6">
        <w:rPr>
          <w:rFonts w:ascii="Calibri" w:hAnsi="Calibri" w:cs="Arial" w:hint="cs"/>
          <w:sz w:val="24"/>
          <w:szCs w:val="24"/>
          <w:rtl/>
          <w:lang w:bidi="ar-SA"/>
        </w:rPr>
        <w:t>رابط</w:t>
      </w:r>
      <w:r w:rsidRPr="004844D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hyperlink r:id="rId19" w:anchor="mainContent" w:history="1"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أسعار</w:t>
        </w:r>
        <w:r w:rsidRPr="00642297">
          <w:rPr>
            <w:rStyle w:val="Hyperlink"/>
            <w:rFonts w:ascii="Calibri" w:hAnsi="Calibri" w:cs="Arial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البن</w:t>
        </w:r>
        <w:r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و</w:t>
        </w:r>
        <w:r w:rsidRPr="00642297">
          <w:rPr>
            <w:rStyle w:val="Hyperlink"/>
            <w:rFonts w:ascii="Calibri" w:hAnsi="Calibri" w:cs="Arial" w:hint="cs"/>
            <w:sz w:val="24"/>
            <w:szCs w:val="24"/>
            <w:rtl/>
            <w:lang w:bidi="ar-SA"/>
          </w:rPr>
          <w:t>ك</w:t>
        </w:r>
      </w:hyperlink>
      <w:r w:rsidRPr="004844D6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7F01AE" w:rsidRPr="007F01AE" w:rsidRDefault="007F01AE" w:rsidP="007F01AE">
      <w:pPr>
        <w:pStyle w:val="a9"/>
        <w:bidi/>
        <w:spacing w:before="480" w:line="360" w:lineRule="auto"/>
        <w:ind w:left="0"/>
        <w:rPr>
          <w:rFonts w:ascii="Arial" w:hAnsi="Arial" w:cs="Arial"/>
          <w:sz w:val="24"/>
          <w:szCs w:val="24"/>
          <w:rtl/>
          <w:lang w:bidi="ar-SA"/>
        </w:rPr>
      </w:pPr>
    </w:p>
    <w:sectPr w:rsidR="007F01AE" w:rsidRPr="007F01AE" w:rsidSect="0065142E">
      <w:footerReference w:type="default" r:id="rId20"/>
      <w:pgSz w:w="11906" w:h="16838"/>
      <w:pgMar w:top="720" w:right="720" w:bottom="720" w:left="720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6185">
      <w:r>
        <w:separator/>
      </w:r>
    </w:p>
  </w:endnote>
  <w:endnote w:type="continuationSeparator" w:id="0">
    <w:p w:rsidR="00000000" w:rsidRDefault="0046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466185" w:rsidP="00FF7373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EE5F80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FF7373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שני</w:t>
            </w:r>
            <w:r w:rsidR="00DD77B1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EE5F80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2025</w:t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82" w:rsidRDefault="00466185" w:rsidP="00C04A6B">
      <w:r>
        <w:separator/>
      </w:r>
    </w:p>
  </w:footnote>
  <w:footnote w:type="continuationSeparator" w:id="0">
    <w:p w:rsidR="00277682" w:rsidRDefault="00466185" w:rsidP="00C04A6B">
      <w:r>
        <w:continuationSeparator/>
      </w:r>
    </w:p>
  </w:footnote>
  <w:footnote w:id="1">
    <w:p w:rsidR="00474B96" w:rsidRPr="002A66CB" w:rsidRDefault="00466185" w:rsidP="002A66CB">
      <w:pPr>
        <w:pStyle w:val="af0"/>
        <w:tabs>
          <w:tab w:val="center" w:pos="5233"/>
        </w:tabs>
        <w:bidi/>
        <w:rPr>
          <w:rFonts w:asciiTheme="minorHAnsi" w:hAnsiTheme="minorHAnsi" w:cstheme="minorHAnsi"/>
          <w:sz w:val="16"/>
          <w:szCs w:val="16"/>
          <w:rtl/>
        </w:rPr>
      </w:pPr>
      <w:r w:rsidRPr="002A66CB">
        <w:rPr>
          <w:rStyle w:val="af2"/>
          <w:rFonts w:asciiTheme="minorHAnsi" w:hAnsiTheme="minorHAnsi" w:cstheme="minorHAnsi"/>
          <w:sz w:val="16"/>
          <w:szCs w:val="16"/>
        </w:rPr>
        <w:footnoteRef/>
      </w:r>
      <w:r w:rsidR="002A66CB">
        <w:rPr>
          <w:rFonts w:asciiTheme="minorHAnsi" w:hAnsiTheme="minorHAnsi" w:cs="Times New Roman" w:hint="cs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Theme="minorHAnsi" w:hAnsiTheme="minorHAnsi" w:cs="Times New Roman" w:hint="cs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الشركات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التجارية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الإسرائيلية،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بدون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البنوك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وشركات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بطاقات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الائتمان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وشركات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التأمين</w:t>
      </w:r>
      <w:r w:rsidRPr="002A66CB">
        <w:rPr>
          <w:rFonts w:asciiTheme="minorHAnsi" w:hAnsiTheme="minorHAnsi" w:cstheme="minorHAnsi"/>
          <w:sz w:val="16"/>
          <w:szCs w:val="16"/>
          <w:rtl/>
        </w:rPr>
        <w:t>.</w:t>
      </w:r>
      <w:r w:rsidR="002A66CB">
        <w:rPr>
          <w:rFonts w:asciiTheme="minorHAnsi" w:hAnsiTheme="minorHAnsi" w:cs="Times New Roman"/>
          <w:sz w:val="16"/>
          <w:szCs w:val="16"/>
          <w:rtl/>
        </w:rPr>
        <w:tab/>
      </w:r>
    </w:p>
  </w:footnote>
  <w:footnote w:id="2">
    <w:p w:rsidR="003E41B2" w:rsidRPr="002A66CB" w:rsidRDefault="00466185" w:rsidP="002A66CB">
      <w:pPr>
        <w:pStyle w:val="af0"/>
        <w:bidi/>
        <w:rPr>
          <w:rFonts w:asciiTheme="minorHAnsi" w:hAnsiTheme="minorHAnsi" w:cstheme="minorHAnsi"/>
          <w:sz w:val="16"/>
          <w:szCs w:val="16"/>
          <w:rtl/>
        </w:rPr>
      </w:pPr>
      <w:r w:rsidRPr="002A66CB">
        <w:rPr>
          <w:rStyle w:val="af2"/>
          <w:rFonts w:asciiTheme="minorHAnsi" w:hAnsiTheme="minorHAnsi" w:cstheme="minorHAnsi"/>
          <w:sz w:val="16"/>
          <w:szCs w:val="16"/>
        </w:rPr>
        <w:footnoteRef/>
      </w:r>
      <w:r w:rsidRPr="002A66CB">
        <w:rPr>
          <w:rFonts w:asciiTheme="minorHAnsi" w:hAnsiTheme="minorHAnsi" w:cs="Times New Roman"/>
          <w:sz w:val="16"/>
          <w:szCs w:val="16"/>
          <w:rtl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يتم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احتساب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الأرصدة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المرتبطة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بالمؤشر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على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أساس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المؤشر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المعروف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عند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إعداد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التقارير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المالية،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وبالتالي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فإن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التغير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مؤشر الاسعار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يشير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إلى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التغير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بين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المؤشر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المعروف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والمؤشر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الشهر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الذي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سبقه</w:t>
      </w:r>
      <w:r w:rsidRPr="002A66CB">
        <w:rPr>
          <w:rFonts w:asciiTheme="minorHAnsi" w:hAnsiTheme="minorHAnsi" w:cstheme="minorHAnsi"/>
          <w:sz w:val="16"/>
          <w:szCs w:val="16"/>
          <w:rtl/>
        </w:rPr>
        <w:t>.</w:t>
      </w:r>
    </w:p>
  </w:footnote>
  <w:footnote w:id="3">
    <w:p w:rsidR="00884ED4" w:rsidRPr="0065142E" w:rsidRDefault="00466185" w:rsidP="002A66CB">
      <w:pPr>
        <w:pStyle w:val="af0"/>
        <w:bidi/>
        <w:rPr>
          <w:rFonts w:asciiTheme="minorHAnsi" w:hAnsiTheme="minorHAnsi" w:cstheme="minorHAnsi"/>
          <w:sz w:val="16"/>
          <w:szCs w:val="16"/>
        </w:rPr>
      </w:pPr>
      <w:r w:rsidRPr="0065142E">
        <w:rPr>
          <w:rStyle w:val="af2"/>
          <w:rFonts w:asciiTheme="minorHAnsi" w:hAnsiTheme="minorHAnsi" w:cstheme="minorHAnsi"/>
          <w:sz w:val="16"/>
          <w:szCs w:val="16"/>
        </w:rPr>
        <w:footnoteRef/>
      </w:r>
      <w:r w:rsidR="002A66CB">
        <w:rPr>
          <w:rFonts w:asciiTheme="minorHAnsi" w:hAnsiTheme="minorHAnsi" w:cs="Times New Roman" w:hint="cs"/>
          <w:sz w:val="16"/>
          <w:szCs w:val="16"/>
          <w:rtl/>
          <w:lang w:bidi="ar-SA"/>
        </w:rPr>
        <w:t xml:space="preserve"> </w:t>
      </w:r>
      <w:r w:rsidR="007F01AE">
        <w:rPr>
          <w:rFonts w:asciiTheme="minorHAnsi" w:hAnsiTheme="minorHAnsi" w:cs="Times New Roman" w:hint="cs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يتم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حساب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التغير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الهامش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من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ربع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إلى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آخر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على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أنه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الفرق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بين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متوسط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​​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الهامش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الشهر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الأخير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من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الربع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الذي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شمله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التقرير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ومتوسط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​​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الهامش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في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الشهر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الأخير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من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الربع</w:t>
      </w:r>
      <w:r w:rsidR="007F01AE" w:rsidRPr="002A66CB">
        <w:rPr>
          <w:rFonts w:ascii="Calibri" w:hAnsi="Calibri" w:cs="Arial"/>
          <w:sz w:val="16"/>
          <w:szCs w:val="16"/>
          <w:rtl/>
          <w:lang w:bidi="ar-SA"/>
        </w:rPr>
        <w:t xml:space="preserve"> </w:t>
      </w:r>
      <w:r w:rsidR="007F01AE" w:rsidRPr="002A66CB">
        <w:rPr>
          <w:rFonts w:ascii="Calibri" w:hAnsi="Calibri" w:cs="Arial" w:hint="cs"/>
          <w:sz w:val="16"/>
          <w:szCs w:val="16"/>
          <w:rtl/>
          <w:lang w:bidi="ar-SA"/>
        </w:rPr>
        <w:t>السابق</w:t>
      </w:r>
      <w:r w:rsidR="00886C7A" w:rsidRPr="002A66CB">
        <w:rPr>
          <w:rFonts w:asciiTheme="minorHAnsi" w:hAnsiTheme="minorHAnsi" w:cstheme="minorHAnsi"/>
          <w:sz w:val="16"/>
          <w:szCs w:val="16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6BFAC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A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86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A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8A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0D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3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07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27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C61E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236A2" w:tentative="1">
      <w:start w:val="1"/>
      <w:numFmt w:val="lowerLetter"/>
      <w:lvlText w:val="%2."/>
      <w:lvlJc w:val="left"/>
      <w:pPr>
        <w:ind w:left="1440" w:hanging="360"/>
      </w:pPr>
    </w:lvl>
    <w:lvl w:ilvl="2" w:tplc="5B728E00" w:tentative="1">
      <w:start w:val="1"/>
      <w:numFmt w:val="lowerRoman"/>
      <w:lvlText w:val="%3."/>
      <w:lvlJc w:val="right"/>
      <w:pPr>
        <w:ind w:left="2160" w:hanging="180"/>
      </w:pPr>
    </w:lvl>
    <w:lvl w:ilvl="3" w:tplc="FB266CDA" w:tentative="1">
      <w:start w:val="1"/>
      <w:numFmt w:val="decimal"/>
      <w:lvlText w:val="%4."/>
      <w:lvlJc w:val="left"/>
      <w:pPr>
        <w:ind w:left="2880" w:hanging="360"/>
      </w:pPr>
    </w:lvl>
    <w:lvl w:ilvl="4" w:tplc="55BA59FA" w:tentative="1">
      <w:start w:val="1"/>
      <w:numFmt w:val="lowerLetter"/>
      <w:lvlText w:val="%5."/>
      <w:lvlJc w:val="left"/>
      <w:pPr>
        <w:ind w:left="3600" w:hanging="360"/>
      </w:pPr>
    </w:lvl>
    <w:lvl w:ilvl="5" w:tplc="4FC48A4C" w:tentative="1">
      <w:start w:val="1"/>
      <w:numFmt w:val="lowerRoman"/>
      <w:lvlText w:val="%6."/>
      <w:lvlJc w:val="right"/>
      <w:pPr>
        <w:ind w:left="4320" w:hanging="180"/>
      </w:pPr>
    </w:lvl>
    <w:lvl w:ilvl="6" w:tplc="E6BE8CB4" w:tentative="1">
      <w:start w:val="1"/>
      <w:numFmt w:val="decimal"/>
      <w:lvlText w:val="%7."/>
      <w:lvlJc w:val="left"/>
      <w:pPr>
        <w:ind w:left="5040" w:hanging="360"/>
      </w:pPr>
    </w:lvl>
    <w:lvl w:ilvl="7" w:tplc="5B506508" w:tentative="1">
      <w:start w:val="1"/>
      <w:numFmt w:val="lowerLetter"/>
      <w:lvlText w:val="%8."/>
      <w:lvlJc w:val="left"/>
      <w:pPr>
        <w:ind w:left="5760" w:hanging="360"/>
      </w:pPr>
    </w:lvl>
    <w:lvl w:ilvl="8" w:tplc="5A028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36E675F4">
      <w:start w:val="1"/>
      <w:numFmt w:val="decimal"/>
      <w:lvlText w:val="%1."/>
      <w:lvlJc w:val="left"/>
      <w:pPr>
        <w:ind w:left="720" w:hanging="360"/>
      </w:pPr>
    </w:lvl>
    <w:lvl w:ilvl="1" w:tplc="AB06988C" w:tentative="1">
      <w:start w:val="1"/>
      <w:numFmt w:val="lowerLetter"/>
      <w:lvlText w:val="%2."/>
      <w:lvlJc w:val="left"/>
      <w:pPr>
        <w:ind w:left="1440" w:hanging="360"/>
      </w:pPr>
    </w:lvl>
    <w:lvl w:ilvl="2" w:tplc="BAC224A8" w:tentative="1">
      <w:start w:val="1"/>
      <w:numFmt w:val="lowerRoman"/>
      <w:lvlText w:val="%3."/>
      <w:lvlJc w:val="right"/>
      <w:pPr>
        <w:ind w:left="2160" w:hanging="180"/>
      </w:pPr>
    </w:lvl>
    <w:lvl w:ilvl="3" w:tplc="C5CC98EE" w:tentative="1">
      <w:start w:val="1"/>
      <w:numFmt w:val="decimal"/>
      <w:lvlText w:val="%4."/>
      <w:lvlJc w:val="left"/>
      <w:pPr>
        <w:ind w:left="2880" w:hanging="360"/>
      </w:pPr>
    </w:lvl>
    <w:lvl w:ilvl="4" w:tplc="6F72F040" w:tentative="1">
      <w:start w:val="1"/>
      <w:numFmt w:val="lowerLetter"/>
      <w:lvlText w:val="%5."/>
      <w:lvlJc w:val="left"/>
      <w:pPr>
        <w:ind w:left="3600" w:hanging="360"/>
      </w:pPr>
    </w:lvl>
    <w:lvl w:ilvl="5" w:tplc="8216ED1A" w:tentative="1">
      <w:start w:val="1"/>
      <w:numFmt w:val="lowerRoman"/>
      <w:lvlText w:val="%6."/>
      <w:lvlJc w:val="right"/>
      <w:pPr>
        <w:ind w:left="4320" w:hanging="180"/>
      </w:pPr>
    </w:lvl>
    <w:lvl w:ilvl="6" w:tplc="9C200334" w:tentative="1">
      <w:start w:val="1"/>
      <w:numFmt w:val="decimal"/>
      <w:lvlText w:val="%7."/>
      <w:lvlJc w:val="left"/>
      <w:pPr>
        <w:ind w:left="5040" w:hanging="360"/>
      </w:pPr>
    </w:lvl>
    <w:lvl w:ilvl="7" w:tplc="1D56E5AE" w:tentative="1">
      <w:start w:val="1"/>
      <w:numFmt w:val="lowerLetter"/>
      <w:lvlText w:val="%8."/>
      <w:lvlJc w:val="left"/>
      <w:pPr>
        <w:ind w:left="5760" w:hanging="360"/>
      </w:pPr>
    </w:lvl>
    <w:lvl w:ilvl="8" w:tplc="F84AE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ED9611A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8F10CD72" w:tentative="1">
      <w:start w:val="1"/>
      <w:numFmt w:val="lowerLetter"/>
      <w:lvlText w:val="%2."/>
      <w:lvlJc w:val="left"/>
      <w:pPr>
        <w:ind w:left="1080" w:hanging="360"/>
      </w:pPr>
    </w:lvl>
    <w:lvl w:ilvl="2" w:tplc="3DE04808" w:tentative="1">
      <w:start w:val="1"/>
      <w:numFmt w:val="lowerRoman"/>
      <w:lvlText w:val="%3."/>
      <w:lvlJc w:val="right"/>
      <w:pPr>
        <w:ind w:left="1800" w:hanging="180"/>
      </w:pPr>
    </w:lvl>
    <w:lvl w:ilvl="3" w:tplc="A6A452E0" w:tentative="1">
      <w:start w:val="1"/>
      <w:numFmt w:val="decimal"/>
      <w:lvlText w:val="%4."/>
      <w:lvlJc w:val="left"/>
      <w:pPr>
        <w:ind w:left="2520" w:hanging="360"/>
      </w:pPr>
    </w:lvl>
    <w:lvl w:ilvl="4" w:tplc="DE32D87E" w:tentative="1">
      <w:start w:val="1"/>
      <w:numFmt w:val="lowerLetter"/>
      <w:lvlText w:val="%5."/>
      <w:lvlJc w:val="left"/>
      <w:pPr>
        <w:ind w:left="3240" w:hanging="360"/>
      </w:pPr>
    </w:lvl>
    <w:lvl w:ilvl="5" w:tplc="EFB4963A" w:tentative="1">
      <w:start w:val="1"/>
      <w:numFmt w:val="lowerRoman"/>
      <w:lvlText w:val="%6."/>
      <w:lvlJc w:val="right"/>
      <w:pPr>
        <w:ind w:left="3960" w:hanging="180"/>
      </w:pPr>
    </w:lvl>
    <w:lvl w:ilvl="6" w:tplc="9D44ABA0" w:tentative="1">
      <w:start w:val="1"/>
      <w:numFmt w:val="decimal"/>
      <w:lvlText w:val="%7."/>
      <w:lvlJc w:val="left"/>
      <w:pPr>
        <w:ind w:left="4680" w:hanging="360"/>
      </w:pPr>
    </w:lvl>
    <w:lvl w:ilvl="7" w:tplc="A53433C8" w:tentative="1">
      <w:start w:val="1"/>
      <w:numFmt w:val="lowerLetter"/>
      <w:lvlText w:val="%8."/>
      <w:lvlJc w:val="left"/>
      <w:pPr>
        <w:ind w:left="5400" w:hanging="360"/>
      </w:pPr>
    </w:lvl>
    <w:lvl w:ilvl="8" w:tplc="F3769E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1146E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BEDA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3A96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5A16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C84F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8B6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0674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8A8C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1E9C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45845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887A2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0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0D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28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CB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0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45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ED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CFD47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121B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FCA8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2C21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889C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98E9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3E6B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82AA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0CC3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E74A8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F9EA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4682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528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5085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1214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3069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1EBA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94EBC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14CE91F4">
      <w:start w:val="1"/>
      <w:numFmt w:val="decimal"/>
      <w:lvlText w:val="%1."/>
      <w:lvlJc w:val="left"/>
      <w:pPr>
        <w:ind w:left="720" w:hanging="360"/>
      </w:pPr>
    </w:lvl>
    <w:lvl w:ilvl="1" w:tplc="E2963856" w:tentative="1">
      <w:start w:val="1"/>
      <w:numFmt w:val="lowerLetter"/>
      <w:lvlText w:val="%2."/>
      <w:lvlJc w:val="left"/>
      <w:pPr>
        <w:ind w:left="1440" w:hanging="360"/>
      </w:pPr>
    </w:lvl>
    <w:lvl w:ilvl="2" w:tplc="959873F2" w:tentative="1">
      <w:start w:val="1"/>
      <w:numFmt w:val="lowerRoman"/>
      <w:lvlText w:val="%3."/>
      <w:lvlJc w:val="right"/>
      <w:pPr>
        <w:ind w:left="2160" w:hanging="180"/>
      </w:pPr>
    </w:lvl>
    <w:lvl w:ilvl="3" w:tplc="6C9E6094" w:tentative="1">
      <w:start w:val="1"/>
      <w:numFmt w:val="decimal"/>
      <w:lvlText w:val="%4."/>
      <w:lvlJc w:val="left"/>
      <w:pPr>
        <w:ind w:left="2880" w:hanging="360"/>
      </w:pPr>
    </w:lvl>
    <w:lvl w:ilvl="4" w:tplc="735ABD32" w:tentative="1">
      <w:start w:val="1"/>
      <w:numFmt w:val="lowerLetter"/>
      <w:lvlText w:val="%5."/>
      <w:lvlJc w:val="left"/>
      <w:pPr>
        <w:ind w:left="3600" w:hanging="360"/>
      </w:pPr>
    </w:lvl>
    <w:lvl w:ilvl="5" w:tplc="D01C6ACA" w:tentative="1">
      <w:start w:val="1"/>
      <w:numFmt w:val="lowerRoman"/>
      <w:lvlText w:val="%6."/>
      <w:lvlJc w:val="right"/>
      <w:pPr>
        <w:ind w:left="4320" w:hanging="180"/>
      </w:pPr>
    </w:lvl>
    <w:lvl w:ilvl="6" w:tplc="2FC85268" w:tentative="1">
      <w:start w:val="1"/>
      <w:numFmt w:val="decimal"/>
      <w:lvlText w:val="%7."/>
      <w:lvlJc w:val="left"/>
      <w:pPr>
        <w:ind w:left="5040" w:hanging="360"/>
      </w:pPr>
    </w:lvl>
    <w:lvl w:ilvl="7" w:tplc="D1C04C34" w:tentative="1">
      <w:start w:val="1"/>
      <w:numFmt w:val="lowerLetter"/>
      <w:lvlText w:val="%8."/>
      <w:lvlJc w:val="left"/>
      <w:pPr>
        <w:ind w:left="5760" w:hanging="360"/>
      </w:pPr>
    </w:lvl>
    <w:lvl w:ilvl="8" w:tplc="B5FAD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1910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68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6F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6D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5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6E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7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0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66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1468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08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CC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B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D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01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F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28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8E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56CAE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2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6A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7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1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C1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EC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24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4E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106C4758">
      <w:start w:val="1"/>
      <w:numFmt w:val="decimal"/>
      <w:lvlText w:val="%1."/>
      <w:lvlJc w:val="left"/>
      <w:pPr>
        <w:ind w:left="720" w:hanging="360"/>
      </w:pPr>
    </w:lvl>
    <w:lvl w:ilvl="1" w:tplc="48B6C3CE" w:tentative="1">
      <w:start w:val="1"/>
      <w:numFmt w:val="lowerLetter"/>
      <w:lvlText w:val="%2."/>
      <w:lvlJc w:val="left"/>
      <w:pPr>
        <w:ind w:left="1440" w:hanging="360"/>
      </w:pPr>
    </w:lvl>
    <w:lvl w:ilvl="2" w:tplc="588666EA" w:tentative="1">
      <w:start w:val="1"/>
      <w:numFmt w:val="lowerRoman"/>
      <w:lvlText w:val="%3."/>
      <w:lvlJc w:val="right"/>
      <w:pPr>
        <w:ind w:left="2160" w:hanging="180"/>
      </w:pPr>
    </w:lvl>
    <w:lvl w:ilvl="3" w:tplc="BA12BCDE" w:tentative="1">
      <w:start w:val="1"/>
      <w:numFmt w:val="decimal"/>
      <w:lvlText w:val="%4."/>
      <w:lvlJc w:val="left"/>
      <w:pPr>
        <w:ind w:left="2880" w:hanging="360"/>
      </w:pPr>
    </w:lvl>
    <w:lvl w:ilvl="4" w:tplc="107003F2" w:tentative="1">
      <w:start w:val="1"/>
      <w:numFmt w:val="lowerLetter"/>
      <w:lvlText w:val="%5."/>
      <w:lvlJc w:val="left"/>
      <w:pPr>
        <w:ind w:left="3600" w:hanging="360"/>
      </w:pPr>
    </w:lvl>
    <w:lvl w:ilvl="5" w:tplc="B3DC7A98" w:tentative="1">
      <w:start w:val="1"/>
      <w:numFmt w:val="lowerRoman"/>
      <w:lvlText w:val="%6."/>
      <w:lvlJc w:val="right"/>
      <w:pPr>
        <w:ind w:left="4320" w:hanging="180"/>
      </w:pPr>
    </w:lvl>
    <w:lvl w:ilvl="6" w:tplc="746CF32E" w:tentative="1">
      <w:start w:val="1"/>
      <w:numFmt w:val="decimal"/>
      <w:lvlText w:val="%7."/>
      <w:lvlJc w:val="left"/>
      <w:pPr>
        <w:ind w:left="5040" w:hanging="360"/>
      </w:pPr>
    </w:lvl>
    <w:lvl w:ilvl="7" w:tplc="C02CE0FA" w:tentative="1">
      <w:start w:val="1"/>
      <w:numFmt w:val="lowerLetter"/>
      <w:lvlText w:val="%8."/>
      <w:lvlJc w:val="left"/>
      <w:pPr>
        <w:ind w:left="5760" w:hanging="360"/>
      </w:pPr>
    </w:lvl>
    <w:lvl w:ilvl="8" w:tplc="8D92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4E883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B832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38426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3C9A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FA1C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92A5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AC66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42FC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EDC5D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253CF8F8">
      <w:start w:val="1"/>
      <w:numFmt w:val="hebrew1"/>
      <w:lvlText w:val="%1."/>
      <w:lvlJc w:val="center"/>
      <w:pPr>
        <w:ind w:left="1440" w:hanging="360"/>
      </w:pPr>
    </w:lvl>
    <w:lvl w:ilvl="1" w:tplc="F8B0371A" w:tentative="1">
      <w:start w:val="1"/>
      <w:numFmt w:val="lowerLetter"/>
      <w:lvlText w:val="%2."/>
      <w:lvlJc w:val="left"/>
      <w:pPr>
        <w:ind w:left="2160" w:hanging="360"/>
      </w:pPr>
    </w:lvl>
    <w:lvl w:ilvl="2" w:tplc="7362DF8E" w:tentative="1">
      <w:start w:val="1"/>
      <w:numFmt w:val="lowerRoman"/>
      <w:lvlText w:val="%3."/>
      <w:lvlJc w:val="right"/>
      <w:pPr>
        <w:ind w:left="2880" w:hanging="180"/>
      </w:pPr>
    </w:lvl>
    <w:lvl w:ilvl="3" w:tplc="CAD4D548" w:tentative="1">
      <w:start w:val="1"/>
      <w:numFmt w:val="decimal"/>
      <w:lvlText w:val="%4."/>
      <w:lvlJc w:val="left"/>
      <w:pPr>
        <w:ind w:left="3600" w:hanging="360"/>
      </w:pPr>
    </w:lvl>
    <w:lvl w:ilvl="4" w:tplc="D1984E30" w:tentative="1">
      <w:start w:val="1"/>
      <w:numFmt w:val="lowerLetter"/>
      <w:lvlText w:val="%5."/>
      <w:lvlJc w:val="left"/>
      <w:pPr>
        <w:ind w:left="4320" w:hanging="360"/>
      </w:pPr>
    </w:lvl>
    <w:lvl w:ilvl="5" w:tplc="EFC04874" w:tentative="1">
      <w:start w:val="1"/>
      <w:numFmt w:val="lowerRoman"/>
      <w:lvlText w:val="%6."/>
      <w:lvlJc w:val="right"/>
      <w:pPr>
        <w:ind w:left="5040" w:hanging="180"/>
      </w:pPr>
    </w:lvl>
    <w:lvl w:ilvl="6" w:tplc="0F4A0A3C" w:tentative="1">
      <w:start w:val="1"/>
      <w:numFmt w:val="decimal"/>
      <w:lvlText w:val="%7."/>
      <w:lvlJc w:val="left"/>
      <w:pPr>
        <w:ind w:left="5760" w:hanging="360"/>
      </w:pPr>
    </w:lvl>
    <w:lvl w:ilvl="7" w:tplc="DB6AF4A4" w:tentative="1">
      <w:start w:val="1"/>
      <w:numFmt w:val="lowerLetter"/>
      <w:lvlText w:val="%8."/>
      <w:lvlJc w:val="left"/>
      <w:pPr>
        <w:ind w:left="6480" w:hanging="360"/>
      </w:pPr>
    </w:lvl>
    <w:lvl w:ilvl="8" w:tplc="F9DAB7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F726F81C"/>
    <w:lvl w:ilvl="0" w:tplc="817CFEA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3AAC85A" w:tentative="1">
      <w:start w:val="1"/>
      <w:numFmt w:val="lowerLetter"/>
      <w:lvlText w:val="%2."/>
      <w:lvlJc w:val="left"/>
      <w:pPr>
        <w:ind w:left="1440" w:hanging="360"/>
      </w:pPr>
    </w:lvl>
    <w:lvl w:ilvl="2" w:tplc="C0A4E13E" w:tentative="1">
      <w:start w:val="1"/>
      <w:numFmt w:val="lowerRoman"/>
      <w:lvlText w:val="%3."/>
      <w:lvlJc w:val="right"/>
      <w:pPr>
        <w:ind w:left="2160" w:hanging="180"/>
      </w:pPr>
    </w:lvl>
    <w:lvl w:ilvl="3" w:tplc="9926E458" w:tentative="1">
      <w:start w:val="1"/>
      <w:numFmt w:val="decimal"/>
      <w:lvlText w:val="%4."/>
      <w:lvlJc w:val="left"/>
      <w:pPr>
        <w:ind w:left="2880" w:hanging="360"/>
      </w:pPr>
    </w:lvl>
    <w:lvl w:ilvl="4" w:tplc="B6CAF01C" w:tentative="1">
      <w:start w:val="1"/>
      <w:numFmt w:val="lowerLetter"/>
      <w:lvlText w:val="%5."/>
      <w:lvlJc w:val="left"/>
      <w:pPr>
        <w:ind w:left="3600" w:hanging="360"/>
      </w:pPr>
    </w:lvl>
    <w:lvl w:ilvl="5" w:tplc="E5069DD8" w:tentative="1">
      <w:start w:val="1"/>
      <w:numFmt w:val="lowerRoman"/>
      <w:lvlText w:val="%6."/>
      <w:lvlJc w:val="right"/>
      <w:pPr>
        <w:ind w:left="4320" w:hanging="180"/>
      </w:pPr>
    </w:lvl>
    <w:lvl w:ilvl="6" w:tplc="FD508EE6" w:tentative="1">
      <w:start w:val="1"/>
      <w:numFmt w:val="decimal"/>
      <w:lvlText w:val="%7."/>
      <w:lvlJc w:val="left"/>
      <w:pPr>
        <w:ind w:left="5040" w:hanging="360"/>
      </w:pPr>
    </w:lvl>
    <w:lvl w:ilvl="7" w:tplc="8D3EE8DC" w:tentative="1">
      <w:start w:val="1"/>
      <w:numFmt w:val="lowerLetter"/>
      <w:lvlText w:val="%8."/>
      <w:lvlJc w:val="left"/>
      <w:pPr>
        <w:ind w:left="5760" w:hanging="360"/>
      </w:pPr>
    </w:lvl>
    <w:lvl w:ilvl="8" w:tplc="07D0F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F77262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202B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4081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9047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62DF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68D4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1001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0802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FC76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D586CB0">
      <w:start w:val="1"/>
      <w:numFmt w:val="decimal"/>
      <w:lvlText w:val="%1."/>
      <w:lvlJc w:val="left"/>
      <w:pPr>
        <w:ind w:left="720" w:hanging="360"/>
      </w:pPr>
    </w:lvl>
    <w:lvl w:ilvl="1" w:tplc="150EF73A" w:tentative="1">
      <w:start w:val="1"/>
      <w:numFmt w:val="lowerLetter"/>
      <w:lvlText w:val="%2."/>
      <w:lvlJc w:val="left"/>
      <w:pPr>
        <w:ind w:left="1440" w:hanging="360"/>
      </w:pPr>
    </w:lvl>
    <w:lvl w:ilvl="2" w:tplc="016C036A" w:tentative="1">
      <w:start w:val="1"/>
      <w:numFmt w:val="lowerRoman"/>
      <w:lvlText w:val="%3."/>
      <w:lvlJc w:val="right"/>
      <w:pPr>
        <w:ind w:left="2160" w:hanging="180"/>
      </w:pPr>
    </w:lvl>
    <w:lvl w:ilvl="3" w:tplc="77AEF396" w:tentative="1">
      <w:start w:val="1"/>
      <w:numFmt w:val="decimal"/>
      <w:lvlText w:val="%4."/>
      <w:lvlJc w:val="left"/>
      <w:pPr>
        <w:ind w:left="2880" w:hanging="360"/>
      </w:pPr>
    </w:lvl>
    <w:lvl w:ilvl="4" w:tplc="68946100" w:tentative="1">
      <w:start w:val="1"/>
      <w:numFmt w:val="lowerLetter"/>
      <w:lvlText w:val="%5."/>
      <w:lvlJc w:val="left"/>
      <w:pPr>
        <w:ind w:left="3600" w:hanging="360"/>
      </w:pPr>
    </w:lvl>
    <w:lvl w:ilvl="5" w:tplc="D8A26E84" w:tentative="1">
      <w:start w:val="1"/>
      <w:numFmt w:val="lowerRoman"/>
      <w:lvlText w:val="%6."/>
      <w:lvlJc w:val="right"/>
      <w:pPr>
        <w:ind w:left="4320" w:hanging="180"/>
      </w:pPr>
    </w:lvl>
    <w:lvl w:ilvl="6" w:tplc="5180F9CA" w:tentative="1">
      <w:start w:val="1"/>
      <w:numFmt w:val="decimal"/>
      <w:lvlText w:val="%7."/>
      <w:lvlJc w:val="left"/>
      <w:pPr>
        <w:ind w:left="5040" w:hanging="360"/>
      </w:pPr>
    </w:lvl>
    <w:lvl w:ilvl="7" w:tplc="433E1950" w:tentative="1">
      <w:start w:val="1"/>
      <w:numFmt w:val="lowerLetter"/>
      <w:lvlText w:val="%8."/>
      <w:lvlJc w:val="left"/>
      <w:pPr>
        <w:ind w:left="5760" w:hanging="360"/>
      </w:pPr>
    </w:lvl>
    <w:lvl w:ilvl="8" w:tplc="682847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2175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3A83"/>
    <w:rsid w:val="00025DCF"/>
    <w:rsid w:val="000265B2"/>
    <w:rsid w:val="00026A8C"/>
    <w:rsid w:val="00027743"/>
    <w:rsid w:val="00030B64"/>
    <w:rsid w:val="0003169C"/>
    <w:rsid w:val="00031B67"/>
    <w:rsid w:val="00031B7D"/>
    <w:rsid w:val="0003258B"/>
    <w:rsid w:val="000326C1"/>
    <w:rsid w:val="000331F5"/>
    <w:rsid w:val="00034E1E"/>
    <w:rsid w:val="00037E47"/>
    <w:rsid w:val="00040066"/>
    <w:rsid w:val="0004029A"/>
    <w:rsid w:val="000407A0"/>
    <w:rsid w:val="000418F2"/>
    <w:rsid w:val="00041E30"/>
    <w:rsid w:val="00042F59"/>
    <w:rsid w:val="0004490E"/>
    <w:rsid w:val="00045455"/>
    <w:rsid w:val="00045838"/>
    <w:rsid w:val="000471CF"/>
    <w:rsid w:val="0004723C"/>
    <w:rsid w:val="000504F2"/>
    <w:rsid w:val="00051063"/>
    <w:rsid w:val="0005169A"/>
    <w:rsid w:val="00052923"/>
    <w:rsid w:val="0005330D"/>
    <w:rsid w:val="000533F4"/>
    <w:rsid w:val="00053684"/>
    <w:rsid w:val="0005562A"/>
    <w:rsid w:val="0006001F"/>
    <w:rsid w:val="00060B8A"/>
    <w:rsid w:val="00060D8E"/>
    <w:rsid w:val="00061B2A"/>
    <w:rsid w:val="00061F4B"/>
    <w:rsid w:val="0006247F"/>
    <w:rsid w:val="000624C1"/>
    <w:rsid w:val="000630AB"/>
    <w:rsid w:val="0006338F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6FD8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4215"/>
    <w:rsid w:val="000944F3"/>
    <w:rsid w:val="00097E8B"/>
    <w:rsid w:val="000A0E51"/>
    <w:rsid w:val="000A4B97"/>
    <w:rsid w:val="000A4C37"/>
    <w:rsid w:val="000A588A"/>
    <w:rsid w:val="000B083E"/>
    <w:rsid w:val="000B190F"/>
    <w:rsid w:val="000B1CB8"/>
    <w:rsid w:val="000B2841"/>
    <w:rsid w:val="000B2F20"/>
    <w:rsid w:val="000B43AC"/>
    <w:rsid w:val="000B64F2"/>
    <w:rsid w:val="000B6B82"/>
    <w:rsid w:val="000B7AE3"/>
    <w:rsid w:val="000B7D5E"/>
    <w:rsid w:val="000C02AD"/>
    <w:rsid w:val="000C1956"/>
    <w:rsid w:val="000C1DB1"/>
    <w:rsid w:val="000C22E5"/>
    <w:rsid w:val="000C3065"/>
    <w:rsid w:val="000C62F4"/>
    <w:rsid w:val="000C69FA"/>
    <w:rsid w:val="000D04D7"/>
    <w:rsid w:val="000D2923"/>
    <w:rsid w:val="000D4F03"/>
    <w:rsid w:val="000D62CC"/>
    <w:rsid w:val="000D756E"/>
    <w:rsid w:val="000E08AC"/>
    <w:rsid w:val="000E2E0B"/>
    <w:rsid w:val="000E3992"/>
    <w:rsid w:val="000E3B3B"/>
    <w:rsid w:val="000E3F1A"/>
    <w:rsid w:val="000E45F2"/>
    <w:rsid w:val="000E488B"/>
    <w:rsid w:val="000E51E0"/>
    <w:rsid w:val="000E59A0"/>
    <w:rsid w:val="000E5A37"/>
    <w:rsid w:val="000E6A23"/>
    <w:rsid w:val="000F0D97"/>
    <w:rsid w:val="000F225A"/>
    <w:rsid w:val="000F3080"/>
    <w:rsid w:val="000F33EA"/>
    <w:rsid w:val="000F3559"/>
    <w:rsid w:val="000F3A6E"/>
    <w:rsid w:val="000F5653"/>
    <w:rsid w:val="000F5E2D"/>
    <w:rsid w:val="000F7E97"/>
    <w:rsid w:val="000F7FFC"/>
    <w:rsid w:val="00100FBE"/>
    <w:rsid w:val="0010106E"/>
    <w:rsid w:val="00102BB4"/>
    <w:rsid w:val="0010421D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6928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1C7B"/>
    <w:rsid w:val="001428C6"/>
    <w:rsid w:val="001431B5"/>
    <w:rsid w:val="00143BC9"/>
    <w:rsid w:val="00144AA6"/>
    <w:rsid w:val="00146218"/>
    <w:rsid w:val="00146694"/>
    <w:rsid w:val="001503F7"/>
    <w:rsid w:val="001510D4"/>
    <w:rsid w:val="001536E3"/>
    <w:rsid w:val="0015398D"/>
    <w:rsid w:val="00153AFA"/>
    <w:rsid w:val="00153E55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19A9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1CBB"/>
    <w:rsid w:val="001D1D97"/>
    <w:rsid w:val="001D364B"/>
    <w:rsid w:val="001D3779"/>
    <w:rsid w:val="001D4219"/>
    <w:rsid w:val="001D5779"/>
    <w:rsid w:val="001D5AF0"/>
    <w:rsid w:val="001D7646"/>
    <w:rsid w:val="001D7A17"/>
    <w:rsid w:val="001E08AF"/>
    <w:rsid w:val="001E34BA"/>
    <w:rsid w:val="001E59C7"/>
    <w:rsid w:val="001E5A00"/>
    <w:rsid w:val="001E619A"/>
    <w:rsid w:val="001E6A4B"/>
    <w:rsid w:val="001E7722"/>
    <w:rsid w:val="001E78A9"/>
    <w:rsid w:val="001E7B40"/>
    <w:rsid w:val="001E7FA8"/>
    <w:rsid w:val="001F0454"/>
    <w:rsid w:val="001F0A9C"/>
    <w:rsid w:val="001F0C50"/>
    <w:rsid w:val="001F1E1B"/>
    <w:rsid w:val="001F337A"/>
    <w:rsid w:val="001F436F"/>
    <w:rsid w:val="001F4B92"/>
    <w:rsid w:val="001F50C9"/>
    <w:rsid w:val="001F529C"/>
    <w:rsid w:val="00200A24"/>
    <w:rsid w:val="00201C46"/>
    <w:rsid w:val="002022F7"/>
    <w:rsid w:val="0020302A"/>
    <w:rsid w:val="002034FF"/>
    <w:rsid w:val="0020745C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C3D"/>
    <w:rsid w:val="00224F08"/>
    <w:rsid w:val="00225651"/>
    <w:rsid w:val="00225A4F"/>
    <w:rsid w:val="00226D37"/>
    <w:rsid w:val="00227BB9"/>
    <w:rsid w:val="0023142A"/>
    <w:rsid w:val="002318C9"/>
    <w:rsid w:val="002319C1"/>
    <w:rsid w:val="00236E39"/>
    <w:rsid w:val="00237314"/>
    <w:rsid w:val="00242FFE"/>
    <w:rsid w:val="002430F6"/>
    <w:rsid w:val="002438E2"/>
    <w:rsid w:val="00244ABC"/>
    <w:rsid w:val="00244CD6"/>
    <w:rsid w:val="00246382"/>
    <w:rsid w:val="00246DFF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159"/>
    <w:rsid w:val="00266DC3"/>
    <w:rsid w:val="00270769"/>
    <w:rsid w:val="0027192B"/>
    <w:rsid w:val="00272075"/>
    <w:rsid w:val="002725AB"/>
    <w:rsid w:val="00274A6A"/>
    <w:rsid w:val="00276340"/>
    <w:rsid w:val="00277682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66CB"/>
    <w:rsid w:val="002A680F"/>
    <w:rsid w:val="002A68CF"/>
    <w:rsid w:val="002A7C01"/>
    <w:rsid w:val="002B0D33"/>
    <w:rsid w:val="002B0F7F"/>
    <w:rsid w:val="002B18C6"/>
    <w:rsid w:val="002B2916"/>
    <w:rsid w:val="002B39A4"/>
    <w:rsid w:val="002B3FB0"/>
    <w:rsid w:val="002B447B"/>
    <w:rsid w:val="002B4634"/>
    <w:rsid w:val="002B51C5"/>
    <w:rsid w:val="002B70A4"/>
    <w:rsid w:val="002B74E5"/>
    <w:rsid w:val="002C0AE6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229D"/>
    <w:rsid w:val="002D3C1F"/>
    <w:rsid w:val="002D55C7"/>
    <w:rsid w:val="002D5D55"/>
    <w:rsid w:val="002D690B"/>
    <w:rsid w:val="002E016D"/>
    <w:rsid w:val="002E1283"/>
    <w:rsid w:val="002E1811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1E7A"/>
    <w:rsid w:val="00302425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2C1F"/>
    <w:rsid w:val="00332EBC"/>
    <w:rsid w:val="00333F8E"/>
    <w:rsid w:val="0033491E"/>
    <w:rsid w:val="00335B61"/>
    <w:rsid w:val="00340B38"/>
    <w:rsid w:val="0034285A"/>
    <w:rsid w:val="00342DC4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4B06"/>
    <w:rsid w:val="00357468"/>
    <w:rsid w:val="003576B2"/>
    <w:rsid w:val="00357818"/>
    <w:rsid w:val="00362735"/>
    <w:rsid w:val="00363D6A"/>
    <w:rsid w:val="003641D5"/>
    <w:rsid w:val="003643DB"/>
    <w:rsid w:val="003645A9"/>
    <w:rsid w:val="00364AB7"/>
    <w:rsid w:val="003657E7"/>
    <w:rsid w:val="00365E04"/>
    <w:rsid w:val="00366DB6"/>
    <w:rsid w:val="003700E8"/>
    <w:rsid w:val="00370901"/>
    <w:rsid w:val="00370E38"/>
    <w:rsid w:val="0037120D"/>
    <w:rsid w:val="003713E8"/>
    <w:rsid w:val="00372F8C"/>
    <w:rsid w:val="0037366E"/>
    <w:rsid w:val="00374BF3"/>
    <w:rsid w:val="0037614E"/>
    <w:rsid w:val="003766F9"/>
    <w:rsid w:val="00377C33"/>
    <w:rsid w:val="00377EEF"/>
    <w:rsid w:val="003832C2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061"/>
    <w:rsid w:val="003A033D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6BAE"/>
    <w:rsid w:val="003B7A1D"/>
    <w:rsid w:val="003C51A6"/>
    <w:rsid w:val="003C5761"/>
    <w:rsid w:val="003C751F"/>
    <w:rsid w:val="003D044E"/>
    <w:rsid w:val="003D04A2"/>
    <w:rsid w:val="003D06D2"/>
    <w:rsid w:val="003D075F"/>
    <w:rsid w:val="003D4661"/>
    <w:rsid w:val="003D4E97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41B2"/>
    <w:rsid w:val="003E4B4B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3BBD"/>
    <w:rsid w:val="004146D6"/>
    <w:rsid w:val="00416818"/>
    <w:rsid w:val="004169F7"/>
    <w:rsid w:val="004175C9"/>
    <w:rsid w:val="00417C8B"/>
    <w:rsid w:val="00417CF1"/>
    <w:rsid w:val="00420F93"/>
    <w:rsid w:val="00421914"/>
    <w:rsid w:val="00422392"/>
    <w:rsid w:val="00424BF3"/>
    <w:rsid w:val="00426001"/>
    <w:rsid w:val="004268D2"/>
    <w:rsid w:val="00426A9C"/>
    <w:rsid w:val="00430287"/>
    <w:rsid w:val="00430C72"/>
    <w:rsid w:val="0043226F"/>
    <w:rsid w:val="0043439D"/>
    <w:rsid w:val="00434DF5"/>
    <w:rsid w:val="00440BC4"/>
    <w:rsid w:val="00443C50"/>
    <w:rsid w:val="004442FD"/>
    <w:rsid w:val="00444F7C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46A"/>
    <w:rsid w:val="0046354A"/>
    <w:rsid w:val="00463AE6"/>
    <w:rsid w:val="004644F9"/>
    <w:rsid w:val="00464A9A"/>
    <w:rsid w:val="0046615B"/>
    <w:rsid w:val="00466185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2D72"/>
    <w:rsid w:val="00484208"/>
    <w:rsid w:val="004844D6"/>
    <w:rsid w:val="00485E7B"/>
    <w:rsid w:val="00485FEA"/>
    <w:rsid w:val="00491392"/>
    <w:rsid w:val="00492D70"/>
    <w:rsid w:val="00493882"/>
    <w:rsid w:val="00497BD0"/>
    <w:rsid w:val="004A3DD9"/>
    <w:rsid w:val="004A41A6"/>
    <w:rsid w:val="004A43AA"/>
    <w:rsid w:val="004A4D65"/>
    <w:rsid w:val="004A4D9B"/>
    <w:rsid w:val="004A56B9"/>
    <w:rsid w:val="004A5B22"/>
    <w:rsid w:val="004A6D8C"/>
    <w:rsid w:val="004B051B"/>
    <w:rsid w:val="004B0707"/>
    <w:rsid w:val="004B1382"/>
    <w:rsid w:val="004B1C81"/>
    <w:rsid w:val="004B22E7"/>
    <w:rsid w:val="004B254E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6E95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4405"/>
    <w:rsid w:val="004E5AE1"/>
    <w:rsid w:val="004E5ED7"/>
    <w:rsid w:val="004E6C07"/>
    <w:rsid w:val="004E6D24"/>
    <w:rsid w:val="004F06E0"/>
    <w:rsid w:val="004F11E4"/>
    <w:rsid w:val="004F16EA"/>
    <w:rsid w:val="004F185A"/>
    <w:rsid w:val="004F1EB9"/>
    <w:rsid w:val="004F3279"/>
    <w:rsid w:val="004F3600"/>
    <w:rsid w:val="004F426F"/>
    <w:rsid w:val="004F4C1F"/>
    <w:rsid w:val="004F4E43"/>
    <w:rsid w:val="004F5FC1"/>
    <w:rsid w:val="004F75E3"/>
    <w:rsid w:val="0050090B"/>
    <w:rsid w:val="00502068"/>
    <w:rsid w:val="00502294"/>
    <w:rsid w:val="00502669"/>
    <w:rsid w:val="00503C23"/>
    <w:rsid w:val="00503CF8"/>
    <w:rsid w:val="005042A9"/>
    <w:rsid w:val="0050443A"/>
    <w:rsid w:val="005059C7"/>
    <w:rsid w:val="00507193"/>
    <w:rsid w:val="00507235"/>
    <w:rsid w:val="00510ABA"/>
    <w:rsid w:val="005119D1"/>
    <w:rsid w:val="00512F84"/>
    <w:rsid w:val="00513779"/>
    <w:rsid w:val="00513C0C"/>
    <w:rsid w:val="00513E5C"/>
    <w:rsid w:val="00515960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2EF"/>
    <w:rsid w:val="005324CF"/>
    <w:rsid w:val="00532713"/>
    <w:rsid w:val="005328F1"/>
    <w:rsid w:val="0053363B"/>
    <w:rsid w:val="00534C99"/>
    <w:rsid w:val="00535C3C"/>
    <w:rsid w:val="005361DC"/>
    <w:rsid w:val="00541627"/>
    <w:rsid w:val="00541D22"/>
    <w:rsid w:val="0054311D"/>
    <w:rsid w:val="0054512E"/>
    <w:rsid w:val="00545D8A"/>
    <w:rsid w:val="00545DE0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1DA"/>
    <w:rsid w:val="005816B4"/>
    <w:rsid w:val="0058184B"/>
    <w:rsid w:val="00584275"/>
    <w:rsid w:val="0058468A"/>
    <w:rsid w:val="00585612"/>
    <w:rsid w:val="005861E2"/>
    <w:rsid w:val="00586F2A"/>
    <w:rsid w:val="0059006A"/>
    <w:rsid w:val="005913CE"/>
    <w:rsid w:val="00591B6A"/>
    <w:rsid w:val="005921D5"/>
    <w:rsid w:val="005927B2"/>
    <w:rsid w:val="005951B2"/>
    <w:rsid w:val="005958D0"/>
    <w:rsid w:val="00596389"/>
    <w:rsid w:val="00596C55"/>
    <w:rsid w:val="00596E1D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4033"/>
    <w:rsid w:val="005D4C36"/>
    <w:rsid w:val="005D6B64"/>
    <w:rsid w:val="005D7985"/>
    <w:rsid w:val="005E03D1"/>
    <w:rsid w:val="005E0FE9"/>
    <w:rsid w:val="005E1185"/>
    <w:rsid w:val="005E1E03"/>
    <w:rsid w:val="005E2DFC"/>
    <w:rsid w:val="005E409F"/>
    <w:rsid w:val="005E40CD"/>
    <w:rsid w:val="005E6AF0"/>
    <w:rsid w:val="005E77A7"/>
    <w:rsid w:val="005E7841"/>
    <w:rsid w:val="005F2819"/>
    <w:rsid w:val="005F2C26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0F0C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942"/>
    <w:rsid w:val="00635BDC"/>
    <w:rsid w:val="00636483"/>
    <w:rsid w:val="00636A4D"/>
    <w:rsid w:val="006373FB"/>
    <w:rsid w:val="006407DF"/>
    <w:rsid w:val="0064196B"/>
    <w:rsid w:val="00641D43"/>
    <w:rsid w:val="00641E05"/>
    <w:rsid w:val="00642297"/>
    <w:rsid w:val="00643343"/>
    <w:rsid w:val="00644325"/>
    <w:rsid w:val="00644A79"/>
    <w:rsid w:val="00644C57"/>
    <w:rsid w:val="006453AB"/>
    <w:rsid w:val="0064551B"/>
    <w:rsid w:val="00645D90"/>
    <w:rsid w:val="00647C7D"/>
    <w:rsid w:val="00650A9D"/>
    <w:rsid w:val="0065142E"/>
    <w:rsid w:val="006521F9"/>
    <w:rsid w:val="00652294"/>
    <w:rsid w:val="006545EB"/>
    <w:rsid w:val="00656E22"/>
    <w:rsid w:val="0065738D"/>
    <w:rsid w:val="00660589"/>
    <w:rsid w:val="00660C8B"/>
    <w:rsid w:val="006635BB"/>
    <w:rsid w:val="00663A42"/>
    <w:rsid w:val="00664600"/>
    <w:rsid w:val="00664A0B"/>
    <w:rsid w:val="00665A1C"/>
    <w:rsid w:val="0066628A"/>
    <w:rsid w:val="0066738B"/>
    <w:rsid w:val="006673E9"/>
    <w:rsid w:val="006677B2"/>
    <w:rsid w:val="006702D4"/>
    <w:rsid w:val="00670D97"/>
    <w:rsid w:val="006717F9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09F"/>
    <w:rsid w:val="006B624E"/>
    <w:rsid w:val="006B6455"/>
    <w:rsid w:val="006B6ACF"/>
    <w:rsid w:val="006B6CFA"/>
    <w:rsid w:val="006C01FB"/>
    <w:rsid w:val="006C0F10"/>
    <w:rsid w:val="006C165A"/>
    <w:rsid w:val="006C1BE6"/>
    <w:rsid w:val="006C1D55"/>
    <w:rsid w:val="006C27C7"/>
    <w:rsid w:val="006C5ACA"/>
    <w:rsid w:val="006C76C4"/>
    <w:rsid w:val="006C7A06"/>
    <w:rsid w:val="006C7F16"/>
    <w:rsid w:val="006D0C16"/>
    <w:rsid w:val="006D3245"/>
    <w:rsid w:val="006D326D"/>
    <w:rsid w:val="006D3752"/>
    <w:rsid w:val="006D455E"/>
    <w:rsid w:val="006D526D"/>
    <w:rsid w:val="006D6ECC"/>
    <w:rsid w:val="006D6EEC"/>
    <w:rsid w:val="006D7644"/>
    <w:rsid w:val="006E0537"/>
    <w:rsid w:val="006E1F26"/>
    <w:rsid w:val="006E2BD3"/>
    <w:rsid w:val="006E3D7B"/>
    <w:rsid w:val="006E4F10"/>
    <w:rsid w:val="006E56BA"/>
    <w:rsid w:val="006E6726"/>
    <w:rsid w:val="006E7116"/>
    <w:rsid w:val="006E7BF6"/>
    <w:rsid w:val="006F0620"/>
    <w:rsid w:val="006F11B1"/>
    <w:rsid w:val="006F3512"/>
    <w:rsid w:val="006F41F7"/>
    <w:rsid w:val="006F4917"/>
    <w:rsid w:val="006F4BE0"/>
    <w:rsid w:val="006F51DB"/>
    <w:rsid w:val="006F5E34"/>
    <w:rsid w:val="0070161A"/>
    <w:rsid w:val="007037CB"/>
    <w:rsid w:val="00704013"/>
    <w:rsid w:val="007102C4"/>
    <w:rsid w:val="00713BC0"/>
    <w:rsid w:val="0071464F"/>
    <w:rsid w:val="0071466B"/>
    <w:rsid w:val="00715807"/>
    <w:rsid w:val="0071581F"/>
    <w:rsid w:val="0071617D"/>
    <w:rsid w:val="00716EF2"/>
    <w:rsid w:val="00717F4B"/>
    <w:rsid w:val="00720923"/>
    <w:rsid w:val="00720EA1"/>
    <w:rsid w:val="00725208"/>
    <w:rsid w:val="00725739"/>
    <w:rsid w:val="00727054"/>
    <w:rsid w:val="0072738A"/>
    <w:rsid w:val="0073499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1C6"/>
    <w:rsid w:val="00753DFC"/>
    <w:rsid w:val="00754AE3"/>
    <w:rsid w:val="00755099"/>
    <w:rsid w:val="00755443"/>
    <w:rsid w:val="0076048E"/>
    <w:rsid w:val="00760730"/>
    <w:rsid w:val="007609C8"/>
    <w:rsid w:val="0076231E"/>
    <w:rsid w:val="00762D5A"/>
    <w:rsid w:val="007632BD"/>
    <w:rsid w:val="00763347"/>
    <w:rsid w:val="00763ED9"/>
    <w:rsid w:val="00764606"/>
    <w:rsid w:val="007714BD"/>
    <w:rsid w:val="00771AF4"/>
    <w:rsid w:val="007743BA"/>
    <w:rsid w:val="0077544B"/>
    <w:rsid w:val="0077670A"/>
    <w:rsid w:val="00777113"/>
    <w:rsid w:val="0077779F"/>
    <w:rsid w:val="00777D74"/>
    <w:rsid w:val="00777E3F"/>
    <w:rsid w:val="00780CEE"/>
    <w:rsid w:val="00781240"/>
    <w:rsid w:val="00782BBF"/>
    <w:rsid w:val="0078308C"/>
    <w:rsid w:val="0078308F"/>
    <w:rsid w:val="00784528"/>
    <w:rsid w:val="0078453F"/>
    <w:rsid w:val="00784F91"/>
    <w:rsid w:val="0078511C"/>
    <w:rsid w:val="00786D35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4D62"/>
    <w:rsid w:val="007A5311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B78E0"/>
    <w:rsid w:val="007C0A47"/>
    <w:rsid w:val="007C2446"/>
    <w:rsid w:val="007C26CE"/>
    <w:rsid w:val="007C30EE"/>
    <w:rsid w:val="007C3769"/>
    <w:rsid w:val="007C4233"/>
    <w:rsid w:val="007C56E5"/>
    <w:rsid w:val="007C639F"/>
    <w:rsid w:val="007C661B"/>
    <w:rsid w:val="007C7285"/>
    <w:rsid w:val="007C7975"/>
    <w:rsid w:val="007D0D18"/>
    <w:rsid w:val="007D0EF4"/>
    <w:rsid w:val="007D218D"/>
    <w:rsid w:val="007D32BF"/>
    <w:rsid w:val="007D4AC3"/>
    <w:rsid w:val="007D7745"/>
    <w:rsid w:val="007D7D86"/>
    <w:rsid w:val="007E00A1"/>
    <w:rsid w:val="007E0360"/>
    <w:rsid w:val="007E0E80"/>
    <w:rsid w:val="007E13A9"/>
    <w:rsid w:val="007E14D9"/>
    <w:rsid w:val="007E18EE"/>
    <w:rsid w:val="007E3786"/>
    <w:rsid w:val="007E3BC5"/>
    <w:rsid w:val="007E5070"/>
    <w:rsid w:val="007E72DA"/>
    <w:rsid w:val="007E7A16"/>
    <w:rsid w:val="007F01AE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4"/>
    <w:rsid w:val="00800A7C"/>
    <w:rsid w:val="00800ED0"/>
    <w:rsid w:val="00802DD5"/>
    <w:rsid w:val="00802DF3"/>
    <w:rsid w:val="00804AEF"/>
    <w:rsid w:val="008065E2"/>
    <w:rsid w:val="00806850"/>
    <w:rsid w:val="00806A3F"/>
    <w:rsid w:val="0080703A"/>
    <w:rsid w:val="00807054"/>
    <w:rsid w:val="00807B4F"/>
    <w:rsid w:val="00807B89"/>
    <w:rsid w:val="00807D1A"/>
    <w:rsid w:val="00810F85"/>
    <w:rsid w:val="00811358"/>
    <w:rsid w:val="008121D7"/>
    <w:rsid w:val="008130C2"/>
    <w:rsid w:val="00813293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27F5E"/>
    <w:rsid w:val="00831F9F"/>
    <w:rsid w:val="00832140"/>
    <w:rsid w:val="00835FC5"/>
    <w:rsid w:val="00840CF4"/>
    <w:rsid w:val="008415F4"/>
    <w:rsid w:val="00843E29"/>
    <w:rsid w:val="0084730C"/>
    <w:rsid w:val="008478AE"/>
    <w:rsid w:val="00847B21"/>
    <w:rsid w:val="0085187D"/>
    <w:rsid w:val="00852D44"/>
    <w:rsid w:val="0085472F"/>
    <w:rsid w:val="00857169"/>
    <w:rsid w:val="00857616"/>
    <w:rsid w:val="00860503"/>
    <w:rsid w:val="008608B4"/>
    <w:rsid w:val="0086154C"/>
    <w:rsid w:val="0086330B"/>
    <w:rsid w:val="00863699"/>
    <w:rsid w:val="008640AD"/>
    <w:rsid w:val="00864546"/>
    <w:rsid w:val="00864F79"/>
    <w:rsid w:val="0086574C"/>
    <w:rsid w:val="00872529"/>
    <w:rsid w:val="008737F5"/>
    <w:rsid w:val="0087446B"/>
    <w:rsid w:val="008747AD"/>
    <w:rsid w:val="00877900"/>
    <w:rsid w:val="00877EDF"/>
    <w:rsid w:val="00880799"/>
    <w:rsid w:val="00880DF0"/>
    <w:rsid w:val="00880E20"/>
    <w:rsid w:val="00881187"/>
    <w:rsid w:val="00881EF7"/>
    <w:rsid w:val="00882DAC"/>
    <w:rsid w:val="00882FBA"/>
    <w:rsid w:val="0088314F"/>
    <w:rsid w:val="00883762"/>
    <w:rsid w:val="00883CDA"/>
    <w:rsid w:val="0088400F"/>
    <w:rsid w:val="008842DA"/>
    <w:rsid w:val="00884ED4"/>
    <w:rsid w:val="008856C1"/>
    <w:rsid w:val="0088596A"/>
    <w:rsid w:val="008868F8"/>
    <w:rsid w:val="0088690D"/>
    <w:rsid w:val="00886C7A"/>
    <w:rsid w:val="008900E3"/>
    <w:rsid w:val="0089040A"/>
    <w:rsid w:val="0089151C"/>
    <w:rsid w:val="0089473D"/>
    <w:rsid w:val="008A3C63"/>
    <w:rsid w:val="008A537E"/>
    <w:rsid w:val="008A6440"/>
    <w:rsid w:val="008A6ABB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9E8"/>
    <w:rsid w:val="008B5DC3"/>
    <w:rsid w:val="008B6326"/>
    <w:rsid w:val="008B771A"/>
    <w:rsid w:val="008B7C33"/>
    <w:rsid w:val="008C197C"/>
    <w:rsid w:val="008C335C"/>
    <w:rsid w:val="008C5990"/>
    <w:rsid w:val="008C6760"/>
    <w:rsid w:val="008C6E36"/>
    <w:rsid w:val="008C766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251C"/>
    <w:rsid w:val="008F47C4"/>
    <w:rsid w:val="008F65B7"/>
    <w:rsid w:val="0090225A"/>
    <w:rsid w:val="00902402"/>
    <w:rsid w:val="0090346B"/>
    <w:rsid w:val="009047EF"/>
    <w:rsid w:val="009048BA"/>
    <w:rsid w:val="009050FC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11DC"/>
    <w:rsid w:val="00922F51"/>
    <w:rsid w:val="0092302A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61F"/>
    <w:rsid w:val="00934D15"/>
    <w:rsid w:val="00935DC7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6BE6"/>
    <w:rsid w:val="009575CC"/>
    <w:rsid w:val="00961EFC"/>
    <w:rsid w:val="00962CB1"/>
    <w:rsid w:val="00964BCB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CFC"/>
    <w:rsid w:val="00981FA3"/>
    <w:rsid w:val="009831C6"/>
    <w:rsid w:val="00983A26"/>
    <w:rsid w:val="00984D63"/>
    <w:rsid w:val="00985045"/>
    <w:rsid w:val="00985640"/>
    <w:rsid w:val="00985852"/>
    <w:rsid w:val="00985B74"/>
    <w:rsid w:val="009869FA"/>
    <w:rsid w:val="0099010D"/>
    <w:rsid w:val="00990157"/>
    <w:rsid w:val="009902A4"/>
    <w:rsid w:val="00990A9F"/>
    <w:rsid w:val="0099163C"/>
    <w:rsid w:val="00992E1E"/>
    <w:rsid w:val="00994E2C"/>
    <w:rsid w:val="0099500B"/>
    <w:rsid w:val="00995039"/>
    <w:rsid w:val="00996693"/>
    <w:rsid w:val="00996717"/>
    <w:rsid w:val="00996BDB"/>
    <w:rsid w:val="009974D0"/>
    <w:rsid w:val="00997EFE"/>
    <w:rsid w:val="009A0649"/>
    <w:rsid w:val="009A1877"/>
    <w:rsid w:val="009A247B"/>
    <w:rsid w:val="009A2755"/>
    <w:rsid w:val="009A3808"/>
    <w:rsid w:val="009A5183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29EB"/>
    <w:rsid w:val="009D3E91"/>
    <w:rsid w:val="009D50D9"/>
    <w:rsid w:val="009D58D9"/>
    <w:rsid w:val="009D64F7"/>
    <w:rsid w:val="009D7C8B"/>
    <w:rsid w:val="009E07BE"/>
    <w:rsid w:val="009E1076"/>
    <w:rsid w:val="009E5740"/>
    <w:rsid w:val="009E58EA"/>
    <w:rsid w:val="009E64E6"/>
    <w:rsid w:val="009E764C"/>
    <w:rsid w:val="009F47F7"/>
    <w:rsid w:val="009F574F"/>
    <w:rsid w:val="00A013E1"/>
    <w:rsid w:val="00A03BFC"/>
    <w:rsid w:val="00A06D00"/>
    <w:rsid w:val="00A114CD"/>
    <w:rsid w:val="00A146ED"/>
    <w:rsid w:val="00A169F5"/>
    <w:rsid w:val="00A17283"/>
    <w:rsid w:val="00A172BB"/>
    <w:rsid w:val="00A20385"/>
    <w:rsid w:val="00A22915"/>
    <w:rsid w:val="00A23183"/>
    <w:rsid w:val="00A24398"/>
    <w:rsid w:val="00A2499F"/>
    <w:rsid w:val="00A24CC8"/>
    <w:rsid w:val="00A24D4A"/>
    <w:rsid w:val="00A254A5"/>
    <w:rsid w:val="00A2640A"/>
    <w:rsid w:val="00A26840"/>
    <w:rsid w:val="00A26F1C"/>
    <w:rsid w:val="00A27BD1"/>
    <w:rsid w:val="00A30DCC"/>
    <w:rsid w:val="00A315D7"/>
    <w:rsid w:val="00A32039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5D6"/>
    <w:rsid w:val="00A47EF9"/>
    <w:rsid w:val="00A508CE"/>
    <w:rsid w:val="00A51056"/>
    <w:rsid w:val="00A52883"/>
    <w:rsid w:val="00A54983"/>
    <w:rsid w:val="00A57161"/>
    <w:rsid w:val="00A60F5F"/>
    <w:rsid w:val="00A6202D"/>
    <w:rsid w:val="00A63525"/>
    <w:rsid w:val="00A65531"/>
    <w:rsid w:val="00A67178"/>
    <w:rsid w:val="00A677BF"/>
    <w:rsid w:val="00A705F9"/>
    <w:rsid w:val="00A71BDB"/>
    <w:rsid w:val="00A72A7D"/>
    <w:rsid w:val="00A73792"/>
    <w:rsid w:val="00A74EBC"/>
    <w:rsid w:val="00A7630F"/>
    <w:rsid w:val="00A80AE3"/>
    <w:rsid w:val="00A81A07"/>
    <w:rsid w:val="00A834D2"/>
    <w:rsid w:val="00A84B3D"/>
    <w:rsid w:val="00A85D6D"/>
    <w:rsid w:val="00A85E92"/>
    <w:rsid w:val="00A86889"/>
    <w:rsid w:val="00A877F1"/>
    <w:rsid w:val="00A878A6"/>
    <w:rsid w:val="00A90800"/>
    <w:rsid w:val="00A91B14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165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0EC"/>
    <w:rsid w:val="00AE487B"/>
    <w:rsid w:val="00AE591E"/>
    <w:rsid w:val="00AF0681"/>
    <w:rsid w:val="00AF0AD5"/>
    <w:rsid w:val="00AF126A"/>
    <w:rsid w:val="00AF12DF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4C8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6095"/>
    <w:rsid w:val="00B17282"/>
    <w:rsid w:val="00B17C32"/>
    <w:rsid w:val="00B205BC"/>
    <w:rsid w:val="00B21B8E"/>
    <w:rsid w:val="00B24F7C"/>
    <w:rsid w:val="00B24FBE"/>
    <w:rsid w:val="00B2503D"/>
    <w:rsid w:val="00B25AA5"/>
    <w:rsid w:val="00B266BE"/>
    <w:rsid w:val="00B26A31"/>
    <w:rsid w:val="00B27269"/>
    <w:rsid w:val="00B2798D"/>
    <w:rsid w:val="00B27A62"/>
    <w:rsid w:val="00B30AC8"/>
    <w:rsid w:val="00B31AE3"/>
    <w:rsid w:val="00B31EFB"/>
    <w:rsid w:val="00B33FA0"/>
    <w:rsid w:val="00B34377"/>
    <w:rsid w:val="00B34583"/>
    <w:rsid w:val="00B360E1"/>
    <w:rsid w:val="00B37776"/>
    <w:rsid w:val="00B3780E"/>
    <w:rsid w:val="00B37F02"/>
    <w:rsid w:val="00B406EC"/>
    <w:rsid w:val="00B41A01"/>
    <w:rsid w:val="00B4219D"/>
    <w:rsid w:val="00B42CE6"/>
    <w:rsid w:val="00B44740"/>
    <w:rsid w:val="00B47332"/>
    <w:rsid w:val="00B474E8"/>
    <w:rsid w:val="00B47739"/>
    <w:rsid w:val="00B478D2"/>
    <w:rsid w:val="00B511D3"/>
    <w:rsid w:val="00B51372"/>
    <w:rsid w:val="00B52D63"/>
    <w:rsid w:val="00B53B37"/>
    <w:rsid w:val="00B55813"/>
    <w:rsid w:val="00B55FED"/>
    <w:rsid w:val="00B600CA"/>
    <w:rsid w:val="00B61BB1"/>
    <w:rsid w:val="00B62933"/>
    <w:rsid w:val="00B62D05"/>
    <w:rsid w:val="00B63D9F"/>
    <w:rsid w:val="00B63DC4"/>
    <w:rsid w:val="00B6415C"/>
    <w:rsid w:val="00B6481E"/>
    <w:rsid w:val="00B64D54"/>
    <w:rsid w:val="00B65129"/>
    <w:rsid w:val="00B6578A"/>
    <w:rsid w:val="00B65904"/>
    <w:rsid w:val="00B675C4"/>
    <w:rsid w:val="00B67647"/>
    <w:rsid w:val="00B715E7"/>
    <w:rsid w:val="00B7326C"/>
    <w:rsid w:val="00B74551"/>
    <w:rsid w:val="00B7578D"/>
    <w:rsid w:val="00B75994"/>
    <w:rsid w:val="00B75D53"/>
    <w:rsid w:val="00B76018"/>
    <w:rsid w:val="00B761A8"/>
    <w:rsid w:val="00B76814"/>
    <w:rsid w:val="00B778D1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E21"/>
    <w:rsid w:val="00B93F60"/>
    <w:rsid w:val="00B946A0"/>
    <w:rsid w:val="00B95AD4"/>
    <w:rsid w:val="00BA0AA5"/>
    <w:rsid w:val="00BA0DCB"/>
    <w:rsid w:val="00BA363C"/>
    <w:rsid w:val="00BA3AE7"/>
    <w:rsid w:val="00BA4CA3"/>
    <w:rsid w:val="00BA5BFF"/>
    <w:rsid w:val="00BA5E1F"/>
    <w:rsid w:val="00BB15EB"/>
    <w:rsid w:val="00BB1C9E"/>
    <w:rsid w:val="00BB1E16"/>
    <w:rsid w:val="00BB1F1B"/>
    <w:rsid w:val="00BB23C1"/>
    <w:rsid w:val="00BB3582"/>
    <w:rsid w:val="00BB4550"/>
    <w:rsid w:val="00BB49BE"/>
    <w:rsid w:val="00BB4D0D"/>
    <w:rsid w:val="00BB4F5C"/>
    <w:rsid w:val="00BB6561"/>
    <w:rsid w:val="00BB7F49"/>
    <w:rsid w:val="00BC5014"/>
    <w:rsid w:val="00BC5543"/>
    <w:rsid w:val="00BC578A"/>
    <w:rsid w:val="00BC6C56"/>
    <w:rsid w:val="00BD1037"/>
    <w:rsid w:val="00BD2EED"/>
    <w:rsid w:val="00BD39E4"/>
    <w:rsid w:val="00BD3A1C"/>
    <w:rsid w:val="00BD3CDD"/>
    <w:rsid w:val="00BD4578"/>
    <w:rsid w:val="00BD55EC"/>
    <w:rsid w:val="00BD5703"/>
    <w:rsid w:val="00BD5E1E"/>
    <w:rsid w:val="00BD69F9"/>
    <w:rsid w:val="00BD7804"/>
    <w:rsid w:val="00BE0F06"/>
    <w:rsid w:val="00BE235C"/>
    <w:rsid w:val="00BE23CF"/>
    <w:rsid w:val="00BE3716"/>
    <w:rsid w:val="00BE49A2"/>
    <w:rsid w:val="00BE538D"/>
    <w:rsid w:val="00BE5947"/>
    <w:rsid w:val="00BE6F10"/>
    <w:rsid w:val="00BF054D"/>
    <w:rsid w:val="00BF0E66"/>
    <w:rsid w:val="00BF1180"/>
    <w:rsid w:val="00BF309A"/>
    <w:rsid w:val="00BF48A8"/>
    <w:rsid w:val="00BF4C2E"/>
    <w:rsid w:val="00BF5820"/>
    <w:rsid w:val="00BF5A10"/>
    <w:rsid w:val="00BF7482"/>
    <w:rsid w:val="00BF7581"/>
    <w:rsid w:val="00C014E7"/>
    <w:rsid w:val="00C016F6"/>
    <w:rsid w:val="00C01922"/>
    <w:rsid w:val="00C04179"/>
    <w:rsid w:val="00C04A6B"/>
    <w:rsid w:val="00C04CE1"/>
    <w:rsid w:val="00C05088"/>
    <w:rsid w:val="00C06754"/>
    <w:rsid w:val="00C06A6C"/>
    <w:rsid w:val="00C10057"/>
    <w:rsid w:val="00C10811"/>
    <w:rsid w:val="00C1139C"/>
    <w:rsid w:val="00C1276C"/>
    <w:rsid w:val="00C13B83"/>
    <w:rsid w:val="00C1794E"/>
    <w:rsid w:val="00C2003B"/>
    <w:rsid w:val="00C21539"/>
    <w:rsid w:val="00C22C1E"/>
    <w:rsid w:val="00C22E09"/>
    <w:rsid w:val="00C2375C"/>
    <w:rsid w:val="00C259B6"/>
    <w:rsid w:val="00C25A8A"/>
    <w:rsid w:val="00C25C1C"/>
    <w:rsid w:val="00C274AB"/>
    <w:rsid w:val="00C3219B"/>
    <w:rsid w:val="00C323FF"/>
    <w:rsid w:val="00C33959"/>
    <w:rsid w:val="00C34463"/>
    <w:rsid w:val="00C3740C"/>
    <w:rsid w:val="00C411E7"/>
    <w:rsid w:val="00C4129A"/>
    <w:rsid w:val="00C41560"/>
    <w:rsid w:val="00C42061"/>
    <w:rsid w:val="00C42A68"/>
    <w:rsid w:val="00C43AE6"/>
    <w:rsid w:val="00C44E9B"/>
    <w:rsid w:val="00C45BF6"/>
    <w:rsid w:val="00C45C9C"/>
    <w:rsid w:val="00C4703E"/>
    <w:rsid w:val="00C47A82"/>
    <w:rsid w:val="00C5174C"/>
    <w:rsid w:val="00C51835"/>
    <w:rsid w:val="00C54924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7FB"/>
    <w:rsid w:val="00CB0A6A"/>
    <w:rsid w:val="00CB0D32"/>
    <w:rsid w:val="00CB187C"/>
    <w:rsid w:val="00CB1B2B"/>
    <w:rsid w:val="00CB39D9"/>
    <w:rsid w:val="00CB43C8"/>
    <w:rsid w:val="00CB450C"/>
    <w:rsid w:val="00CB4B35"/>
    <w:rsid w:val="00CB7E9A"/>
    <w:rsid w:val="00CC0283"/>
    <w:rsid w:val="00CC1A24"/>
    <w:rsid w:val="00CC2676"/>
    <w:rsid w:val="00CC2AA3"/>
    <w:rsid w:val="00CC2B6E"/>
    <w:rsid w:val="00CC364C"/>
    <w:rsid w:val="00CC4BC2"/>
    <w:rsid w:val="00CC698B"/>
    <w:rsid w:val="00CC6D6D"/>
    <w:rsid w:val="00CD03B2"/>
    <w:rsid w:val="00CD06A0"/>
    <w:rsid w:val="00CD1B35"/>
    <w:rsid w:val="00CD2485"/>
    <w:rsid w:val="00CD3AEE"/>
    <w:rsid w:val="00CD4BDD"/>
    <w:rsid w:val="00CD4F97"/>
    <w:rsid w:val="00CD5378"/>
    <w:rsid w:val="00CD604C"/>
    <w:rsid w:val="00CD6F68"/>
    <w:rsid w:val="00CE078C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26E5"/>
    <w:rsid w:val="00D13FC6"/>
    <w:rsid w:val="00D144E3"/>
    <w:rsid w:val="00D15C42"/>
    <w:rsid w:val="00D168B0"/>
    <w:rsid w:val="00D16F1D"/>
    <w:rsid w:val="00D213B7"/>
    <w:rsid w:val="00D21FB2"/>
    <w:rsid w:val="00D22AF3"/>
    <w:rsid w:val="00D240C1"/>
    <w:rsid w:val="00D240DB"/>
    <w:rsid w:val="00D251F2"/>
    <w:rsid w:val="00D25967"/>
    <w:rsid w:val="00D26FAF"/>
    <w:rsid w:val="00D2737F"/>
    <w:rsid w:val="00D27CB9"/>
    <w:rsid w:val="00D30667"/>
    <w:rsid w:val="00D31183"/>
    <w:rsid w:val="00D31962"/>
    <w:rsid w:val="00D3287E"/>
    <w:rsid w:val="00D33B21"/>
    <w:rsid w:val="00D33FB1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57FDD"/>
    <w:rsid w:val="00D601A9"/>
    <w:rsid w:val="00D602E8"/>
    <w:rsid w:val="00D63B10"/>
    <w:rsid w:val="00D63F47"/>
    <w:rsid w:val="00D656CB"/>
    <w:rsid w:val="00D66172"/>
    <w:rsid w:val="00D6658B"/>
    <w:rsid w:val="00D70C4A"/>
    <w:rsid w:val="00D71E63"/>
    <w:rsid w:val="00D75457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406"/>
    <w:rsid w:val="00D87484"/>
    <w:rsid w:val="00D87DC1"/>
    <w:rsid w:val="00D90190"/>
    <w:rsid w:val="00D93C83"/>
    <w:rsid w:val="00D95186"/>
    <w:rsid w:val="00D95924"/>
    <w:rsid w:val="00D960E3"/>
    <w:rsid w:val="00D977D5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66A"/>
    <w:rsid w:val="00DB2865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5D"/>
    <w:rsid w:val="00DC4DA6"/>
    <w:rsid w:val="00DC51E3"/>
    <w:rsid w:val="00DC6428"/>
    <w:rsid w:val="00DD0FB0"/>
    <w:rsid w:val="00DD100F"/>
    <w:rsid w:val="00DD1B3F"/>
    <w:rsid w:val="00DD1C4B"/>
    <w:rsid w:val="00DD5923"/>
    <w:rsid w:val="00DD599F"/>
    <w:rsid w:val="00DD6427"/>
    <w:rsid w:val="00DD77B1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042C6"/>
    <w:rsid w:val="00E10594"/>
    <w:rsid w:val="00E10684"/>
    <w:rsid w:val="00E10836"/>
    <w:rsid w:val="00E108C6"/>
    <w:rsid w:val="00E11343"/>
    <w:rsid w:val="00E115E5"/>
    <w:rsid w:val="00E116A3"/>
    <w:rsid w:val="00E12333"/>
    <w:rsid w:val="00E13412"/>
    <w:rsid w:val="00E149DD"/>
    <w:rsid w:val="00E14F04"/>
    <w:rsid w:val="00E15796"/>
    <w:rsid w:val="00E16719"/>
    <w:rsid w:val="00E20EC3"/>
    <w:rsid w:val="00E217B8"/>
    <w:rsid w:val="00E21ACA"/>
    <w:rsid w:val="00E21C13"/>
    <w:rsid w:val="00E23336"/>
    <w:rsid w:val="00E25A2E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E17"/>
    <w:rsid w:val="00E46FD4"/>
    <w:rsid w:val="00E51F1E"/>
    <w:rsid w:val="00E54862"/>
    <w:rsid w:val="00E577A9"/>
    <w:rsid w:val="00E6122C"/>
    <w:rsid w:val="00E615A1"/>
    <w:rsid w:val="00E632CA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778A1"/>
    <w:rsid w:val="00E80E85"/>
    <w:rsid w:val="00E813AF"/>
    <w:rsid w:val="00E81FF6"/>
    <w:rsid w:val="00E85E11"/>
    <w:rsid w:val="00E870DD"/>
    <w:rsid w:val="00E9054A"/>
    <w:rsid w:val="00E91E57"/>
    <w:rsid w:val="00E926BC"/>
    <w:rsid w:val="00E93F73"/>
    <w:rsid w:val="00E95335"/>
    <w:rsid w:val="00EA0460"/>
    <w:rsid w:val="00EA0C1C"/>
    <w:rsid w:val="00EA1C12"/>
    <w:rsid w:val="00EA3D7F"/>
    <w:rsid w:val="00EA51C0"/>
    <w:rsid w:val="00EA5FBF"/>
    <w:rsid w:val="00EA6800"/>
    <w:rsid w:val="00EA7329"/>
    <w:rsid w:val="00EB46E9"/>
    <w:rsid w:val="00EB5CD6"/>
    <w:rsid w:val="00EB61B0"/>
    <w:rsid w:val="00EC2F7C"/>
    <w:rsid w:val="00EC3D48"/>
    <w:rsid w:val="00EC5CD7"/>
    <w:rsid w:val="00EC6205"/>
    <w:rsid w:val="00EC65F0"/>
    <w:rsid w:val="00EC70EF"/>
    <w:rsid w:val="00ED128A"/>
    <w:rsid w:val="00ED153D"/>
    <w:rsid w:val="00ED17CE"/>
    <w:rsid w:val="00ED487B"/>
    <w:rsid w:val="00ED58F5"/>
    <w:rsid w:val="00ED6F32"/>
    <w:rsid w:val="00EE2263"/>
    <w:rsid w:val="00EE2A66"/>
    <w:rsid w:val="00EE4337"/>
    <w:rsid w:val="00EE57B2"/>
    <w:rsid w:val="00EE5F35"/>
    <w:rsid w:val="00EE5F80"/>
    <w:rsid w:val="00EE6255"/>
    <w:rsid w:val="00EE6405"/>
    <w:rsid w:val="00EE6484"/>
    <w:rsid w:val="00EE74CA"/>
    <w:rsid w:val="00EF13BA"/>
    <w:rsid w:val="00EF467E"/>
    <w:rsid w:val="00F01AC0"/>
    <w:rsid w:val="00F0238C"/>
    <w:rsid w:val="00F04BF2"/>
    <w:rsid w:val="00F04E01"/>
    <w:rsid w:val="00F05721"/>
    <w:rsid w:val="00F06087"/>
    <w:rsid w:val="00F067EF"/>
    <w:rsid w:val="00F078CA"/>
    <w:rsid w:val="00F116F2"/>
    <w:rsid w:val="00F12DEE"/>
    <w:rsid w:val="00F13367"/>
    <w:rsid w:val="00F135CB"/>
    <w:rsid w:val="00F136A6"/>
    <w:rsid w:val="00F146FE"/>
    <w:rsid w:val="00F14B99"/>
    <w:rsid w:val="00F1596F"/>
    <w:rsid w:val="00F17A79"/>
    <w:rsid w:val="00F21AEA"/>
    <w:rsid w:val="00F21D4F"/>
    <w:rsid w:val="00F21F09"/>
    <w:rsid w:val="00F22D3B"/>
    <w:rsid w:val="00F262B6"/>
    <w:rsid w:val="00F268D4"/>
    <w:rsid w:val="00F2699B"/>
    <w:rsid w:val="00F269C2"/>
    <w:rsid w:val="00F273A6"/>
    <w:rsid w:val="00F30393"/>
    <w:rsid w:val="00F31176"/>
    <w:rsid w:val="00F34792"/>
    <w:rsid w:val="00F35A1F"/>
    <w:rsid w:val="00F35B9D"/>
    <w:rsid w:val="00F36600"/>
    <w:rsid w:val="00F36EA0"/>
    <w:rsid w:val="00F3768F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66809"/>
    <w:rsid w:val="00F66EB5"/>
    <w:rsid w:val="00F6734B"/>
    <w:rsid w:val="00F70F38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2AD9"/>
    <w:rsid w:val="00FA314D"/>
    <w:rsid w:val="00FA32E2"/>
    <w:rsid w:val="00FA51CE"/>
    <w:rsid w:val="00FA6355"/>
    <w:rsid w:val="00FA6451"/>
    <w:rsid w:val="00FA7598"/>
    <w:rsid w:val="00FA7EB2"/>
    <w:rsid w:val="00FB03E1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105"/>
    <w:rsid w:val="00FC6CF7"/>
    <w:rsid w:val="00FD0096"/>
    <w:rsid w:val="00FD1B37"/>
    <w:rsid w:val="00FD2AE9"/>
    <w:rsid w:val="00FD7D16"/>
    <w:rsid w:val="00FE034E"/>
    <w:rsid w:val="00FE1F75"/>
    <w:rsid w:val="00FE4F08"/>
    <w:rsid w:val="00FE6B0C"/>
    <w:rsid w:val="00FF4A0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link w:val="a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7948"/>
  </w:style>
  <w:style w:type="character" w:customStyle="1" w:styleId="ad">
    <w:name w:val="טקסט הערה תו"/>
    <w:basedOn w:val="a0"/>
    <w:link w:val="ac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7948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0">
    <w:name w:val="footnote text"/>
    <w:basedOn w:val="a"/>
    <w:link w:val="af1"/>
    <w:semiHidden/>
    <w:unhideWhenUsed/>
    <w:rsid w:val="00317948"/>
  </w:style>
  <w:style w:type="character" w:customStyle="1" w:styleId="af1">
    <w:name w:val="טקסט הערת שוליים תו"/>
    <w:basedOn w:val="a0"/>
    <w:link w:val="af0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2">
    <w:name w:val="footnote reference"/>
    <w:basedOn w:val="a0"/>
    <w:semiHidden/>
    <w:unhideWhenUsed/>
    <w:rsid w:val="00317948"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טקסט רגיל תו"/>
    <w:basedOn w:val="a0"/>
    <w:link w:val="af3"/>
    <w:uiPriority w:val="99"/>
    <w:semiHidden/>
    <w:rsid w:val="00A80AE3"/>
    <w:rPr>
      <w:rFonts w:ascii="Calibri" w:hAnsi="Calibri"/>
      <w:szCs w:val="21"/>
    </w:rPr>
  </w:style>
  <w:style w:type="paragraph" w:styleId="af5">
    <w:name w:val="Title"/>
    <w:basedOn w:val="a"/>
    <w:next w:val="a"/>
    <w:link w:val="af6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6">
    <w:name w:val="כותרת טקסט תו"/>
    <w:basedOn w:val="a0"/>
    <w:link w:val="af5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aa">
    <w:name w:val="פיסקת רשימה תו"/>
    <w:basedOn w:val="a0"/>
    <w:link w:val="a9"/>
    <w:uiPriority w:val="34"/>
    <w:locked/>
    <w:rsid w:val="007F01AE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4FD3-C791-4641-BA52-60AD78B9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5126</Characters>
  <Application>Microsoft Office Word</Application>
  <DocSecurity>4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2025-10-08T07:59:00Z</dcterms:created>
  <dcterms:modified xsi:type="dcterms:W3CDTF">2025-10-08T07:59:00Z</dcterms:modified>
</cp:coreProperties>
</file>