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1140B3" w14:textId="32305E81" w:rsidR="00650B9A" w:rsidRPr="00572AEE" w:rsidRDefault="00D10A68" w:rsidP="00A60E0E">
      <w:pPr>
        <w:pStyle w:val="regpar"/>
        <w:spacing w:line="300" w:lineRule="atLeast"/>
        <w:ind w:firstLine="0"/>
        <w:jc w:val="center"/>
        <w:rPr>
          <w:rFonts w:asciiTheme="minorHAnsi" w:hAnsiTheme="minorHAnsi" w:cstheme="minorHAnsi"/>
          <w:bCs/>
          <w:sz w:val="22"/>
          <w:szCs w:val="22"/>
        </w:rPr>
      </w:pPr>
      <w:r w:rsidRPr="00572AEE">
        <w:rPr>
          <w:rFonts w:asciiTheme="minorHAnsi" w:hAnsiTheme="minorHAnsi" w:cstheme="minorHAnsi"/>
          <w:noProof/>
          <w:sz w:val="22"/>
          <w:szCs w:val="22"/>
        </w:rPr>
        <w:drawing>
          <wp:inline distT="0" distB="0" distL="0" distR="0" wp14:anchorId="5B9D45C1" wp14:editId="3B89D800">
            <wp:extent cx="975360" cy="975360"/>
            <wp:effectExtent l="0" t="0" r="0" b="0"/>
            <wp:docPr id="1" name="Picture 1" descr="\\portals\DavWWWRoot\sites\boi\about\Mitug\DocList\Logo Bank of Israel 2 color\Logo Bank of Israel 2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als\DavWWWRoot\sites\boi\about\Mitug\DocList\Logo Bank of Israel 2 color\Logo Bank of Israel 2 colo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5360" cy="975360"/>
                    </a:xfrm>
                    <a:prstGeom prst="rect">
                      <a:avLst/>
                    </a:prstGeom>
                    <a:noFill/>
                    <a:ln>
                      <a:noFill/>
                    </a:ln>
                  </pic:spPr>
                </pic:pic>
              </a:graphicData>
            </a:graphic>
          </wp:inline>
        </w:drawing>
      </w:r>
    </w:p>
    <w:p w14:paraId="5A42A60F" w14:textId="77777777" w:rsidR="00125AB8" w:rsidRPr="00572AEE" w:rsidRDefault="00125AB8" w:rsidP="00A60E0E">
      <w:pPr>
        <w:pStyle w:val="regpar"/>
        <w:spacing w:line="300" w:lineRule="atLeast"/>
        <w:ind w:firstLine="0"/>
        <w:jc w:val="center"/>
        <w:rPr>
          <w:rFonts w:asciiTheme="minorHAnsi" w:hAnsiTheme="minorHAnsi" w:cstheme="minorHAnsi"/>
          <w:bCs/>
          <w:sz w:val="22"/>
          <w:szCs w:val="22"/>
        </w:rPr>
      </w:pPr>
    </w:p>
    <w:p w14:paraId="5FEC0092" w14:textId="77777777" w:rsidR="00650B9A" w:rsidRPr="00572AEE" w:rsidRDefault="00650B9A" w:rsidP="00A60E0E">
      <w:pPr>
        <w:pStyle w:val="regpar"/>
        <w:spacing w:line="300" w:lineRule="atLeast"/>
        <w:ind w:firstLine="0"/>
        <w:jc w:val="center"/>
        <w:rPr>
          <w:rFonts w:asciiTheme="minorHAnsi" w:hAnsiTheme="minorHAnsi" w:cstheme="minorHAnsi"/>
          <w:b/>
          <w:sz w:val="22"/>
          <w:szCs w:val="22"/>
        </w:rPr>
      </w:pPr>
      <w:r w:rsidRPr="00572AEE">
        <w:rPr>
          <w:rFonts w:asciiTheme="minorHAnsi" w:hAnsiTheme="minorHAnsi" w:cstheme="minorHAnsi"/>
          <w:b/>
          <w:sz w:val="22"/>
          <w:szCs w:val="22"/>
        </w:rPr>
        <w:t>BANK OF ISRAEL</w:t>
      </w:r>
    </w:p>
    <w:p w14:paraId="7BDED074" w14:textId="1F140308" w:rsidR="00650B9A" w:rsidRPr="00572AEE" w:rsidRDefault="00650B9A" w:rsidP="0009048D">
      <w:pPr>
        <w:pStyle w:val="regpar"/>
        <w:spacing w:line="300" w:lineRule="atLeast"/>
        <w:ind w:firstLine="0"/>
        <w:jc w:val="center"/>
        <w:rPr>
          <w:rFonts w:asciiTheme="minorHAnsi" w:hAnsiTheme="minorHAnsi" w:cstheme="minorHAnsi"/>
          <w:sz w:val="22"/>
          <w:szCs w:val="22"/>
        </w:rPr>
      </w:pPr>
      <w:r w:rsidRPr="00572AEE">
        <w:rPr>
          <w:rFonts w:asciiTheme="minorHAnsi" w:hAnsiTheme="minorHAnsi" w:cstheme="minorHAnsi"/>
          <w:sz w:val="22"/>
          <w:szCs w:val="22"/>
        </w:rPr>
        <w:t xml:space="preserve">Office of the </w:t>
      </w:r>
      <w:r w:rsidR="0009048D" w:rsidRPr="00572AEE">
        <w:rPr>
          <w:rFonts w:asciiTheme="minorHAnsi" w:hAnsiTheme="minorHAnsi" w:cstheme="minorHAnsi"/>
          <w:sz w:val="22"/>
          <w:szCs w:val="22"/>
        </w:rPr>
        <w:t>Spokesperson and Economic Information</w:t>
      </w:r>
    </w:p>
    <w:p w14:paraId="5DC516B5" w14:textId="6D04FE8F" w:rsidR="0009048D" w:rsidRPr="00572AEE" w:rsidRDefault="0009048D" w:rsidP="0009048D">
      <w:pPr>
        <w:pStyle w:val="regpar"/>
        <w:spacing w:line="300" w:lineRule="atLeast"/>
        <w:ind w:firstLine="0"/>
        <w:jc w:val="center"/>
        <w:rPr>
          <w:rFonts w:asciiTheme="minorHAnsi" w:hAnsiTheme="minorHAnsi" w:cstheme="minorHAnsi"/>
          <w:sz w:val="22"/>
          <w:szCs w:val="22"/>
        </w:rPr>
      </w:pPr>
    </w:p>
    <w:p w14:paraId="73A6A7DC" w14:textId="3569AD15" w:rsidR="0009048D" w:rsidRPr="00572AEE" w:rsidRDefault="0009048D" w:rsidP="0009048D">
      <w:pPr>
        <w:pStyle w:val="regpar"/>
        <w:spacing w:line="300" w:lineRule="atLeast"/>
        <w:ind w:firstLine="0"/>
        <w:jc w:val="center"/>
        <w:rPr>
          <w:rFonts w:asciiTheme="minorHAnsi" w:hAnsiTheme="minorHAnsi" w:cstheme="minorHAnsi"/>
          <w:sz w:val="22"/>
          <w:szCs w:val="22"/>
        </w:rPr>
      </w:pPr>
      <w:r w:rsidRPr="00572AEE">
        <w:rPr>
          <w:rFonts w:asciiTheme="minorHAnsi" w:hAnsiTheme="minorHAnsi" w:cstheme="minorHAnsi"/>
          <w:sz w:val="22"/>
          <w:szCs w:val="22"/>
        </w:rPr>
        <w:t>Press release</w:t>
      </w:r>
    </w:p>
    <w:p w14:paraId="2DEFF62A" w14:textId="77777777" w:rsidR="00DD0AB5" w:rsidRPr="00572AEE" w:rsidRDefault="00DD0AB5" w:rsidP="00A60E0E">
      <w:pPr>
        <w:pStyle w:val="regpar"/>
        <w:spacing w:line="300" w:lineRule="atLeast"/>
        <w:ind w:firstLine="0"/>
        <w:jc w:val="center"/>
        <w:rPr>
          <w:rFonts w:asciiTheme="minorHAnsi" w:hAnsiTheme="minorHAnsi" w:cstheme="minorHAnsi"/>
          <w:b/>
          <w:sz w:val="22"/>
          <w:szCs w:val="22"/>
        </w:rPr>
      </w:pPr>
    </w:p>
    <w:p w14:paraId="0CD9A423" w14:textId="78E959D1" w:rsidR="007617BD" w:rsidRPr="00572AEE" w:rsidRDefault="00B40E3B" w:rsidP="002A556A">
      <w:pPr>
        <w:pStyle w:val="regpar"/>
        <w:rPr>
          <w:rFonts w:asciiTheme="minorHAnsi" w:hAnsiTheme="minorHAnsi" w:cstheme="minorHAnsi"/>
          <w:sz w:val="22"/>
          <w:szCs w:val="22"/>
        </w:rPr>
      </w:pPr>
      <w:r w:rsidRPr="00572AEE">
        <w:rPr>
          <w:rFonts w:asciiTheme="minorHAnsi" w:hAnsiTheme="minorHAnsi" w:cstheme="minorHAnsi"/>
          <w:sz w:val="22"/>
          <w:szCs w:val="22"/>
        </w:rPr>
        <w:t xml:space="preserve">March </w:t>
      </w:r>
      <w:r w:rsidR="002A556A" w:rsidRPr="00572AEE">
        <w:rPr>
          <w:rFonts w:asciiTheme="minorHAnsi" w:hAnsiTheme="minorHAnsi" w:cstheme="minorHAnsi"/>
          <w:sz w:val="22"/>
          <w:szCs w:val="22"/>
        </w:rPr>
        <w:t>16</w:t>
      </w:r>
      <w:r w:rsidR="00443EB3" w:rsidRPr="00572AEE">
        <w:rPr>
          <w:rFonts w:asciiTheme="minorHAnsi" w:hAnsiTheme="minorHAnsi" w:cstheme="minorHAnsi"/>
          <w:sz w:val="22"/>
          <w:szCs w:val="22"/>
        </w:rPr>
        <w:t xml:space="preserve">, </w:t>
      </w:r>
      <w:r w:rsidR="002A556A" w:rsidRPr="00572AEE">
        <w:rPr>
          <w:rFonts w:asciiTheme="minorHAnsi" w:hAnsiTheme="minorHAnsi" w:cstheme="minorHAnsi"/>
          <w:sz w:val="22"/>
          <w:szCs w:val="22"/>
        </w:rPr>
        <w:t>2026</w:t>
      </w:r>
    </w:p>
    <w:p w14:paraId="22D7AE78" w14:textId="3BEA9B84" w:rsidR="00F23C43" w:rsidRPr="00572AEE" w:rsidRDefault="00F23C43" w:rsidP="00F23C43">
      <w:pPr>
        <w:pStyle w:val="regpar"/>
        <w:rPr>
          <w:rFonts w:asciiTheme="minorHAnsi" w:hAnsiTheme="minorHAnsi" w:cstheme="minorHAnsi"/>
          <w:sz w:val="22"/>
          <w:szCs w:val="22"/>
        </w:rPr>
      </w:pPr>
    </w:p>
    <w:p w14:paraId="325CE029" w14:textId="30104A21" w:rsidR="00D00CF7" w:rsidRPr="00572AEE" w:rsidRDefault="00D00CF7" w:rsidP="00D00CF7">
      <w:pPr>
        <w:pStyle w:val="regpar"/>
        <w:jc w:val="center"/>
        <w:rPr>
          <w:rFonts w:asciiTheme="minorHAnsi" w:hAnsiTheme="minorHAnsi" w:cstheme="minorHAnsi"/>
          <w:b/>
          <w:bCs/>
          <w:sz w:val="22"/>
          <w:szCs w:val="22"/>
        </w:rPr>
      </w:pPr>
    </w:p>
    <w:p w14:paraId="7BF8A788" w14:textId="79CE10B3" w:rsidR="00D00CF7" w:rsidRPr="00572AEE" w:rsidRDefault="00D40FBB" w:rsidP="0087598A">
      <w:pPr>
        <w:pStyle w:val="regpar"/>
        <w:ind w:firstLine="0"/>
        <w:jc w:val="center"/>
        <w:rPr>
          <w:rFonts w:asciiTheme="minorHAnsi" w:hAnsiTheme="minorHAnsi" w:cstheme="minorHAnsi"/>
          <w:b/>
          <w:bCs/>
          <w:sz w:val="22"/>
          <w:szCs w:val="22"/>
        </w:rPr>
      </w:pPr>
      <w:r>
        <w:rPr>
          <w:rFonts w:asciiTheme="minorHAnsi" w:hAnsiTheme="minorHAnsi" w:cstheme="minorHAnsi"/>
          <w:b/>
          <w:bCs/>
          <w:sz w:val="22"/>
          <w:szCs w:val="22"/>
        </w:rPr>
        <w:t>The Bank of Israel P</w:t>
      </w:r>
      <w:r w:rsidR="00B40E3B" w:rsidRPr="00572AEE">
        <w:rPr>
          <w:rFonts w:asciiTheme="minorHAnsi" w:hAnsiTheme="minorHAnsi" w:cstheme="minorHAnsi"/>
          <w:b/>
          <w:bCs/>
          <w:sz w:val="22"/>
          <w:szCs w:val="22"/>
        </w:rPr>
        <w:t>ublishes t</w:t>
      </w:r>
      <w:r w:rsidR="002A556A" w:rsidRPr="00572AEE">
        <w:rPr>
          <w:rFonts w:asciiTheme="minorHAnsi" w:hAnsiTheme="minorHAnsi" w:cstheme="minorHAnsi"/>
          <w:b/>
          <w:bCs/>
          <w:sz w:val="22"/>
          <w:szCs w:val="22"/>
        </w:rPr>
        <w:t>he Statistical Bulletin for 2025</w:t>
      </w:r>
    </w:p>
    <w:p w14:paraId="57364676" w14:textId="31A5CF0C" w:rsidR="00477DE2" w:rsidRPr="00572AEE" w:rsidRDefault="00477DE2" w:rsidP="00477DE2">
      <w:pPr>
        <w:pStyle w:val="regpar"/>
        <w:ind w:firstLine="0"/>
        <w:jc w:val="center"/>
        <w:rPr>
          <w:rFonts w:asciiTheme="minorHAnsi" w:hAnsiTheme="minorHAnsi" w:cstheme="minorHAnsi"/>
          <w:b/>
          <w:bCs/>
          <w:sz w:val="22"/>
          <w:szCs w:val="22"/>
        </w:rPr>
      </w:pPr>
    </w:p>
    <w:p w14:paraId="183999F7" w14:textId="62E7551D" w:rsidR="002A556A" w:rsidRPr="00572AEE" w:rsidRDefault="002A556A" w:rsidP="0051037A">
      <w:pPr>
        <w:shd w:val="clear" w:color="auto" w:fill="FFFFFF"/>
        <w:spacing w:after="240"/>
        <w:jc w:val="both"/>
        <w:rPr>
          <w:rFonts w:asciiTheme="minorHAnsi" w:hAnsiTheme="minorHAnsi" w:cstheme="minorHAnsi"/>
          <w:color w:val="242424"/>
          <w:sz w:val="22"/>
          <w:szCs w:val="22"/>
        </w:rPr>
      </w:pPr>
      <w:bookmarkStart w:id="0" w:name="_GoBack"/>
      <w:r w:rsidRPr="00572AEE">
        <w:rPr>
          <w:rFonts w:asciiTheme="minorHAnsi" w:hAnsiTheme="minorHAnsi" w:cstheme="minorHAnsi"/>
          <w:color w:val="242424"/>
          <w:sz w:val="22"/>
          <w:szCs w:val="22"/>
        </w:rPr>
        <w:t xml:space="preserve">The Statistical Bulletin report published today surveys the main developments in financial statistics on the economy in the past year. </w:t>
      </w:r>
    </w:p>
    <w:p w14:paraId="5FFF03E6" w14:textId="22E047AB" w:rsidR="002A556A" w:rsidRPr="00350B0B" w:rsidRDefault="002A556A" w:rsidP="00620EA9">
      <w:pPr>
        <w:shd w:val="clear" w:color="auto" w:fill="FFFFFF"/>
        <w:spacing w:after="240"/>
        <w:jc w:val="both"/>
        <w:rPr>
          <w:rFonts w:asciiTheme="minorHAnsi" w:hAnsiTheme="minorHAnsi" w:cstheme="minorHAnsi"/>
          <w:color w:val="242424"/>
          <w:sz w:val="22"/>
          <w:szCs w:val="22"/>
        </w:rPr>
      </w:pPr>
      <w:r w:rsidRPr="00350B0B">
        <w:rPr>
          <w:rFonts w:asciiTheme="minorHAnsi" w:hAnsiTheme="minorHAnsi" w:cstheme="minorHAnsi"/>
          <w:color w:val="242424"/>
          <w:sz w:val="22"/>
          <w:szCs w:val="22"/>
        </w:rPr>
        <w:t>The first part of the Bull</w:t>
      </w:r>
      <w:r w:rsidR="00A6692A" w:rsidRPr="00350B0B">
        <w:rPr>
          <w:rFonts w:asciiTheme="minorHAnsi" w:hAnsiTheme="minorHAnsi" w:cstheme="minorHAnsi"/>
          <w:color w:val="242424"/>
          <w:sz w:val="22"/>
          <w:szCs w:val="22"/>
        </w:rPr>
        <w:t xml:space="preserve">etin deals with four main areas: </w:t>
      </w:r>
      <w:r w:rsidR="005341A7" w:rsidRPr="00350B0B">
        <w:rPr>
          <w:rFonts w:asciiTheme="minorHAnsi" w:hAnsiTheme="minorHAnsi" w:cstheme="minorHAnsi"/>
          <w:color w:val="242424"/>
          <w:sz w:val="22"/>
          <w:szCs w:val="22"/>
        </w:rPr>
        <w:t>t</w:t>
      </w:r>
      <w:r w:rsidRPr="00350B0B">
        <w:rPr>
          <w:rFonts w:asciiTheme="minorHAnsi" w:hAnsiTheme="minorHAnsi" w:cstheme="minorHAnsi"/>
          <w:color w:val="242424"/>
          <w:sz w:val="22"/>
          <w:szCs w:val="22"/>
        </w:rPr>
        <w:t xml:space="preserve">he public’s </w:t>
      </w:r>
      <w:r w:rsidR="005341A7" w:rsidRPr="00350B0B">
        <w:rPr>
          <w:rFonts w:asciiTheme="minorHAnsi" w:hAnsiTheme="minorHAnsi" w:cstheme="minorHAnsi"/>
          <w:color w:val="242424"/>
          <w:sz w:val="22"/>
          <w:szCs w:val="22"/>
        </w:rPr>
        <w:t xml:space="preserve">financial </w:t>
      </w:r>
      <w:r w:rsidRPr="00350B0B">
        <w:rPr>
          <w:rFonts w:asciiTheme="minorHAnsi" w:hAnsiTheme="minorHAnsi" w:cstheme="minorHAnsi"/>
          <w:color w:val="242424"/>
          <w:sz w:val="22"/>
          <w:szCs w:val="22"/>
        </w:rPr>
        <w:t>asset</w:t>
      </w:r>
      <w:r w:rsidR="005341A7" w:rsidRPr="00350B0B">
        <w:rPr>
          <w:rFonts w:asciiTheme="minorHAnsi" w:hAnsiTheme="minorHAnsi" w:cstheme="minorHAnsi"/>
          <w:color w:val="242424"/>
          <w:sz w:val="22"/>
          <w:szCs w:val="22"/>
        </w:rPr>
        <w:t xml:space="preserve">s </w:t>
      </w:r>
      <w:r w:rsidRPr="00350B0B">
        <w:rPr>
          <w:rFonts w:asciiTheme="minorHAnsi" w:hAnsiTheme="minorHAnsi" w:cstheme="minorHAnsi"/>
          <w:color w:val="242424"/>
          <w:sz w:val="22"/>
          <w:szCs w:val="22"/>
        </w:rPr>
        <w:t xml:space="preserve">portfolio, </w:t>
      </w:r>
      <w:r w:rsidR="005341A7" w:rsidRPr="00350B0B">
        <w:rPr>
          <w:rFonts w:asciiTheme="minorHAnsi" w:hAnsiTheme="minorHAnsi" w:cstheme="minorHAnsi"/>
          <w:color w:val="242424"/>
          <w:sz w:val="22"/>
          <w:szCs w:val="22"/>
        </w:rPr>
        <w:t>n</w:t>
      </w:r>
      <w:r w:rsidRPr="00350B0B">
        <w:rPr>
          <w:rFonts w:asciiTheme="minorHAnsi" w:hAnsiTheme="minorHAnsi" w:cstheme="minorHAnsi"/>
          <w:color w:val="242424"/>
          <w:sz w:val="22"/>
          <w:szCs w:val="22"/>
        </w:rPr>
        <w:t>onfinancial business sector debt,</w:t>
      </w:r>
      <w:r w:rsidR="005341A7" w:rsidRPr="00350B0B">
        <w:rPr>
          <w:rFonts w:asciiTheme="minorHAnsi" w:hAnsiTheme="minorHAnsi" w:cstheme="minorHAnsi"/>
          <w:color w:val="242424"/>
          <w:sz w:val="22"/>
          <w:szCs w:val="22"/>
        </w:rPr>
        <w:t xml:space="preserve"> e</w:t>
      </w:r>
      <w:r w:rsidRPr="00350B0B">
        <w:rPr>
          <w:rFonts w:asciiTheme="minorHAnsi" w:hAnsiTheme="minorHAnsi" w:cstheme="minorHAnsi"/>
          <w:color w:val="242424"/>
          <w:sz w:val="22"/>
          <w:szCs w:val="22"/>
        </w:rPr>
        <w:t>conomic activity vis-à-vis abroad, and foreign exchange activity of the main sectors in Israel’s economy.</w:t>
      </w:r>
    </w:p>
    <w:p w14:paraId="44447C38" w14:textId="7076DEB4" w:rsidR="002A556A" w:rsidRPr="00350B0B" w:rsidRDefault="002A556A" w:rsidP="005341A7">
      <w:pPr>
        <w:shd w:val="clear" w:color="auto" w:fill="FFFFFF"/>
        <w:spacing w:after="240"/>
        <w:jc w:val="both"/>
        <w:rPr>
          <w:rFonts w:asciiTheme="minorHAnsi" w:hAnsiTheme="minorHAnsi" w:cstheme="minorHAnsi"/>
          <w:color w:val="242424"/>
          <w:sz w:val="22"/>
          <w:szCs w:val="22"/>
        </w:rPr>
      </w:pPr>
      <w:r w:rsidRPr="00350B0B">
        <w:rPr>
          <w:rFonts w:asciiTheme="minorHAnsi" w:hAnsiTheme="minorHAnsi" w:cstheme="minorHAnsi"/>
          <w:color w:val="242424"/>
          <w:sz w:val="22"/>
          <w:szCs w:val="22"/>
        </w:rPr>
        <w:t xml:space="preserve">The second part of the report present </w:t>
      </w:r>
      <w:proofErr w:type="gramStart"/>
      <w:r w:rsidRPr="00350B0B">
        <w:rPr>
          <w:rFonts w:asciiTheme="minorHAnsi" w:hAnsiTheme="minorHAnsi" w:cstheme="minorHAnsi"/>
          <w:color w:val="242424"/>
          <w:sz w:val="22"/>
          <w:szCs w:val="22"/>
        </w:rPr>
        <w:t>3</w:t>
      </w:r>
      <w:proofErr w:type="gramEnd"/>
      <w:r w:rsidRPr="00350B0B">
        <w:rPr>
          <w:rFonts w:asciiTheme="minorHAnsi" w:hAnsiTheme="minorHAnsi" w:cstheme="minorHAnsi"/>
          <w:color w:val="242424"/>
          <w:sz w:val="22"/>
          <w:szCs w:val="22"/>
        </w:rPr>
        <w:t xml:space="preserve"> research and methodology papers: </w:t>
      </w:r>
      <w:r w:rsidR="005341A7" w:rsidRPr="00350B0B">
        <w:rPr>
          <w:rFonts w:asciiTheme="minorHAnsi" w:hAnsiTheme="minorHAnsi" w:cstheme="minorHAnsi"/>
          <w:color w:val="242424"/>
          <w:sz w:val="22"/>
          <w:szCs w:val="22"/>
        </w:rPr>
        <w:t>a</w:t>
      </w:r>
      <w:r w:rsidRPr="00350B0B">
        <w:rPr>
          <w:rFonts w:asciiTheme="minorHAnsi" w:hAnsiTheme="minorHAnsi" w:cstheme="minorHAnsi"/>
          <w:color w:val="242424"/>
          <w:sz w:val="22"/>
          <w:szCs w:val="22"/>
        </w:rPr>
        <w:t xml:space="preserve"> survey of credit officers in Israel, the public’s gross external debt over time, and characteristics of household securities activity abroad.</w:t>
      </w:r>
    </w:p>
    <w:p w14:paraId="7A5F6A8A" w14:textId="0F8A378F" w:rsidR="00D10A68" w:rsidRPr="00350B0B" w:rsidRDefault="00D10A68" w:rsidP="0051037A">
      <w:pPr>
        <w:shd w:val="clear" w:color="auto" w:fill="FFFFFF"/>
        <w:spacing w:after="240"/>
        <w:jc w:val="both"/>
        <w:rPr>
          <w:rFonts w:asciiTheme="minorHAnsi" w:hAnsiTheme="minorHAnsi" w:cstheme="minorHAnsi"/>
          <w:b/>
          <w:bCs/>
          <w:color w:val="242424"/>
          <w:sz w:val="22"/>
          <w:szCs w:val="22"/>
        </w:rPr>
      </w:pPr>
      <w:r w:rsidRPr="00350B0B">
        <w:rPr>
          <w:rFonts w:asciiTheme="minorHAnsi" w:hAnsiTheme="minorHAnsi" w:cstheme="minorHAnsi"/>
          <w:b/>
          <w:bCs/>
          <w:color w:val="242424"/>
          <w:sz w:val="22"/>
          <w:szCs w:val="22"/>
        </w:rPr>
        <w:t>First part: Main developments in the economy’s financial statistics:</w:t>
      </w:r>
    </w:p>
    <w:p w14:paraId="502693F0" w14:textId="4E298DE3" w:rsidR="00AD3EE6" w:rsidRPr="00350B0B" w:rsidRDefault="00AD3EE6" w:rsidP="0051037A">
      <w:pPr>
        <w:spacing w:before="100" w:beforeAutospacing="1" w:after="100" w:afterAutospacing="1"/>
        <w:jc w:val="both"/>
        <w:rPr>
          <w:rFonts w:asciiTheme="minorHAnsi" w:hAnsiTheme="minorHAnsi" w:cstheme="minorHAnsi"/>
          <w:b/>
          <w:bCs/>
          <w:sz w:val="22"/>
          <w:szCs w:val="22"/>
        </w:rPr>
      </w:pPr>
      <w:r w:rsidRPr="00350B0B">
        <w:rPr>
          <w:rFonts w:asciiTheme="minorHAnsi" w:hAnsiTheme="minorHAnsi" w:cstheme="minorHAnsi"/>
          <w:b/>
          <w:bCs/>
          <w:sz w:val="22"/>
          <w:szCs w:val="22"/>
        </w:rPr>
        <w:t>a. The public’s financial assets portfolio</w:t>
      </w:r>
    </w:p>
    <w:p w14:paraId="664C9321" w14:textId="4F2B455F" w:rsidR="00A671CE" w:rsidRPr="00350B0B" w:rsidRDefault="00A671CE" w:rsidP="00D73EDD">
      <w:pPr>
        <w:pStyle w:val="ListParagraph"/>
        <w:numPr>
          <w:ilvl w:val="0"/>
          <w:numId w:val="25"/>
        </w:numPr>
        <w:spacing w:before="100" w:beforeAutospacing="1" w:after="100" w:afterAutospacing="1"/>
        <w:jc w:val="both"/>
        <w:rPr>
          <w:rFonts w:asciiTheme="minorHAnsi" w:hAnsiTheme="minorHAnsi" w:cstheme="minorHAnsi"/>
          <w:sz w:val="22"/>
          <w:szCs w:val="22"/>
        </w:rPr>
      </w:pPr>
      <w:r w:rsidRPr="00350B0B">
        <w:rPr>
          <w:rFonts w:asciiTheme="minorHAnsi" w:hAnsiTheme="minorHAnsi" w:cstheme="minorHAnsi"/>
          <w:sz w:val="22"/>
          <w:szCs w:val="22"/>
        </w:rPr>
        <w:t xml:space="preserve">In 2025, the total value of </w:t>
      </w:r>
      <w:r w:rsidR="00D73EDD" w:rsidRPr="00350B0B">
        <w:rPr>
          <w:rFonts w:asciiTheme="minorHAnsi" w:hAnsiTheme="minorHAnsi" w:cstheme="minorHAnsi"/>
          <w:sz w:val="22"/>
          <w:szCs w:val="22"/>
        </w:rPr>
        <w:t xml:space="preserve">assets portfolio </w:t>
      </w:r>
      <w:r w:rsidRPr="00350B0B">
        <w:rPr>
          <w:rFonts w:asciiTheme="minorHAnsi" w:hAnsiTheme="minorHAnsi" w:cstheme="minorHAnsi"/>
          <w:sz w:val="22"/>
          <w:szCs w:val="22"/>
        </w:rPr>
        <w:t>held by the public increased by approximately 15.5</w:t>
      </w:r>
      <w:r w:rsidR="00350C13" w:rsidRPr="00350B0B">
        <w:rPr>
          <w:rFonts w:asciiTheme="minorHAnsi" w:hAnsiTheme="minorHAnsi" w:cstheme="minorHAnsi"/>
          <w:sz w:val="22"/>
          <w:szCs w:val="22"/>
        </w:rPr>
        <w:t xml:space="preserve"> percent</w:t>
      </w:r>
      <w:r w:rsidRPr="00350B0B">
        <w:rPr>
          <w:rFonts w:asciiTheme="minorHAnsi" w:hAnsiTheme="minorHAnsi" w:cstheme="minorHAnsi"/>
          <w:sz w:val="22"/>
          <w:szCs w:val="22"/>
        </w:rPr>
        <w:t xml:space="preserve"> (around NIS 963 billion), </w:t>
      </w:r>
      <w:r w:rsidR="00D73EDD" w:rsidRPr="00350B0B">
        <w:rPr>
          <w:rFonts w:asciiTheme="minorHAnsi" w:hAnsiTheme="minorHAnsi" w:cstheme="minorHAnsi"/>
          <w:sz w:val="22"/>
          <w:szCs w:val="22"/>
        </w:rPr>
        <w:t xml:space="preserve">to </w:t>
      </w:r>
      <w:r w:rsidRPr="00350B0B">
        <w:rPr>
          <w:rFonts w:asciiTheme="minorHAnsi" w:hAnsiTheme="minorHAnsi" w:cstheme="minorHAnsi"/>
          <w:sz w:val="22"/>
          <w:szCs w:val="22"/>
        </w:rPr>
        <w:t>about NIS 7.2 trillion. This growth rate was significantly higher than the average annual increase of roughly 7</w:t>
      </w:r>
      <w:r w:rsidR="00350C13" w:rsidRPr="00350B0B">
        <w:rPr>
          <w:rFonts w:asciiTheme="minorHAnsi" w:hAnsiTheme="minorHAnsi" w:cstheme="minorHAnsi"/>
          <w:sz w:val="22"/>
          <w:szCs w:val="22"/>
        </w:rPr>
        <w:t xml:space="preserve"> percent</w:t>
      </w:r>
      <w:r w:rsidRPr="00350B0B">
        <w:rPr>
          <w:rFonts w:asciiTheme="minorHAnsi" w:hAnsiTheme="minorHAnsi" w:cstheme="minorHAnsi"/>
          <w:sz w:val="22"/>
          <w:szCs w:val="22"/>
        </w:rPr>
        <w:t xml:space="preserve"> recorded over the past decade.</w:t>
      </w:r>
    </w:p>
    <w:p w14:paraId="22B53A2C" w14:textId="77777777" w:rsidR="00A671CE" w:rsidRPr="00350B0B" w:rsidRDefault="00A671CE" w:rsidP="007650EA">
      <w:pPr>
        <w:pStyle w:val="ListParagraph"/>
        <w:numPr>
          <w:ilvl w:val="0"/>
          <w:numId w:val="25"/>
        </w:numPr>
        <w:spacing w:before="100" w:beforeAutospacing="1" w:after="100" w:afterAutospacing="1"/>
        <w:jc w:val="both"/>
        <w:rPr>
          <w:rFonts w:asciiTheme="minorHAnsi" w:hAnsiTheme="minorHAnsi" w:cstheme="minorHAnsi"/>
          <w:sz w:val="22"/>
          <w:szCs w:val="22"/>
        </w:rPr>
      </w:pPr>
      <w:r w:rsidRPr="00350B0B">
        <w:rPr>
          <w:rFonts w:asciiTheme="minorHAnsi" w:hAnsiTheme="minorHAnsi" w:cstheme="minorHAnsi"/>
          <w:sz w:val="22"/>
          <w:szCs w:val="22"/>
        </w:rPr>
        <w:t>The equity component in Israel rose by NIS 459 billion, alongside an increase of about NIS 211 billion in cash and deposits.</w:t>
      </w:r>
    </w:p>
    <w:p w14:paraId="1D857404" w14:textId="6EC7EECF" w:rsidR="00A671CE" w:rsidRPr="00350B0B" w:rsidRDefault="00620EA9" w:rsidP="00620EA9">
      <w:pPr>
        <w:pStyle w:val="ListParagraph"/>
        <w:numPr>
          <w:ilvl w:val="0"/>
          <w:numId w:val="25"/>
        </w:numPr>
        <w:spacing w:before="100" w:beforeAutospacing="1" w:after="100" w:afterAutospacing="1"/>
        <w:jc w:val="both"/>
        <w:rPr>
          <w:rFonts w:asciiTheme="minorHAnsi" w:hAnsiTheme="minorHAnsi" w:cstheme="minorHAnsi"/>
          <w:sz w:val="22"/>
          <w:szCs w:val="22"/>
        </w:rPr>
      </w:pPr>
      <w:r w:rsidRPr="00350B0B">
        <w:rPr>
          <w:rFonts w:asciiTheme="minorHAnsi" w:hAnsiTheme="minorHAnsi" w:cstheme="minorHAnsi"/>
          <w:sz w:val="22"/>
          <w:szCs w:val="22"/>
        </w:rPr>
        <w:t>T</w:t>
      </w:r>
      <w:r w:rsidR="00A671CE" w:rsidRPr="00350B0B">
        <w:rPr>
          <w:rFonts w:asciiTheme="minorHAnsi" w:hAnsiTheme="minorHAnsi" w:cstheme="minorHAnsi"/>
          <w:sz w:val="22"/>
          <w:szCs w:val="22"/>
        </w:rPr>
        <w:t>he assets of mutual funds reached an all-time high of NIS 757 billion.</w:t>
      </w:r>
    </w:p>
    <w:p w14:paraId="448220EC" w14:textId="23C0829D" w:rsidR="00D10A68" w:rsidRPr="00350B0B" w:rsidRDefault="00A671CE" w:rsidP="0051037A">
      <w:pPr>
        <w:pStyle w:val="regpar"/>
        <w:jc w:val="both"/>
        <w:rPr>
          <w:rFonts w:asciiTheme="minorHAnsi" w:hAnsiTheme="minorHAnsi" w:cstheme="minorHAnsi"/>
          <w:b/>
          <w:bCs/>
          <w:sz w:val="22"/>
          <w:szCs w:val="22"/>
        </w:rPr>
      </w:pPr>
      <w:r w:rsidRPr="00350B0B">
        <w:rPr>
          <w:rFonts w:asciiTheme="minorHAnsi" w:hAnsiTheme="minorHAnsi" w:cstheme="minorHAnsi"/>
          <w:b/>
          <w:bCs/>
          <w:sz w:val="22"/>
          <w:szCs w:val="22"/>
        </w:rPr>
        <w:t> </w:t>
      </w:r>
    </w:p>
    <w:p w14:paraId="44789CA4" w14:textId="1AA649F8" w:rsidR="00D10A68" w:rsidRPr="00350B0B" w:rsidRDefault="00AD3EE6" w:rsidP="0051037A">
      <w:pPr>
        <w:pStyle w:val="regpar"/>
        <w:ind w:firstLine="0"/>
        <w:jc w:val="both"/>
        <w:rPr>
          <w:rFonts w:asciiTheme="minorHAnsi" w:hAnsiTheme="minorHAnsi" w:cstheme="minorHAnsi"/>
          <w:b/>
          <w:bCs/>
          <w:sz w:val="22"/>
          <w:szCs w:val="22"/>
        </w:rPr>
      </w:pPr>
      <w:r w:rsidRPr="00350B0B">
        <w:rPr>
          <w:rFonts w:asciiTheme="minorHAnsi" w:hAnsiTheme="minorHAnsi" w:cstheme="minorHAnsi"/>
          <w:b/>
          <w:bCs/>
          <w:sz w:val="22"/>
          <w:szCs w:val="22"/>
        </w:rPr>
        <w:t>b. The nonfinancial private sector’s debt</w:t>
      </w:r>
    </w:p>
    <w:p w14:paraId="0B889CEC" w14:textId="7F6DC760" w:rsidR="00AD3EE6" w:rsidRPr="00350B0B" w:rsidRDefault="00AD3EE6" w:rsidP="00350B0B">
      <w:pPr>
        <w:pStyle w:val="ListParagraph"/>
        <w:numPr>
          <w:ilvl w:val="0"/>
          <w:numId w:val="29"/>
        </w:numPr>
        <w:spacing w:before="100" w:beforeAutospacing="1" w:after="100" w:afterAutospacing="1"/>
        <w:ind w:left="426"/>
        <w:jc w:val="both"/>
        <w:rPr>
          <w:rFonts w:asciiTheme="minorHAnsi" w:hAnsiTheme="minorHAnsi" w:cstheme="minorHAnsi"/>
          <w:sz w:val="22"/>
          <w:szCs w:val="22"/>
        </w:rPr>
      </w:pPr>
      <w:r w:rsidRPr="00350B0B">
        <w:rPr>
          <w:rFonts w:asciiTheme="minorHAnsi" w:hAnsiTheme="minorHAnsi" w:cstheme="minorHAnsi"/>
          <w:sz w:val="22"/>
          <w:szCs w:val="22"/>
        </w:rPr>
        <w:t>In 2025, the outstanding debt of the nonfinancial private sector increased by approximately NIS 204 billion (9</w:t>
      </w:r>
      <w:r w:rsidR="00350C13" w:rsidRPr="00350B0B">
        <w:rPr>
          <w:rFonts w:asciiTheme="minorHAnsi" w:hAnsiTheme="minorHAnsi" w:cstheme="minorHAnsi"/>
          <w:sz w:val="22"/>
          <w:szCs w:val="22"/>
        </w:rPr>
        <w:t xml:space="preserve"> percent</w:t>
      </w:r>
      <w:r w:rsidRPr="00350B0B">
        <w:rPr>
          <w:rFonts w:asciiTheme="minorHAnsi" w:hAnsiTheme="minorHAnsi" w:cstheme="minorHAnsi"/>
          <w:sz w:val="22"/>
          <w:szCs w:val="22"/>
        </w:rPr>
        <w:t>), a higher expansion than in the previous year, reaching about NIS 2.5 trillion by year</w:t>
      </w:r>
      <w:r w:rsidRPr="00350B0B">
        <w:rPr>
          <w:rFonts w:asciiTheme="minorHAnsi" w:hAnsiTheme="minorHAnsi" w:cstheme="minorHAnsi"/>
          <w:sz w:val="22"/>
          <w:szCs w:val="22"/>
        </w:rPr>
        <w:noBreakHyphen/>
        <w:t>end.</w:t>
      </w:r>
    </w:p>
    <w:p w14:paraId="3C39E9E5" w14:textId="77777777" w:rsidR="00350B0B" w:rsidRPr="00350B0B" w:rsidRDefault="00AD3EE6" w:rsidP="00350B0B">
      <w:pPr>
        <w:pStyle w:val="ListParagraph"/>
        <w:numPr>
          <w:ilvl w:val="0"/>
          <w:numId w:val="29"/>
        </w:numPr>
        <w:spacing w:before="100" w:beforeAutospacing="1" w:after="100" w:afterAutospacing="1"/>
        <w:ind w:left="426"/>
        <w:jc w:val="both"/>
        <w:rPr>
          <w:rFonts w:asciiTheme="minorHAnsi" w:hAnsiTheme="minorHAnsi" w:cstheme="minorHAnsi"/>
          <w:sz w:val="22"/>
          <w:szCs w:val="22"/>
        </w:rPr>
      </w:pPr>
      <w:r w:rsidRPr="00350B0B">
        <w:rPr>
          <w:rFonts w:asciiTheme="minorHAnsi" w:hAnsiTheme="minorHAnsi" w:cstheme="minorHAnsi"/>
          <w:sz w:val="22"/>
          <w:szCs w:val="22"/>
        </w:rPr>
        <w:t xml:space="preserve">The </w:t>
      </w:r>
      <w:r w:rsidR="00385F92" w:rsidRPr="00350B0B">
        <w:rPr>
          <w:rFonts w:asciiTheme="minorHAnsi" w:hAnsiTheme="minorHAnsi" w:cstheme="minorHAnsi"/>
          <w:sz w:val="22"/>
          <w:szCs w:val="22"/>
        </w:rPr>
        <w:t xml:space="preserve">nonfinancial </w:t>
      </w:r>
      <w:r w:rsidRPr="00350B0B">
        <w:rPr>
          <w:rFonts w:asciiTheme="minorHAnsi" w:hAnsiTheme="minorHAnsi" w:cstheme="minorHAnsi"/>
          <w:sz w:val="22"/>
          <w:szCs w:val="22"/>
        </w:rPr>
        <w:t>business sector’s debt grew by 11</w:t>
      </w:r>
      <w:r w:rsidR="00350C13" w:rsidRPr="00350B0B">
        <w:rPr>
          <w:rFonts w:asciiTheme="minorHAnsi" w:hAnsiTheme="minorHAnsi" w:cstheme="minorHAnsi"/>
          <w:sz w:val="22"/>
          <w:szCs w:val="22"/>
        </w:rPr>
        <w:t xml:space="preserve"> percent</w:t>
      </w:r>
      <w:r w:rsidRPr="00350B0B">
        <w:rPr>
          <w:rFonts w:asciiTheme="minorHAnsi" w:hAnsiTheme="minorHAnsi" w:cstheme="minorHAnsi"/>
          <w:sz w:val="22"/>
          <w:szCs w:val="22"/>
        </w:rPr>
        <w:t>, (exceeding the average annual growth rate of 6</w:t>
      </w:r>
      <w:r w:rsidR="00350C13" w:rsidRPr="00350B0B">
        <w:rPr>
          <w:rFonts w:asciiTheme="minorHAnsi" w:hAnsiTheme="minorHAnsi" w:cstheme="minorHAnsi"/>
          <w:sz w:val="22"/>
          <w:szCs w:val="22"/>
        </w:rPr>
        <w:t xml:space="preserve"> percent</w:t>
      </w:r>
      <w:r w:rsidRPr="00350B0B">
        <w:rPr>
          <w:rFonts w:asciiTheme="minorHAnsi" w:hAnsiTheme="minorHAnsi" w:cstheme="minorHAnsi"/>
          <w:sz w:val="22"/>
          <w:szCs w:val="22"/>
        </w:rPr>
        <w:t xml:space="preserve"> over the past decade). This increase </w:t>
      </w:r>
      <w:proofErr w:type="gramStart"/>
      <w:r w:rsidRPr="00350B0B">
        <w:rPr>
          <w:rFonts w:asciiTheme="minorHAnsi" w:hAnsiTheme="minorHAnsi" w:cstheme="minorHAnsi"/>
          <w:sz w:val="22"/>
          <w:szCs w:val="22"/>
        </w:rPr>
        <w:t>was driven</w:t>
      </w:r>
      <w:proofErr w:type="gramEnd"/>
      <w:r w:rsidRPr="00350B0B">
        <w:rPr>
          <w:rFonts w:asciiTheme="minorHAnsi" w:hAnsiTheme="minorHAnsi" w:cstheme="minorHAnsi"/>
          <w:sz w:val="22"/>
          <w:szCs w:val="22"/>
        </w:rPr>
        <w:t xml:space="preserve"> mainly by net debt issuance, concentrated in domestic bank loans and tradable bonds. </w:t>
      </w:r>
    </w:p>
    <w:p w14:paraId="12F8B81E" w14:textId="0CA8A11F" w:rsidR="00AD3EE6" w:rsidRPr="00350B0B" w:rsidRDefault="00AD3EE6" w:rsidP="00350B0B">
      <w:pPr>
        <w:pStyle w:val="ListParagraph"/>
        <w:numPr>
          <w:ilvl w:val="0"/>
          <w:numId w:val="29"/>
        </w:numPr>
        <w:spacing w:before="100" w:beforeAutospacing="1" w:after="100" w:afterAutospacing="1"/>
        <w:ind w:left="426"/>
        <w:jc w:val="both"/>
        <w:rPr>
          <w:rFonts w:asciiTheme="minorHAnsi" w:hAnsiTheme="minorHAnsi" w:cstheme="minorHAnsi"/>
          <w:sz w:val="22"/>
          <w:szCs w:val="22"/>
        </w:rPr>
      </w:pPr>
      <w:r w:rsidRPr="00350B0B">
        <w:rPr>
          <w:rFonts w:asciiTheme="minorHAnsi" w:hAnsiTheme="minorHAnsi" w:cstheme="minorHAnsi"/>
          <w:sz w:val="22"/>
          <w:szCs w:val="22"/>
        </w:rPr>
        <w:t xml:space="preserve">The largest rise in </w:t>
      </w:r>
      <w:r w:rsidR="00385F92" w:rsidRPr="00350B0B">
        <w:rPr>
          <w:rFonts w:asciiTheme="minorHAnsi" w:hAnsiTheme="minorHAnsi" w:cstheme="minorHAnsi"/>
          <w:sz w:val="22"/>
          <w:szCs w:val="22"/>
        </w:rPr>
        <w:t xml:space="preserve">nonfinancial </w:t>
      </w:r>
      <w:r w:rsidRPr="00350B0B">
        <w:rPr>
          <w:rFonts w:asciiTheme="minorHAnsi" w:hAnsiTheme="minorHAnsi" w:cstheme="minorHAnsi"/>
          <w:sz w:val="22"/>
          <w:szCs w:val="22"/>
        </w:rPr>
        <w:t>business sector debt was in the real estate and construction industries, where debt reached NIS 534 billion as of September 2025, accounting for 36</w:t>
      </w:r>
      <w:r w:rsidR="00350C13" w:rsidRPr="00350B0B">
        <w:rPr>
          <w:rFonts w:asciiTheme="minorHAnsi" w:hAnsiTheme="minorHAnsi" w:cstheme="minorHAnsi"/>
          <w:sz w:val="22"/>
          <w:szCs w:val="22"/>
        </w:rPr>
        <w:t xml:space="preserve"> percent</w:t>
      </w:r>
      <w:r w:rsidRPr="00350B0B">
        <w:rPr>
          <w:rFonts w:asciiTheme="minorHAnsi" w:hAnsiTheme="minorHAnsi" w:cstheme="minorHAnsi"/>
          <w:sz w:val="22"/>
          <w:szCs w:val="22"/>
        </w:rPr>
        <w:t xml:space="preserve"> of total </w:t>
      </w:r>
      <w:r w:rsidR="00385F92" w:rsidRPr="00350B0B">
        <w:rPr>
          <w:rFonts w:asciiTheme="minorHAnsi" w:hAnsiTheme="minorHAnsi" w:cstheme="minorHAnsi"/>
          <w:sz w:val="22"/>
          <w:szCs w:val="22"/>
        </w:rPr>
        <w:t xml:space="preserve">nonfinancial </w:t>
      </w:r>
      <w:r w:rsidRPr="00350B0B">
        <w:rPr>
          <w:rFonts w:asciiTheme="minorHAnsi" w:hAnsiTheme="minorHAnsi" w:cstheme="minorHAnsi"/>
          <w:sz w:val="22"/>
          <w:szCs w:val="22"/>
        </w:rPr>
        <w:t>business sector debt.</w:t>
      </w:r>
    </w:p>
    <w:p w14:paraId="6ABC1B15" w14:textId="4C9BBF42" w:rsidR="00AD3EE6" w:rsidRPr="00350B0B" w:rsidRDefault="00AD3EE6" w:rsidP="00350B0B">
      <w:pPr>
        <w:pStyle w:val="ListParagraph"/>
        <w:numPr>
          <w:ilvl w:val="0"/>
          <w:numId w:val="29"/>
        </w:numPr>
        <w:spacing w:before="100" w:beforeAutospacing="1" w:after="100" w:afterAutospacing="1"/>
        <w:ind w:left="426"/>
        <w:jc w:val="both"/>
        <w:rPr>
          <w:rFonts w:asciiTheme="minorHAnsi" w:hAnsiTheme="minorHAnsi" w:cstheme="minorHAnsi"/>
          <w:sz w:val="22"/>
          <w:szCs w:val="22"/>
        </w:rPr>
      </w:pPr>
      <w:r w:rsidRPr="00350B0B">
        <w:rPr>
          <w:rFonts w:asciiTheme="minorHAnsi" w:hAnsiTheme="minorHAnsi" w:cstheme="minorHAnsi"/>
          <w:sz w:val="22"/>
          <w:szCs w:val="22"/>
        </w:rPr>
        <w:t xml:space="preserve">Household debt (housing and </w:t>
      </w:r>
      <w:proofErr w:type="spellStart"/>
      <w:r w:rsidRPr="00350B0B">
        <w:rPr>
          <w:rFonts w:asciiTheme="minorHAnsi" w:hAnsiTheme="minorHAnsi" w:cstheme="minorHAnsi"/>
          <w:sz w:val="22"/>
          <w:szCs w:val="22"/>
        </w:rPr>
        <w:t>nonhousing</w:t>
      </w:r>
      <w:proofErr w:type="spellEnd"/>
      <w:r w:rsidRPr="00350B0B">
        <w:rPr>
          <w:rFonts w:asciiTheme="minorHAnsi" w:hAnsiTheme="minorHAnsi" w:cstheme="minorHAnsi"/>
          <w:sz w:val="22"/>
          <w:szCs w:val="22"/>
        </w:rPr>
        <w:t xml:space="preserve">) </w:t>
      </w:r>
      <w:r w:rsidR="002E607C" w:rsidRPr="00350B0B">
        <w:rPr>
          <w:rFonts w:asciiTheme="minorHAnsi" w:hAnsiTheme="minorHAnsi" w:cstheme="minorHAnsi"/>
          <w:sz w:val="22"/>
          <w:szCs w:val="22"/>
        </w:rPr>
        <w:t xml:space="preserve">increased </w:t>
      </w:r>
      <w:r w:rsidRPr="00350B0B">
        <w:rPr>
          <w:rFonts w:asciiTheme="minorHAnsi" w:hAnsiTheme="minorHAnsi" w:cstheme="minorHAnsi"/>
          <w:sz w:val="22"/>
          <w:szCs w:val="22"/>
        </w:rPr>
        <w:t>by about NIS 57 billion (7</w:t>
      </w:r>
      <w:r w:rsidR="00350C13" w:rsidRPr="00350B0B">
        <w:rPr>
          <w:rFonts w:asciiTheme="minorHAnsi" w:hAnsiTheme="minorHAnsi" w:cstheme="minorHAnsi"/>
          <w:sz w:val="22"/>
          <w:szCs w:val="22"/>
        </w:rPr>
        <w:t xml:space="preserve"> percent</w:t>
      </w:r>
      <w:r w:rsidRPr="00350B0B">
        <w:rPr>
          <w:rFonts w:asciiTheme="minorHAnsi" w:hAnsiTheme="minorHAnsi" w:cstheme="minorHAnsi"/>
          <w:sz w:val="22"/>
          <w:szCs w:val="22"/>
        </w:rPr>
        <w:t>) during 2025, similar to the average growth rate of 7</w:t>
      </w:r>
      <w:r w:rsidR="00350C13" w:rsidRPr="00350B0B">
        <w:rPr>
          <w:rFonts w:asciiTheme="minorHAnsi" w:hAnsiTheme="minorHAnsi" w:cstheme="minorHAnsi"/>
          <w:sz w:val="22"/>
          <w:szCs w:val="22"/>
        </w:rPr>
        <w:t xml:space="preserve"> percent</w:t>
      </w:r>
      <w:r w:rsidRPr="00350B0B">
        <w:rPr>
          <w:rFonts w:asciiTheme="minorHAnsi" w:hAnsiTheme="minorHAnsi" w:cstheme="minorHAnsi"/>
          <w:sz w:val="22"/>
          <w:szCs w:val="22"/>
        </w:rPr>
        <w:t xml:space="preserve"> over the past decade, reaching approximately NIS 903 billion. Households’ </w:t>
      </w:r>
      <w:r w:rsidR="00385F92" w:rsidRPr="00350B0B">
        <w:rPr>
          <w:rFonts w:asciiTheme="minorHAnsi" w:hAnsiTheme="minorHAnsi" w:cstheme="minorHAnsi"/>
          <w:sz w:val="22"/>
          <w:szCs w:val="22"/>
        </w:rPr>
        <w:t>h</w:t>
      </w:r>
      <w:r w:rsidRPr="00350B0B">
        <w:rPr>
          <w:rFonts w:asciiTheme="minorHAnsi" w:hAnsiTheme="minorHAnsi" w:cstheme="minorHAnsi"/>
          <w:sz w:val="22"/>
          <w:szCs w:val="22"/>
        </w:rPr>
        <w:t>ousing debt continued to represent the majority of household debt—72</w:t>
      </w:r>
      <w:r w:rsidR="00350C13" w:rsidRPr="00350B0B">
        <w:rPr>
          <w:rFonts w:asciiTheme="minorHAnsi" w:hAnsiTheme="minorHAnsi" w:cstheme="minorHAnsi"/>
          <w:sz w:val="22"/>
          <w:szCs w:val="22"/>
        </w:rPr>
        <w:t xml:space="preserve"> percent</w:t>
      </w:r>
      <w:r w:rsidRPr="00350B0B">
        <w:rPr>
          <w:rFonts w:asciiTheme="minorHAnsi" w:hAnsiTheme="minorHAnsi" w:cstheme="minorHAnsi"/>
          <w:sz w:val="22"/>
          <w:szCs w:val="22"/>
        </w:rPr>
        <w:t xml:space="preserve"> of the total. The increase in housing debt stemmed primarily from new mortgage volume, although the pace of growth stabilized over the course of the year.</w:t>
      </w:r>
    </w:p>
    <w:p w14:paraId="4D67D9B5" w14:textId="353A35B8" w:rsidR="00AD3EE6" w:rsidRPr="00350B0B" w:rsidRDefault="00AD3EE6" w:rsidP="00350B0B">
      <w:pPr>
        <w:pStyle w:val="ListParagraph"/>
        <w:numPr>
          <w:ilvl w:val="0"/>
          <w:numId w:val="29"/>
        </w:numPr>
        <w:spacing w:before="100" w:beforeAutospacing="1" w:after="100" w:afterAutospacing="1"/>
        <w:ind w:left="426"/>
        <w:jc w:val="both"/>
        <w:rPr>
          <w:rFonts w:asciiTheme="minorHAnsi" w:hAnsiTheme="minorHAnsi" w:cstheme="minorHAnsi"/>
          <w:sz w:val="22"/>
          <w:szCs w:val="22"/>
        </w:rPr>
      </w:pPr>
      <w:r w:rsidRPr="00350B0B">
        <w:rPr>
          <w:rFonts w:asciiTheme="minorHAnsi" w:hAnsiTheme="minorHAnsi" w:cstheme="minorHAnsi"/>
          <w:sz w:val="22"/>
          <w:szCs w:val="22"/>
        </w:rPr>
        <w:lastRenderedPageBreak/>
        <w:t>The total volume of new mortgages taken by households from banks in 2025 amounted to approximately NIS 106 billion, higher than in most previous years.</w:t>
      </w:r>
    </w:p>
    <w:p w14:paraId="78707D3E" w14:textId="541A978A" w:rsidR="00AD3EE6" w:rsidRPr="00350B0B" w:rsidRDefault="00385F92" w:rsidP="0051037A">
      <w:pPr>
        <w:pStyle w:val="regpar"/>
        <w:ind w:firstLine="0"/>
        <w:jc w:val="both"/>
        <w:rPr>
          <w:rFonts w:asciiTheme="minorHAnsi" w:hAnsiTheme="minorHAnsi" w:cstheme="minorHAnsi"/>
          <w:b/>
          <w:bCs/>
          <w:sz w:val="22"/>
          <w:szCs w:val="22"/>
        </w:rPr>
      </w:pPr>
      <w:r w:rsidRPr="00350B0B">
        <w:rPr>
          <w:rFonts w:asciiTheme="minorHAnsi" w:hAnsiTheme="minorHAnsi" w:cstheme="minorHAnsi"/>
          <w:b/>
          <w:bCs/>
          <w:sz w:val="22"/>
          <w:szCs w:val="22"/>
        </w:rPr>
        <w:t>c. Economic activity vis-à-vis abroad</w:t>
      </w:r>
    </w:p>
    <w:p w14:paraId="6F11726C" w14:textId="696C6649" w:rsidR="00385F92" w:rsidRPr="00350B0B" w:rsidRDefault="00385F92" w:rsidP="002D2FC2">
      <w:pPr>
        <w:spacing w:before="100" w:beforeAutospacing="1" w:after="100" w:afterAutospacing="1"/>
        <w:jc w:val="both"/>
        <w:rPr>
          <w:rFonts w:asciiTheme="minorHAnsi" w:hAnsiTheme="minorHAnsi" w:cstheme="minorHAnsi"/>
          <w:sz w:val="22"/>
          <w:szCs w:val="22"/>
        </w:rPr>
      </w:pPr>
      <w:r w:rsidRPr="00350B0B">
        <w:rPr>
          <w:rFonts w:asciiTheme="minorHAnsi" w:hAnsiTheme="minorHAnsi" w:cstheme="minorHAnsi"/>
          <w:sz w:val="22"/>
          <w:szCs w:val="22"/>
        </w:rPr>
        <w:t>In 2025, Israel’s foreign assets increased by 17</w:t>
      </w:r>
      <w:r w:rsidR="00350C13" w:rsidRPr="00350B0B">
        <w:rPr>
          <w:rFonts w:asciiTheme="minorHAnsi" w:hAnsiTheme="minorHAnsi" w:cstheme="minorHAnsi"/>
          <w:sz w:val="22"/>
          <w:szCs w:val="22"/>
        </w:rPr>
        <w:t xml:space="preserve"> percent</w:t>
      </w:r>
      <w:r w:rsidRPr="00350B0B">
        <w:rPr>
          <w:rFonts w:asciiTheme="minorHAnsi" w:hAnsiTheme="minorHAnsi" w:cstheme="minorHAnsi"/>
          <w:sz w:val="22"/>
          <w:szCs w:val="22"/>
        </w:rPr>
        <w:t xml:space="preserve">, reaching </w:t>
      </w:r>
      <w:r w:rsidR="002D2FC2" w:rsidRPr="00350B0B">
        <w:rPr>
          <w:rFonts w:asciiTheme="minorHAnsi" w:hAnsiTheme="minorHAnsi" w:cstheme="minorHAnsi"/>
          <w:sz w:val="22"/>
          <w:szCs w:val="22"/>
        </w:rPr>
        <w:t>$</w:t>
      </w:r>
      <w:r w:rsidRPr="00350B0B">
        <w:rPr>
          <w:rFonts w:asciiTheme="minorHAnsi" w:hAnsiTheme="minorHAnsi" w:cstheme="minorHAnsi"/>
          <w:sz w:val="22"/>
          <w:szCs w:val="22"/>
        </w:rPr>
        <w:t>915 billion, while the country’s foreign liabilities also rose</w:t>
      </w:r>
      <w:r w:rsidR="00B23571" w:rsidRPr="00350B0B">
        <w:rPr>
          <w:rFonts w:asciiTheme="minorHAnsi" w:hAnsiTheme="minorHAnsi" w:cstheme="minorHAnsi"/>
          <w:sz w:val="22"/>
          <w:szCs w:val="22"/>
        </w:rPr>
        <w:t>,</w:t>
      </w:r>
      <w:r w:rsidRPr="00350B0B">
        <w:rPr>
          <w:rFonts w:asciiTheme="minorHAnsi" w:hAnsiTheme="minorHAnsi" w:cstheme="minorHAnsi"/>
          <w:sz w:val="22"/>
          <w:szCs w:val="22"/>
        </w:rPr>
        <w:t xml:space="preserve"> by 18</w:t>
      </w:r>
      <w:r w:rsidR="00350C13" w:rsidRPr="00350B0B">
        <w:rPr>
          <w:rFonts w:asciiTheme="minorHAnsi" w:hAnsiTheme="minorHAnsi" w:cstheme="minorHAnsi"/>
          <w:sz w:val="22"/>
          <w:szCs w:val="22"/>
        </w:rPr>
        <w:t xml:space="preserve"> percent</w:t>
      </w:r>
      <w:r w:rsidRPr="00350B0B">
        <w:rPr>
          <w:rFonts w:asciiTheme="minorHAnsi" w:hAnsiTheme="minorHAnsi" w:cstheme="minorHAnsi"/>
          <w:sz w:val="22"/>
          <w:szCs w:val="22"/>
        </w:rPr>
        <w:t xml:space="preserve">, to </w:t>
      </w:r>
      <w:r w:rsidR="002D2FC2" w:rsidRPr="00350B0B">
        <w:rPr>
          <w:rFonts w:asciiTheme="minorHAnsi" w:hAnsiTheme="minorHAnsi" w:cstheme="minorHAnsi"/>
          <w:sz w:val="22"/>
          <w:szCs w:val="22"/>
        </w:rPr>
        <w:t>$</w:t>
      </w:r>
      <w:r w:rsidRPr="00350B0B">
        <w:rPr>
          <w:rFonts w:asciiTheme="minorHAnsi" w:hAnsiTheme="minorHAnsi" w:cstheme="minorHAnsi"/>
          <w:sz w:val="22"/>
          <w:szCs w:val="22"/>
        </w:rPr>
        <w:t>652 billion.</w:t>
      </w:r>
    </w:p>
    <w:p w14:paraId="0B5F9F0F" w14:textId="34C34975" w:rsidR="00385F92" w:rsidRPr="00385F92" w:rsidRDefault="00385F92" w:rsidP="002E607C">
      <w:pPr>
        <w:spacing w:before="100" w:beforeAutospacing="1" w:after="100" w:afterAutospacing="1"/>
        <w:jc w:val="both"/>
        <w:rPr>
          <w:rFonts w:asciiTheme="minorHAnsi" w:hAnsiTheme="minorHAnsi" w:cstheme="minorHAnsi"/>
          <w:sz w:val="22"/>
          <w:szCs w:val="22"/>
        </w:rPr>
      </w:pPr>
      <w:r w:rsidRPr="00350B0B">
        <w:rPr>
          <w:rFonts w:asciiTheme="minorHAnsi" w:hAnsiTheme="minorHAnsi" w:cstheme="minorHAnsi"/>
          <w:sz w:val="22"/>
          <w:szCs w:val="22"/>
        </w:rPr>
        <w:t>Net investment</w:t>
      </w:r>
      <w:r w:rsidR="002E607C" w:rsidRPr="00350B0B">
        <w:rPr>
          <w:rFonts w:asciiTheme="minorHAnsi" w:hAnsiTheme="minorHAnsi" w:cstheme="minorHAnsi"/>
          <w:sz w:val="22"/>
          <w:szCs w:val="22"/>
        </w:rPr>
        <w:t xml:space="preserve"> in Israel by nonresidents </w:t>
      </w:r>
      <w:r w:rsidRPr="00350B0B">
        <w:rPr>
          <w:rFonts w:asciiTheme="minorHAnsi" w:hAnsiTheme="minorHAnsi" w:cstheme="minorHAnsi"/>
          <w:sz w:val="22"/>
          <w:szCs w:val="22"/>
        </w:rPr>
        <w:t xml:space="preserve">totaled </w:t>
      </w:r>
      <w:r w:rsidR="002D2FC2" w:rsidRPr="00350B0B">
        <w:rPr>
          <w:rFonts w:asciiTheme="minorHAnsi" w:hAnsiTheme="minorHAnsi" w:cstheme="minorHAnsi"/>
          <w:sz w:val="22"/>
          <w:szCs w:val="22"/>
        </w:rPr>
        <w:t>$</w:t>
      </w:r>
      <w:r w:rsidRPr="00350B0B">
        <w:rPr>
          <w:rFonts w:asciiTheme="minorHAnsi" w:hAnsiTheme="minorHAnsi" w:cstheme="minorHAnsi"/>
          <w:sz w:val="22"/>
          <w:szCs w:val="22"/>
        </w:rPr>
        <w:t xml:space="preserve">39 billion, of which </w:t>
      </w:r>
      <w:r w:rsidR="002D2FC2" w:rsidRPr="00350B0B">
        <w:rPr>
          <w:rFonts w:asciiTheme="minorHAnsi" w:hAnsiTheme="minorHAnsi" w:cstheme="minorHAnsi"/>
          <w:sz w:val="22"/>
          <w:szCs w:val="22"/>
        </w:rPr>
        <w:t>$</w:t>
      </w:r>
      <w:r w:rsidRPr="00350B0B">
        <w:rPr>
          <w:rFonts w:asciiTheme="minorHAnsi" w:hAnsiTheme="minorHAnsi" w:cstheme="minorHAnsi"/>
          <w:sz w:val="22"/>
          <w:szCs w:val="22"/>
        </w:rPr>
        <w:t>26 billion were direct investments. At the same time, Israeli residents invested</w:t>
      </w:r>
      <w:r w:rsidRPr="00572AEE">
        <w:rPr>
          <w:rFonts w:asciiTheme="minorHAnsi" w:hAnsiTheme="minorHAnsi" w:cstheme="minorHAnsi"/>
          <w:sz w:val="22"/>
          <w:szCs w:val="22"/>
        </w:rPr>
        <w:t xml:space="preserve"> a net </w:t>
      </w:r>
      <w:r w:rsidR="002D2FC2" w:rsidRPr="00572AEE">
        <w:rPr>
          <w:rFonts w:asciiTheme="minorHAnsi" w:hAnsiTheme="minorHAnsi" w:cstheme="minorHAnsi"/>
          <w:sz w:val="22"/>
          <w:szCs w:val="22"/>
        </w:rPr>
        <w:t>$</w:t>
      </w:r>
      <w:r w:rsidRPr="00572AEE">
        <w:rPr>
          <w:rFonts w:asciiTheme="minorHAnsi" w:hAnsiTheme="minorHAnsi" w:cstheme="minorHAnsi"/>
          <w:sz w:val="22"/>
          <w:szCs w:val="22"/>
        </w:rPr>
        <w:t>56 billion abroad</w:t>
      </w:r>
      <w:r w:rsidRPr="00385F92">
        <w:rPr>
          <w:rFonts w:asciiTheme="minorHAnsi" w:hAnsiTheme="minorHAnsi" w:cstheme="minorHAnsi"/>
          <w:sz w:val="22"/>
          <w:szCs w:val="22"/>
        </w:rPr>
        <w:t>.</w:t>
      </w:r>
    </w:p>
    <w:p w14:paraId="6E65C5CF" w14:textId="47CC7977" w:rsidR="00385F92" w:rsidRPr="00385F92" w:rsidRDefault="00385F92" w:rsidP="002D2FC2">
      <w:pPr>
        <w:spacing w:before="100" w:beforeAutospacing="1" w:after="100" w:afterAutospacing="1"/>
        <w:jc w:val="both"/>
        <w:rPr>
          <w:rFonts w:asciiTheme="minorHAnsi" w:hAnsiTheme="minorHAnsi" w:cstheme="minorHAnsi"/>
          <w:sz w:val="22"/>
          <w:szCs w:val="22"/>
        </w:rPr>
      </w:pPr>
      <w:r w:rsidRPr="00572AEE">
        <w:rPr>
          <w:rFonts w:asciiTheme="minorHAnsi" w:hAnsiTheme="minorHAnsi" w:cstheme="minorHAnsi"/>
          <w:sz w:val="22"/>
          <w:szCs w:val="22"/>
        </w:rPr>
        <w:t>Household</w:t>
      </w:r>
      <w:r w:rsidR="002E607C">
        <w:rPr>
          <w:rFonts w:asciiTheme="minorHAnsi" w:hAnsiTheme="minorHAnsi" w:cstheme="minorHAnsi"/>
          <w:sz w:val="22"/>
          <w:szCs w:val="22"/>
        </w:rPr>
        <w:t>s’</w:t>
      </w:r>
      <w:r w:rsidRPr="00572AEE">
        <w:rPr>
          <w:rFonts w:asciiTheme="minorHAnsi" w:hAnsiTheme="minorHAnsi" w:cstheme="minorHAnsi"/>
          <w:sz w:val="22"/>
          <w:szCs w:val="22"/>
        </w:rPr>
        <w:t xml:space="preserve"> net investments</w:t>
      </w:r>
      <w:r w:rsidRPr="00385F92">
        <w:rPr>
          <w:rFonts w:asciiTheme="minorHAnsi" w:hAnsiTheme="minorHAnsi" w:cstheme="minorHAnsi"/>
          <w:sz w:val="22"/>
          <w:szCs w:val="22"/>
        </w:rPr>
        <w:t xml:space="preserve"> (including mutual funds) </w:t>
      </w:r>
      <w:proofErr w:type="gramStart"/>
      <w:r w:rsidRPr="00385F92">
        <w:rPr>
          <w:rFonts w:asciiTheme="minorHAnsi" w:hAnsiTheme="minorHAnsi" w:cstheme="minorHAnsi"/>
          <w:sz w:val="22"/>
          <w:szCs w:val="22"/>
        </w:rPr>
        <w:t>were recorded</w:t>
      </w:r>
      <w:proofErr w:type="gramEnd"/>
      <w:r w:rsidRPr="00385F92">
        <w:rPr>
          <w:rFonts w:asciiTheme="minorHAnsi" w:hAnsiTheme="minorHAnsi" w:cstheme="minorHAnsi"/>
          <w:sz w:val="22"/>
          <w:szCs w:val="22"/>
        </w:rPr>
        <w:t xml:space="preserve"> across all investment categories, with the largest component being </w:t>
      </w:r>
      <w:r w:rsidR="002E607C">
        <w:rPr>
          <w:rFonts w:asciiTheme="minorHAnsi" w:hAnsiTheme="minorHAnsi" w:cstheme="minorHAnsi"/>
          <w:sz w:val="22"/>
          <w:szCs w:val="22"/>
        </w:rPr>
        <w:t xml:space="preserve">the </w:t>
      </w:r>
      <w:r w:rsidRPr="00572AEE">
        <w:rPr>
          <w:rFonts w:asciiTheme="minorHAnsi" w:hAnsiTheme="minorHAnsi" w:cstheme="minorHAnsi"/>
          <w:sz w:val="22"/>
          <w:szCs w:val="22"/>
        </w:rPr>
        <w:t>tradable securities portfolios</w:t>
      </w:r>
      <w:r w:rsidRPr="00385F92">
        <w:rPr>
          <w:rFonts w:asciiTheme="minorHAnsi" w:hAnsiTheme="minorHAnsi" w:cstheme="minorHAnsi"/>
          <w:sz w:val="22"/>
          <w:szCs w:val="22"/>
        </w:rPr>
        <w:t xml:space="preserve">, totaling approximately </w:t>
      </w:r>
      <w:r w:rsidR="002D2FC2" w:rsidRPr="00572AEE">
        <w:rPr>
          <w:rFonts w:asciiTheme="minorHAnsi" w:hAnsiTheme="minorHAnsi" w:cstheme="minorHAnsi"/>
          <w:sz w:val="22"/>
          <w:szCs w:val="22"/>
        </w:rPr>
        <w:t>$</w:t>
      </w:r>
      <w:r w:rsidRPr="00572AEE">
        <w:rPr>
          <w:rFonts w:asciiTheme="minorHAnsi" w:hAnsiTheme="minorHAnsi" w:cstheme="minorHAnsi"/>
          <w:sz w:val="22"/>
          <w:szCs w:val="22"/>
        </w:rPr>
        <w:t>9 billion</w:t>
      </w:r>
      <w:r w:rsidRPr="00385F92">
        <w:rPr>
          <w:rFonts w:asciiTheme="minorHAnsi" w:hAnsiTheme="minorHAnsi" w:cstheme="minorHAnsi"/>
          <w:sz w:val="22"/>
          <w:szCs w:val="22"/>
        </w:rPr>
        <w:t>.</w:t>
      </w:r>
    </w:p>
    <w:p w14:paraId="1B347170" w14:textId="2AC214EB" w:rsidR="00385F92" w:rsidRPr="00572AEE" w:rsidRDefault="00B23571" w:rsidP="0051037A">
      <w:pPr>
        <w:pStyle w:val="regpar"/>
        <w:ind w:firstLine="0"/>
        <w:jc w:val="both"/>
        <w:rPr>
          <w:rFonts w:asciiTheme="minorHAnsi" w:hAnsiTheme="minorHAnsi" w:cstheme="minorHAnsi"/>
          <w:b/>
          <w:bCs/>
          <w:sz w:val="22"/>
          <w:szCs w:val="22"/>
        </w:rPr>
      </w:pPr>
      <w:r w:rsidRPr="00572AEE">
        <w:rPr>
          <w:rFonts w:asciiTheme="minorHAnsi" w:hAnsiTheme="minorHAnsi" w:cstheme="minorHAnsi"/>
          <w:b/>
          <w:bCs/>
          <w:sz w:val="22"/>
          <w:szCs w:val="22"/>
        </w:rPr>
        <w:t xml:space="preserve">d. Foreign exchange activity of </w:t>
      </w:r>
      <w:r w:rsidRPr="00FB739D">
        <w:rPr>
          <w:rFonts w:asciiTheme="minorHAnsi" w:hAnsiTheme="minorHAnsi" w:cstheme="minorHAnsi"/>
          <w:b/>
          <w:bCs/>
          <w:sz w:val="22"/>
          <w:szCs w:val="22"/>
        </w:rPr>
        <w:t>the main sectors</w:t>
      </w:r>
    </w:p>
    <w:p w14:paraId="29264567" w14:textId="510912D7" w:rsidR="00B23571" w:rsidRPr="00B23571" w:rsidRDefault="00B23571" w:rsidP="00D041CD">
      <w:pPr>
        <w:spacing w:before="100" w:beforeAutospacing="1" w:after="100" w:afterAutospacing="1"/>
        <w:jc w:val="both"/>
        <w:rPr>
          <w:rFonts w:asciiTheme="minorHAnsi" w:hAnsiTheme="minorHAnsi" w:cstheme="minorHAnsi"/>
          <w:sz w:val="22"/>
          <w:szCs w:val="22"/>
        </w:rPr>
      </w:pPr>
      <w:r w:rsidRPr="00B23571">
        <w:rPr>
          <w:rFonts w:asciiTheme="minorHAnsi" w:hAnsiTheme="minorHAnsi" w:cstheme="minorHAnsi"/>
          <w:sz w:val="22"/>
          <w:szCs w:val="22"/>
        </w:rPr>
        <w:t xml:space="preserve">In </w:t>
      </w:r>
      <w:r w:rsidRPr="00572AEE">
        <w:rPr>
          <w:rFonts w:asciiTheme="minorHAnsi" w:hAnsiTheme="minorHAnsi" w:cstheme="minorHAnsi"/>
          <w:sz w:val="22"/>
          <w:szCs w:val="22"/>
        </w:rPr>
        <w:t>2025</w:t>
      </w:r>
      <w:r w:rsidRPr="00B23571">
        <w:rPr>
          <w:rFonts w:asciiTheme="minorHAnsi" w:hAnsiTheme="minorHAnsi" w:cstheme="minorHAnsi"/>
          <w:sz w:val="22"/>
          <w:szCs w:val="22"/>
        </w:rPr>
        <w:t xml:space="preserve">, the </w:t>
      </w:r>
      <w:r w:rsidRPr="00572AEE">
        <w:rPr>
          <w:rFonts w:asciiTheme="minorHAnsi" w:hAnsiTheme="minorHAnsi" w:cstheme="minorHAnsi"/>
          <w:sz w:val="22"/>
          <w:szCs w:val="22"/>
        </w:rPr>
        <w:t xml:space="preserve">shekel appreciated by </w:t>
      </w:r>
      <w:r w:rsidR="00D041CD">
        <w:rPr>
          <w:rFonts w:asciiTheme="minorHAnsi" w:hAnsiTheme="minorHAnsi" w:cstheme="minorHAnsi"/>
          <w:sz w:val="22"/>
          <w:szCs w:val="22"/>
        </w:rPr>
        <w:t xml:space="preserve">approximately </w:t>
      </w:r>
      <w:r w:rsidRPr="00572AEE">
        <w:rPr>
          <w:rFonts w:asciiTheme="minorHAnsi" w:hAnsiTheme="minorHAnsi" w:cstheme="minorHAnsi"/>
          <w:sz w:val="22"/>
          <w:szCs w:val="22"/>
        </w:rPr>
        <w:t>12.5</w:t>
      </w:r>
      <w:r w:rsidR="00350C13" w:rsidRPr="00572AEE">
        <w:rPr>
          <w:rFonts w:asciiTheme="minorHAnsi" w:hAnsiTheme="minorHAnsi" w:cstheme="minorHAnsi"/>
          <w:sz w:val="22"/>
          <w:szCs w:val="22"/>
        </w:rPr>
        <w:t xml:space="preserve"> percent</w:t>
      </w:r>
      <w:r w:rsidRPr="00572AEE">
        <w:rPr>
          <w:rFonts w:asciiTheme="minorHAnsi" w:hAnsiTheme="minorHAnsi" w:cstheme="minorHAnsi"/>
          <w:sz w:val="22"/>
          <w:szCs w:val="22"/>
        </w:rPr>
        <w:t xml:space="preserve"> against the US dollar</w:t>
      </w:r>
      <w:r w:rsidRPr="00B23571">
        <w:rPr>
          <w:rFonts w:asciiTheme="minorHAnsi" w:hAnsiTheme="minorHAnsi" w:cstheme="minorHAnsi"/>
          <w:sz w:val="22"/>
          <w:szCs w:val="22"/>
        </w:rPr>
        <w:t xml:space="preserve"> and by </w:t>
      </w:r>
      <w:r w:rsidRPr="00572AEE">
        <w:rPr>
          <w:rFonts w:asciiTheme="minorHAnsi" w:hAnsiTheme="minorHAnsi" w:cstheme="minorHAnsi"/>
          <w:sz w:val="22"/>
          <w:szCs w:val="22"/>
        </w:rPr>
        <w:t>8.4</w:t>
      </w:r>
      <w:r w:rsidR="00350C13" w:rsidRPr="00572AEE">
        <w:rPr>
          <w:rFonts w:asciiTheme="minorHAnsi" w:hAnsiTheme="minorHAnsi" w:cstheme="minorHAnsi"/>
          <w:sz w:val="22"/>
          <w:szCs w:val="22"/>
        </w:rPr>
        <w:t xml:space="preserve"> percent</w:t>
      </w:r>
      <w:r w:rsidRPr="00572AEE">
        <w:rPr>
          <w:rFonts w:asciiTheme="minorHAnsi" w:hAnsiTheme="minorHAnsi" w:cstheme="minorHAnsi"/>
          <w:sz w:val="22"/>
          <w:szCs w:val="22"/>
        </w:rPr>
        <w:t xml:space="preserve"> </w:t>
      </w:r>
      <w:r w:rsidR="00D041CD">
        <w:rPr>
          <w:rFonts w:asciiTheme="minorHAnsi" w:hAnsiTheme="minorHAnsi" w:cstheme="minorHAnsi"/>
          <w:sz w:val="22"/>
          <w:szCs w:val="22"/>
        </w:rPr>
        <w:t xml:space="preserve">in terms of the </w:t>
      </w:r>
      <w:r w:rsidRPr="00572AEE">
        <w:rPr>
          <w:rFonts w:asciiTheme="minorHAnsi" w:hAnsiTheme="minorHAnsi" w:cstheme="minorHAnsi"/>
          <w:sz w:val="22"/>
          <w:szCs w:val="22"/>
        </w:rPr>
        <w:t>nominal effective exchange rate</w:t>
      </w:r>
      <w:r w:rsidRPr="00B23571">
        <w:rPr>
          <w:rFonts w:asciiTheme="minorHAnsi" w:hAnsiTheme="minorHAnsi" w:cstheme="minorHAnsi"/>
          <w:sz w:val="22"/>
          <w:szCs w:val="22"/>
        </w:rPr>
        <w:t xml:space="preserve">, in a year characterized by relatively high volatility. The sharp appreciation of the shekel against the dollar occurred alongside a </w:t>
      </w:r>
      <w:r w:rsidRPr="00572AEE">
        <w:rPr>
          <w:rFonts w:asciiTheme="minorHAnsi" w:hAnsiTheme="minorHAnsi" w:cstheme="minorHAnsi"/>
          <w:sz w:val="22"/>
          <w:szCs w:val="22"/>
        </w:rPr>
        <w:t>considerable global weakening of the dollar</w:t>
      </w:r>
      <w:r w:rsidRPr="00B23571">
        <w:rPr>
          <w:rFonts w:asciiTheme="minorHAnsi" w:hAnsiTheme="minorHAnsi" w:cstheme="minorHAnsi"/>
          <w:sz w:val="22"/>
          <w:szCs w:val="22"/>
        </w:rPr>
        <w:t>.</w:t>
      </w:r>
    </w:p>
    <w:p w14:paraId="3C4136E4" w14:textId="033E3E7F" w:rsidR="00B23571" w:rsidRPr="00B23571" w:rsidRDefault="00B23571" w:rsidP="00D041CD">
      <w:pPr>
        <w:spacing w:before="100" w:beforeAutospacing="1" w:after="100" w:afterAutospacing="1"/>
        <w:jc w:val="both"/>
        <w:rPr>
          <w:rFonts w:asciiTheme="minorHAnsi" w:hAnsiTheme="minorHAnsi" w:cstheme="minorHAnsi"/>
          <w:sz w:val="22"/>
          <w:szCs w:val="22"/>
        </w:rPr>
      </w:pPr>
      <w:r w:rsidRPr="00572AEE">
        <w:rPr>
          <w:rFonts w:asciiTheme="minorHAnsi" w:hAnsiTheme="minorHAnsi" w:cstheme="minorHAnsi"/>
          <w:sz w:val="22"/>
          <w:szCs w:val="22"/>
        </w:rPr>
        <w:t>Institutional investors</w:t>
      </w:r>
      <w:r w:rsidRPr="00B23571">
        <w:rPr>
          <w:rFonts w:asciiTheme="minorHAnsi" w:hAnsiTheme="minorHAnsi" w:cstheme="minorHAnsi"/>
          <w:sz w:val="22"/>
          <w:szCs w:val="22"/>
        </w:rPr>
        <w:t xml:space="preserve"> </w:t>
      </w:r>
      <w:r w:rsidR="00D041CD">
        <w:rPr>
          <w:rFonts w:asciiTheme="minorHAnsi" w:hAnsiTheme="minorHAnsi" w:cstheme="minorHAnsi"/>
          <w:sz w:val="22"/>
          <w:szCs w:val="22"/>
        </w:rPr>
        <w:t xml:space="preserve">sold </w:t>
      </w:r>
      <w:r w:rsidRPr="00572AEE">
        <w:rPr>
          <w:rFonts w:asciiTheme="minorHAnsi" w:hAnsiTheme="minorHAnsi" w:cstheme="minorHAnsi"/>
          <w:sz w:val="22"/>
          <w:szCs w:val="22"/>
        </w:rPr>
        <w:t xml:space="preserve">net foreign </w:t>
      </w:r>
      <w:r w:rsidR="00D041CD">
        <w:rPr>
          <w:rFonts w:asciiTheme="minorHAnsi" w:hAnsiTheme="minorHAnsi" w:cstheme="minorHAnsi"/>
          <w:sz w:val="22"/>
          <w:szCs w:val="22"/>
        </w:rPr>
        <w:t xml:space="preserve">exchange </w:t>
      </w:r>
      <w:r w:rsidRPr="00572AEE">
        <w:rPr>
          <w:rFonts w:asciiTheme="minorHAnsi" w:hAnsiTheme="minorHAnsi" w:cstheme="minorHAnsi"/>
          <w:sz w:val="22"/>
          <w:szCs w:val="22"/>
        </w:rPr>
        <w:t xml:space="preserve">totaling </w:t>
      </w:r>
      <w:r w:rsidR="002D2FC2" w:rsidRPr="00572AEE">
        <w:rPr>
          <w:rFonts w:asciiTheme="minorHAnsi" w:hAnsiTheme="minorHAnsi" w:cstheme="minorHAnsi"/>
          <w:sz w:val="22"/>
          <w:szCs w:val="22"/>
        </w:rPr>
        <w:t>$</w:t>
      </w:r>
      <w:r w:rsidRPr="00572AEE">
        <w:rPr>
          <w:rFonts w:asciiTheme="minorHAnsi" w:hAnsiTheme="minorHAnsi" w:cstheme="minorHAnsi"/>
          <w:sz w:val="22"/>
          <w:szCs w:val="22"/>
        </w:rPr>
        <w:t>20 billion</w:t>
      </w:r>
      <w:r w:rsidRPr="00B23571">
        <w:rPr>
          <w:rFonts w:asciiTheme="minorHAnsi" w:hAnsiTheme="minorHAnsi" w:cstheme="minorHAnsi"/>
          <w:sz w:val="22"/>
          <w:szCs w:val="22"/>
        </w:rPr>
        <w:t xml:space="preserve">, while the </w:t>
      </w:r>
      <w:r w:rsidRPr="00572AEE">
        <w:rPr>
          <w:rFonts w:asciiTheme="minorHAnsi" w:hAnsiTheme="minorHAnsi" w:cstheme="minorHAnsi"/>
          <w:sz w:val="22"/>
          <w:szCs w:val="22"/>
        </w:rPr>
        <w:t>nonfinancial business sector</w:t>
      </w:r>
      <w:r w:rsidRPr="00B23571">
        <w:rPr>
          <w:rFonts w:asciiTheme="minorHAnsi" w:hAnsiTheme="minorHAnsi" w:cstheme="minorHAnsi"/>
          <w:sz w:val="22"/>
          <w:szCs w:val="22"/>
        </w:rPr>
        <w:t xml:space="preserve"> </w:t>
      </w:r>
      <w:r w:rsidRPr="00572AEE">
        <w:rPr>
          <w:rFonts w:asciiTheme="minorHAnsi" w:hAnsiTheme="minorHAnsi" w:cstheme="minorHAnsi"/>
          <w:sz w:val="22"/>
          <w:szCs w:val="22"/>
        </w:rPr>
        <w:t>purchase</w:t>
      </w:r>
      <w:r w:rsidR="00D041CD">
        <w:rPr>
          <w:rFonts w:asciiTheme="minorHAnsi" w:hAnsiTheme="minorHAnsi" w:cstheme="minorHAnsi"/>
          <w:sz w:val="22"/>
          <w:szCs w:val="22"/>
        </w:rPr>
        <w:t xml:space="preserve">d a net </w:t>
      </w:r>
      <w:r w:rsidRPr="00572AEE">
        <w:rPr>
          <w:rFonts w:asciiTheme="minorHAnsi" w:hAnsiTheme="minorHAnsi" w:cstheme="minorHAnsi"/>
          <w:sz w:val="22"/>
          <w:szCs w:val="22"/>
        </w:rPr>
        <w:t xml:space="preserve">of around </w:t>
      </w:r>
      <w:r w:rsidR="002D2FC2" w:rsidRPr="00572AEE">
        <w:rPr>
          <w:rFonts w:asciiTheme="minorHAnsi" w:hAnsiTheme="minorHAnsi" w:cstheme="minorHAnsi"/>
          <w:sz w:val="22"/>
          <w:szCs w:val="22"/>
        </w:rPr>
        <w:t>$</w:t>
      </w:r>
      <w:r w:rsidRPr="00572AEE">
        <w:rPr>
          <w:rFonts w:asciiTheme="minorHAnsi" w:hAnsiTheme="minorHAnsi" w:cstheme="minorHAnsi"/>
          <w:sz w:val="22"/>
          <w:szCs w:val="22"/>
        </w:rPr>
        <w:t>16 billion</w:t>
      </w:r>
      <w:r w:rsidRPr="00B23571">
        <w:rPr>
          <w:rFonts w:asciiTheme="minorHAnsi" w:hAnsiTheme="minorHAnsi" w:cstheme="minorHAnsi"/>
          <w:sz w:val="22"/>
          <w:szCs w:val="22"/>
        </w:rPr>
        <w:t xml:space="preserve">, and </w:t>
      </w:r>
      <w:r w:rsidRPr="00572AEE">
        <w:rPr>
          <w:rFonts w:asciiTheme="minorHAnsi" w:hAnsiTheme="minorHAnsi" w:cstheme="minorHAnsi"/>
          <w:sz w:val="22"/>
          <w:szCs w:val="22"/>
        </w:rPr>
        <w:t>households</w:t>
      </w:r>
      <w:r w:rsidRPr="00B23571">
        <w:rPr>
          <w:rFonts w:asciiTheme="minorHAnsi" w:hAnsiTheme="minorHAnsi" w:cstheme="minorHAnsi"/>
          <w:sz w:val="22"/>
          <w:szCs w:val="22"/>
        </w:rPr>
        <w:t xml:space="preserve"> purchased </w:t>
      </w:r>
      <w:r w:rsidRPr="00572AEE">
        <w:rPr>
          <w:rFonts w:asciiTheme="minorHAnsi" w:hAnsiTheme="minorHAnsi" w:cstheme="minorHAnsi"/>
          <w:sz w:val="22"/>
          <w:szCs w:val="22"/>
        </w:rPr>
        <w:t xml:space="preserve">a net of approximately </w:t>
      </w:r>
      <w:r w:rsidR="002D2FC2" w:rsidRPr="00572AEE">
        <w:rPr>
          <w:rFonts w:asciiTheme="minorHAnsi" w:hAnsiTheme="minorHAnsi" w:cstheme="minorHAnsi"/>
          <w:sz w:val="22"/>
          <w:szCs w:val="22"/>
        </w:rPr>
        <w:t>$</w:t>
      </w:r>
      <w:r w:rsidRPr="00572AEE">
        <w:rPr>
          <w:rFonts w:asciiTheme="minorHAnsi" w:hAnsiTheme="minorHAnsi" w:cstheme="minorHAnsi"/>
          <w:sz w:val="22"/>
          <w:szCs w:val="22"/>
        </w:rPr>
        <w:t>10 billion</w:t>
      </w:r>
      <w:r w:rsidRPr="00B23571">
        <w:rPr>
          <w:rFonts w:asciiTheme="minorHAnsi" w:hAnsiTheme="minorHAnsi" w:cstheme="minorHAnsi"/>
          <w:sz w:val="22"/>
          <w:szCs w:val="22"/>
        </w:rPr>
        <w:t>.</w:t>
      </w:r>
    </w:p>
    <w:p w14:paraId="2CE3A4B1" w14:textId="3F7A5678" w:rsidR="00B23571" w:rsidRPr="00B23571" w:rsidRDefault="008D6CA1" w:rsidP="008D6CA1">
      <w:pPr>
        <w:spacing w:before="100" w:beforeAutospacing="1" w:after="100" w:afterAutospacing="1"/>
        <w:jc w:val="both"/>
        <w:rPr>
          <w:rFonts w:asciiTheme="minorHAnsi" w:hAnsiTheme="minorHAnsi" w:cstheme="minorHAnsi"/>
          <w:sz w:val="22"/>
          <w:szCs w:val="22"/>
        </w:rPr>
      </w:pPr>
      <w:r>
        <w:rPr>
          <w:rFonts w:asciiTheme="minorHAnsi" w:hAnsiTheme="minorHAnsi" w:cstheme="minorHAnsi"/>
          <w:sz w:val="22"/>
          <w:szCs w:val="22"/>
        </w:rPr>
        <w:t>Non</w:t>
      </w:r>
      <w:r w:rsidR="00B23571" w:rsidRPr="00572AEE">
        <w:rPr>
          <w:rFonts w:asciiTheme="minorHAnsi" w:hAnsiTheme="minorHAnsi" w:cstheme="minorHAnsi"/>
          <w:sz w:val="22"/>
          <w:szCs w:val="22"/>
        </w:rPr>
        <w:t>residents from the financial sector</w:t>
      </w:r>
      <w:r w:rsidR="00B23571" w:rsidRPr="00B23571">
        <w:rPr>
          <w:rFonts w:asciiTheme="minorHAnsi" w:hAnsiTheme="minorHAnsi" w:cstheme="minorHAnsi"/>
          <w:sz w:val="22"/>
          <w:szCs w:val="22"/>
        </w:rPr>
        <w:t xml:space="preserve"> sold </w:t>
      </w:r>
      <w:r w:rsidR="00B23571" w:rsidRPr="00572AEE">
        <w:rPr>
          <w:rFonts w:asciiTheme="minorHAnsi" w:hAnsiTheme="minorHAnsi" w:cstheme="minorHAnsi"/>
          <w:sz w:val="22"/>
          <w:szCs w:val="22"/>
        </w:rPr>
        <w:t xml:space="preserve">a net </w:t>
      </w:r>
      <w:r w:rsidR="002D2FC2" w:rsidRPr="00572AEE">
        <w:rPr>
          <w:rFonts w:asciiTheme="minorHAnsi" w:hAnsiTheme="minorHAnsi" w:cstheme="minorHAnsi"/>
          <w:sz w:val="22"/>
          <w:szCs w:val="22"/>
        </w:rPr>
        <w:t>$</w:t>
      </w:r>
      <w:r w:rsidR="00B23571" w:rsidRPr="00572AEE">
        <w:rPr>
          <w:rFonts w:asciiTheme="minorHAnsi" w:hAnsiTheme="minorHAnsi" w:cstheme="minorHAnsi"/>
          <w:sz w:val="22"/>
          <w:szCs w:val="22"/>
        </w:rPr>
        <w:t>2 billion</w:t>
      </w:r>
      <w:r w:rsidR="00B23571" w:rsidRPr="00B23571">
        <w:rPr>
          <w:rFonts w:asciiTheme="minorHAnsi" w:hAnsiTheme="minorHAnsi" w:cstheme="minorHAnsi"/>
          <w:sz w:val="22"/>
          <w:szCs w:val="22"/>
        </w:rPr>
        <w:t xml:space="preserve">, and </w:t>
      </w:r>
      <w:r w:rsidR="00B23571" w:rsidRPr="00572AEE">
        <w:rPr>
          <w:rFonts w:asciiTheme="minorHAnsi" w:hAnsiTheme="minorHAnsi" w:cstheme="minorHAnsi"/>
          <w:sz w:val="22"/>
          <w:szCs w:val="22"/>
        </w:rPr>
        <w:t>nonfinancial foreign residents</w:t>
      </w:r>
      <w:r w:rsidR="00B23571" w:rsidRPr="00B23571">
        <w:rPr>
          <w:rFonts w:asciiTheme="minorHAnsi" w:hAnsiTheme="minorHAnsi" w:cstheme="minorHAnsi"/>
          <w:sz w:val="22"/>
          <w:szCs w:val="22"/>
        </w:rPr>
        <w:t xml:space="preserve"> sold </w:t>
      </w:r>
      <w:r w:rsidR="00B23571" w:rsidRPr="00572AEE">
        <w:rPr>
          <w:rFonts w:asciiTheme="minorHAnsi" w:hAnsiTheme="minorHAnsi" w:cstheme="minorHAnsi"/>
          <w:sz w:val="22"/>
          <w:szCs w:val="22"/>
        </w:rPr>
        <w:t xml:space="preserve">a net </w:t>
      </w:r>
      <w:r w:rsidR="002D2FC2" w:rsidRPr="00572AEE">
        <w:rPr>
          <w:rFonts w:asciiTheme="minorHAnsi" w:hAnsiTheme="minorHAnsi" w:cstheme="minorHAnsi"/>
          <w:sz w:val="22"/>
          <w:szCs w:val="22"/>
        </w:rPr>
        <w:t>$</w:t>
      </w:r>
      <w:r w:rsidR="00B23571" w:rsidRPr="00572AEE">
        <w:rPr>
          <w:rFonts w:asciiTheme="minorHAnsi" w:hAnsiTheme="minorHAnsi" w:cstheme="minorHAnsi"/>
          <w:sz w:val="22"/>
          <w:szCs w:val="22"/>
        </w:rPr>
        <w:t>10 billion</w:t>
      </w:r>
      <w:r w:rsidR="00B23571" w:rsidRPr="00B23571">
        <w:rPr>
          <w:rFonts w:asciiTheme="minorHAnsi" w:hAnsiTheme="minorHAnsi" w:cstheme="minorHAnsi"/>
          <w:sz w:val="22"/>
          <w:szCs w:val="22"/>
        </w:rPr>
        <w:t>.</w:t>
      </w:r>
    </w:p>
    <w:p w14:paraId="3D504D58" w14:textId="3C1252A3" w:rsidR="00B23571" w:rsidRPr="00572AEE" w:rsidRDefault="0051037A" w:rsidP="0051037A">
      <w:pPr>
        <w:shd w:val="clear" w:color="auto" w:fill="FFFFFF"/>
        <w:spacing w:after="240"/>
        <w:jc w:val="both"/>
        <w:rPr>
          <w:rFonts w:asciiTheme="minorHAnsi" w:hAnsiTheme="minorHAnsi" w:cstheme="minorHAnsi"/>
          <w:b/>
          <w:bCs/>
          <w:color w:val="242424"/>
          <w:sz w:val="22"/>
          <w:szCs w:val="22"/>
        </w:rPr>
      </w:pPr>
      <w:r w:rsidRPr="00572AEE">
        <w:rPr>
          <w:rFonts w:asciiTheme="minorHAnsi" w:hAnsiTheme="minorHAnsi" w:cstheme="minorHAnsi"/>
          <w:b/>
          <w:bCs/>
          <w:color w:val="242424"/>
          <w:sz w:val="22"/>
          <w:szCs w:val="22"/>
        </w:rPr>
        <w:t>S</w:t>
      </w:r>
      <w:r w:rsidR="00B23571" w:rsidRPr="00572AEE">
        <w:rPr>
          <w:rFonts w:asciiTheme="minorHAnsi" w:hAnsiTheme="minorHAnsi" w:cstheme="minorHAnsi"/>
          <w:b/>
          <w:bCs/>
          <w:color w:val="242424"/>
          <w:sz w:val="22"/>
          <w:szCs w:val="22"/>
        </w:rPr>
        <w:t>econd part: Papers on statistical methodology and economic information</w:t>
      </w:r>
    </w:p>
    <w:p w14:paraId="1BB60BD2" w14:textId="64D3CCFE" w:rsidR="0051037A" w:rsidRPr="00572AEE" w:rsidRDefault="0051037A" w:rsidP="008138D5">
      <w:pPr>
        <w:shd w:val="clear" w:color="auto" w:fill="FFFFFF"/>
        <w:spacing w:after="240"/>
        <w:jc w:val="both"/>
        <w:rPr>
          <w:rFonts w:asciiTheme="minorHAnsi" w:hAnsiTheme="minorHAnsi" w:cstheme="minorHAnsi"/>
          <w:b/>
          <w:bCs/>
          <w:color w:val="242424"/>
          <w:sz w:val="22"/>
          <w:szCs w:val="22"/>
        </w:rPr>
      </w:pPr>
      <w:r w:rsidRPr="00572AEE">
        <w:rPr>
          <w:rFonts w:asciiTheme="minorHAnsi" w:hAnsiTheme="minorHAnsi" w:cstheme="minorHAnsi"/>
          <w:b/>
          <w:bCs/>
          <w:color w:val="242424"/>
          <w:sz w:val="22"/>
          <w:szCs w:val="22"/>
        </w:rPr>
        <w:t xml:space="preserve">1. </w:t>
      </w:r>
      <w:r w:rsidR="008138D5" w:rsidRPr="00572AEE">
        <w:rPr>
          <w:rFonts w:asciiTheme="minorHAnsi" w:hAnsiTheme="minorHAnsi" w:cstheme="minorHAnsi"/>
          <w:b/>
          <w:bCs/>
          <w:color w:val="242424"/>
          <w:sz w:val="22"/>
          <w:szCs w:val="22"/>
        </w:rPr>
        <w:t>Features of households’ securities activity abroad</w:t>
      </w:r>
    </w:p>
    <w:p w14:paraId="2E074A87" w14:textId="7C49ABE7" w:rsidR="006F6F4D" w:rsidRPr="006F6F4D" w:rsidRDefault="008138D5" w:rsidP="00475DDC">
      <w:pPr>
        <w:pStyle w:val="NormalWeb"/>
        <w:numPr>
          <w:ilvl w:val="0"/>
          <w:numId w:val="26"/>
        </w:numPr>
        <w:jc w:val="both"/>
        <w:rPr>
          <w:rFonts w:asciiTheme="minorHAnsi" w:hAnsiTheme="minorHAnsi" w:cstheme="minorHAnsi"/>
          <w:sz w:val="22"/>
          <w:szCs w:val="22"/>
        </w:rPr>
      </w:pPr>
      <w:r w:rsidRPr="00572AEE">
        <w:rPr>
          <w:rFonts w:asciiTheme="minorHAnsi" w:hAnsiTheme="minorHAnsi" w:cstheme="minorHAnsi"/>
          <w:sz w:val="22"/>
          <w:szCs w:val="22"/>
        </w:rPr>
        <w:t>The balance of households’ securities activity abroad c</w:t>
      </w:r>
      <w:r w:rsidR="003B1289" w:rsidRPr="00572AEE">
        <w:rPr>
          <w:rFonts w:asciiTheme="minorHAnsi" w:hAnsiTheme="minorHAnsi" w:cstheme="minorHAnsi"/>
          <w:sz w:val="22"/>
          <w:szCs w:val="22"/>
        </w:rPr>
        <w:t>ontinued to grow in recent years</w:t>
      </w:r>
      <w:r w:rsidR="006F6F4D" w:rsidRPr="00572AEE">
        <w:rPr>
          <w:rFonts w:asciiTheme="minorHAnsi" w:hAnsiTheme="minorHAnsi" w:cstheme="minorHAnsi"/>
          <w:sz w:val="22"/>
          <w:szCs w:val="22"/>
        </w:rPr>
        <w:t xml:space="preserve">. As of the end of December 2025, it </w:t>
      </w:r>
      <w:r w:rsidR="006F6F4D" w:rsidRPr="006F6F4D">
        <w:rPr>
          <w:rFonts w:asciiTheme="minorHAnsi" w:hAnsiTheme="minorHAnsi" w:cstheme="minorHAnsi"/>
          <w:sz w:val="22"/>
          <w:szCs w:val="22"/>
        </w:rPr>
        <w:t xml:space="preserve">accounts for </w:t>
      </w:r>
      <w:r w:rsidR="006F6F4D" w:rsidRPr="00572AEE">
        <w:rPr>
          <w:rFonts w:asciiTheme="minorHAnsi" w:hAnsiTheme="minorHAnsi" w:cstheme="minorHAnsi"/>
          <w:sz w:val="22"/>
          <w:szCs w:val="22"/>
        </w:rPr>
        <w:t>about one</w:t>
      </w:r>
      <w:r w:rsidR="006F6F4D" w:rsidRPr="00572AEE">
        <w:rPr>
          <w:rFonts w:asciiTheme="minorHAnsi" w:hAnsiTheme="minorHAnsi" w:cstheme="minorHAnsi"/>
          <w:sz w:val="22"/>
          <w:szCs w:val="22"/>
        </w:rPr>
        <w:noBreakHyphen/>
        <w:t>quarter of the Israeli economy’s total holdings of tradable foreign securities</w:t>
      </w:r>
      <w:r w:rsidR="006F6F4D" w:rsidRPr="006F6F4D">
        <w:rPr>
          <w:rFonts w:asciiTheme="minorHAnsi" w:hAnsiTheme="minorHAnsi" w:cstheme="minorHAnsi"/>
          <w:sz w:val="22"/>
          <w:szCs w:val="22"/>
        </w:rPr>
        <w:t xml:space="preserve">. Out of all Israeli assets abroad—including securities and other investment instruments—the </w:t>
      </w:r>
      <w:r w:rsidR="006F6F4D" w:rsidRPr="00572AEE">
        <w:rPr>
          <w:rFonts w:asciiTheme="minorHAnsi" w:hAnsiTheme="minorHAnsi" w:cstheme="minorHAnsi"/>
          <w:sz w:val="22"/>
          <w:szCs w:val="22"/>
        </w:rPr>
        <w:t>household share</w:t>
      </w:r>
      <w:r w:rsidR="006F6F4D" w:rsidRPr="006F6F4D">
        <w:rPr>
          <w:rFonts w:asciiTheme="minorHAnsi" w:hAnsiTheme="minorHAnsi" w:cstheme="minorHAnsi"/>
          <w:sz w:val="22"/>
          <w:szCs w:val="22"/>
        </w:rPr>
        <w:t xml:space="preserve"> rose from </w:t>
      </w:r>
      <w:r w:rsidR="006F6F4D" w:rsidRPr="00572AEE">
        <w:rPr>
          <w:rFonts w:asciiTheme="minorHAnsi" w:hAnsiTheme="minorHAnsi" w:cstheme="minorHAnsi"/>
          <w:sz w:val="22"/>
          <w:szCs w:val="22"/>
        </w:rPr>
        <w:t>7</w:t>
      </w:r>
      <w:r w:rsidR="00350C13" w:rsidRPr="00572AEE">
        <w:rPr>
          <w:rFonts w:asciiTheme="minorHAnsi" w:hAnsiTheme="minorHAnsi" w:cstheme="minorHAnsi"/>
          <w:sz w:val="22"/>
          <w:szCs w:val="22"/>
        </w:rPr>
        <w:t xml:space="preserve"> percent</w:t>
      </w:r>
      <w:r w:rsidR="006F6F4D" w:rsidRPr="00572AEE">
        <w:rPr>
          <w:rFonts w:asciiTheme="minorHAnsi" w:hAnsiTheme="minorHAnsi" w:cstheme="minorHAnsi"/>
          <w:sz w:val="22"/>
          <w:szCs w:val="22"/>
        </w:rPr>
        <w:t xml:space="preserve"> in 2020</w:t>
      </w:r>
      <w:r w:rsidR="006F6F4D" w:rsidRPr="006F6F4D">
        <w:rPr>
          <w:rFonts w:asciiTheme="minorHAnsi" w:hAnsiTheme="minorHAnsi" w:cstheme="minorHAnsi"/>
          <w:sz w:val="22"/>
          <w:szCs w:val="22"/>
        </w:rPr>
        <w:t xml:space="preserve"> to </w:t>
      </w:r>
      <w:r w:rsidR="006F6F4D" w:rsidRPr="00572AEE">
        <w:rPr>
          <w:rFonts w:asciiTheme="minorHAnsi" w:hAnsiTheme="minorHAnsi" w:cstheme="minorHAnsi"/>
          <w:sz w:val="22"/>
          <w:szCs w:val="22"/>
        </w:rPr>
        <w:t>9</w:t>
      </w:r>
      <w:r w:rsidR="00350C13" w:rsidRPr="00572AEE">
        <w:rPr>
          <w:rFonts w:asciiTheme="minorHAnsi" w:hAnsiTheme="minorHAnsi" w:cstheme="minorHAnsi"/>
          <w:sz w:val="22"/>
          <w:szCs w:val="22"/>
        </w:rPr>
        <w:t xml:space="preserve"> percent</w:t>
      </w:r>
      <w:r w:rsidR="006F6F4D" w:rsidRPr="00572AEE">
        <w:rPr>
          <w:rFonts w:asciiTheme="minorHAnsi" w:hAnsiTheme="minorHAnsi" w:cstheme="minorHAnsi"/>
          <w:sz w:val="22"/>
          <w:szCs w:val="22"/>
        </w:rPr>
        <w:t xml:space="preserve"> at the end of 2025</w:t>
      </w:r>
      <w:r w:rsidR="006F6F4D" w:rsidRPr="006F6F4D">
        <w:rPr>
          <w:rFonts w:asciiTheme="minorHAnsi" w:hAnsiTheme="minorHAnsi" w:cstheme="minorHAnsi"/>
          <w:sz w:val="22"/>
          <w:szCs w:val="22"/>
        </w:rPr>
        <w:t>.</w:t>
      </w:r>
    </w:p>
    <w:p w14:paraId="68C2E8A5" w14:textId="3186AA2B" w:rsidR="006F6F4D" w:rsidRPr="00572AEE" w:rsidRDefault="006F6F4D" w:rsidP="00C0423F">
      <w:pPr>
        <w:pStyle w:val="ListParagraph"/>
        <w:numPr>
          <w:ilvl w:val="0"/>
          <w:numId w:val="26"/>
        </w:numPr>
        <w:spacing w:before="100" w:beforeAutospacing="1" w:after="100" w:afterAutospacing="1"/>
        <w:jc w:val="both"/>
        <w:rPr>
          <w:rFonts w:asciiTheme="minorHAnsi" w:hAnsiTheme="minorHAnsi" w:cstheme="minorHAnsi"/>
          <w:sz w:val="22"/>
          <w:szCs w:val="22"/>
        </w:rPr>
      </w:pPr>
      <w:r w:rsidRPr="00572AEE">
        <w:rPr>
          <w:rFonts w:asciiTheme="minorHAnsi" w:hAnsiTheme="minorHAnsi" w:cstheme="minorHAnsi"/>
          <w:sz w:val="22"/>
          <w:szCs w:val="22"/>
        </w:rPr>
        <w:t>Households prefer equity investments, and their portfolio composition has remained stable over time, even during periods of economic uncertainty in Israel: approximately 75</w:t>
      </w:r>
      <w:r w:rsidR="00350C13" w:rsidRPr="00572AEE">
        <w:rPr>
          <w:rFonts w:asciiTheme="minorHAnsi" w:hAnsiTheme="minorHAnsi" w:cstheme="minorHAnsi"/>
          <w:sz w:val="22"/>
          <w:szCs w:val="22"/>
        </w:rPr>
        <w:t xml:space="preserve"> percent</w:t>
      </w:r>
      <w:r w:rsidRPr="00572AEE">
        <w:rPr>
          <w:rFonts w:asciiTheme="minorHAnsi" w:hAnsiTheme="minorHAnsi" w:cstheme="minorHAnsi"/>
          <w:sz w:val="22"/>
          <w:szCs w:val="22"/>
        </w:rPr>
        <w:t xml:space="preserve"> of their securities portfolio </w:t>
      </w:r>
      <w:proofErr w:type="gramStart"/>
      <w:r w:rsidRPr="00572AEE">
        <w:rPr>
          <w:rFonts w:asciiTheme="minorHAnsi" w:hAnsiTheme="minorHAnsi" w:cstheme="minorHAnsi"/>
          <w:sz w:val="22"/>
          <w:szCs w:val="22"/>
        </w:rPr>
        <w:t>is invested</w:t>
      </w:r>
      <w:proofErr w:type="gramEnd"/>
      <w:r w:rsidRPr="00572AEE">
        <w:rPr>
          <w:rFonts w:asciiTheme="minorHAnsi" w:hAnsiTheme="minorHAnsi" w:cstheme="minorHAnsi"/>
          <w:sz w:val="22"/>
          <w:szCs w:val="22"/>
        </w:rPr>
        <w:t xml:space="preserve"> domestically, and 25</w:t>
      </w:r>
      <w:r w:rsidR="00350C13" w:rsidRPr="00572AEE">
        <w:rPr>
          <w:rFonts w:asciiTheme="minorHAnsi" w:hAnsiTheme="minorHAnsi" w:cstheme="minorHAnsi"/>
          <w:sz w:val="22"/>
          <w:szCs w:val="22"/>
        </w:rPr>
        <w:t xml:space="preserve"> percent</w:t>
      </w:r>
      <w:r w:rsidRPr="00572AEE">
        <w:rPr>
          <w:rFonts w:asciiTheme="minorHAnsi" w:hAnsiTheme="minorHAnsi" w:cstheme="minorHAnsi"/>
          <w:sz w:val="22"/>
          <w:szCs w:val="22"/>
        </w:rPr>
        <w:t xml:space="preserve"> abroad. Most foreign investments are concentrated in the United States (79</w:t>
      </w:r>
      <w:r w:rsidR="00350C13" w:rsidRPr="00572AEE">
        <w:rPr>
          <w:rFonts w:asciiTheme="minorHAnsi" w:hAnsiTheme="minorHAnsi" w:cstheme="minorHAnsi"/>
          <w:sz w:val="22"/>
          <w:szCs w:val="22"/>
        </w:rPr>
        <w:t xml:space="preserve"> percent</w:t>
      </w:r>
      <w:r w:rsidRPr="00572AEE">
        <w:rPr>
          <w:rFonts w:asciiTheme="minorHAnsi" w:hAnsiTheme="minorHAnsi" w:cstheme="minorHAnsi"/>
          <w:sz w:val="22"/>
          <w:szCs w:val="22"/>
        </w:rPr>
        <w:t>), with a preference for technology stocks.</w:t>
      </w:r>
    </w:p>
    <w:p w14:paraId="4B88A718" w14:textId="5EB315FF" w:rsidR="006F6F4D" w:rsidRPr="006F6F4D" w:rsidRDefault="006F6F4D" w:rsidP="00C0423F">
      <w:pPr>
        <w:pStyle w:val="ListParagraph"/>
        <w:numPr>
          <w:ilvl w:val="0"/>
          <w:numId w:val="26"/>
        </w:numPr>
        <w:spacing w:before="100" w:beforeAutospacing="1" w:after="100" w:afterAutospacing="1"/>
        <w:jc w:val="both"/>
        <w:rPr>
          <w:rFonts w:asciiTheme="minorHAnsi" w:hAnsiTheme="minorHAnsi" w:cstheme="minorHAnsi"/>
          <w:sz w:val="22"/>
          <w:szCs w:val="22"/>
        </w:rPr>
      </w:pPr>
      <w:r w:rsidRPr="00572AEE">
        <w:rPr>
          <w:rFonts w:asciiTheme="minorHAnsi" w:hAnsiTheme="minorHAnsi" w:cstheme="minorHAnsi"/>
          <w:sz w:val="22"/>
          <w:szCs w:val="22"/>
        </w:rPr>
        <w:t xml:space="preserve">The majority of household investments abroad </w:t>
      </w:r>
      <w:proofErr w:type="gramStart"/>
      <w:r w:rsidRPr="00572AEE">
        <w:rPr>
          <w:rFonts w:asciiTheme="minorHAnsi" w:hAnsiTheme="minorHAnsi" w:cstheme="minorHAnsi"/>
          <w:sz w:val="22"/>
          <w:szCs w:val="22"/>
        </w:rPr>
        <w:t>are made</w:t>
      </w:r>
      <w:proofErr w:type="gramEnd"/>
      <w:r w:rsidRPr="00572AEE">
        <w:rPr>
          <w:rFonts w:asciiTheme="minorHAnsi" w:hAnsiTheme="minorHAnsi" w:cstheme="minorHAnsi"/>
          <w:sz w:val="22"/>
          <w:szCs w:val="22"/>
        </w:rPr>
        <w:t xml:space="preserve"> directly: as of the end of 2025, about </w:t>
      </w:r>
      <w:r w:rsidR="002B7DC3" w:rsidRPr="00572AEE">
        <w:rPr>
          <w:rFonts w:asciiTheme="minorHAnsi" w:hAnsiTheme="minorHAnsi" w:cstheme="minorHAnsi"/>
          <w:sz w:val="22"/>
          <w:szCs w:val="22"/>
        </w:rPr>
        <w:t>$</w:t>
      </w:r>
      <w:r w:rsidRPr="00572AEE">
        <w:rPr>
          <w:rFonts w:asciiTheme="minorHAnsi" w:hAnsiTheme="minorHAnsi" w:cstheme="minorHAnsi"/>
          <w:sz w:val="22"/>
          <w:szCs w:val="22"/>
        </w:rPr>
        <w:t xml:space="preserve">73 billion were invested directly, compared with only </w:t>
      </w:r>
      <w:r w:rsidR="002B7DC3" w:rsidRPr="00572AEE">
        <w:rPr>
          <w:rFonts w:asciiTheme="minorHAnsi" w:hAnsiTheme="minorHAnsi" w:cstheme="minorHAnsi"/>
          <w:sz w:val="22"/>
          <w:szCs w:val="22"/>
        </w:rPr>
        <w:t>$</w:t>
      </w:r>
      <w:r w:rsidRPr="00572AEE">
        <w:rPr>
          <w:rFonts w:asciiTheme="minorHAnsi" w:hAnsiTheme="minorHAnsi" w:cstheme="minorHAnsi"/>
          <w:sz w:val="22"/>
          <w:szCs w:val="22"/>
        </w:rPr>
        <w:t>26 billion through mutual funds. In addition, household</w:t>
      </w:r>
      <w:r w:rsidR="00C0423F">
        <w:rPr>
          <w:rFonts w:asciiTheme="minorHAnsi" w:hAnsiTheme="minorHAnsi" w:cstheme="minorHAnsi"/>
          <w:sz w:val="22"/>
          <w:szCs w:val="22"/>
        </w:rPr>
        <w:t>s’ share</w:t>
      </w:r>
      <w:r w:rsidRPr="00572AEE">
        <w:rPr>
          <w:rFonts w:asciiTheme="minorHAnsi" w:hAnsiTheme="minorHAnsi" w:cstheme="minorHAnsi"/>
          <w:sz w:val="22"/>
          <w:szCs w:val="22"/>
        </w:rPr>
        <w:t xml:space="preserve"> </w:t>
      </w:r>
      <w:r w:rsidR="00C0423F">
        <w:rPr>
          <w:rFonts w:asciiTheme="minorHAnsi" w:hAnsiTheme="minorHAnsi" w:cstheme="minorHAnsi"/>
          <w:sz w:val="22"/>
          <w:szCs w:val="22"/>
        </w:rPr>
        <w:t xml:space="preserve">investment abroad </w:t>
      </w:r>
      <w:r w:rsidRPr="00572AEE">
        <w:rPr>
          <w:rFonts w:asciiTheme="minorHAnsi" w:hAnsiTheme="minorHAnsi" w:cstheme="minorHAnsi"/>
          <w:sz w:val="22"/>
          <w:szCs w:val="22"/>
        </w:rPr>
        <w:t>(22</w:t>
      </w:r>
      <w:r w:rsidR="00350C13" w:rsidRPr="00572AEE">
        <w:rPr>
          <w:rFonts w:asciiTheme="minorHAnsi" w:hAnsiTheme="minorHAnsi" w:cstheme="minorHAnsi"/>
          <w:sz w:val="22"/>
          <w:szCs w:val="22"/>
        </w:rPr>
        <w:t xml:space="preserve"> percent</w:t>
      </w:r>
      <w:r w:rsidRPr="00572AEE">
        <w:rPr>
          <w:rFonts w:asciiTheme="minorHAnsi" w:hAnsiTheme="minorHAnsi" w:cstheme="minorHAnsi"/>
          <w:sz w:val="22"/>
          <w:szCs w:val="22"/>
        </w:rPr>
        <w:t>) is significantly higher than the OECD median of 10</w:t>
      </w:r>
      <w:r w:rsidR="00350C13" w:rsidRPr="00572AEE">
        <w:rPr>
          <w:rFonts w:asciiTheme="minorHAnsi" w:hAnsiTheme="minorHAnsi" w:cstheme="minorHAnsi"/>
          <w:sz w:val="22"/>
          <w:szCs w:val="22"/>
        </w:rPr>
        <w:t xml:space="preserve"> percent</w:t>
      </w:r>
      <w:r w:rsidRPr="00572AEE">
        <w:rPr>
          <w:rFonts w:asciiTheme="minorHAnsi" w:hAnsiTheme="minorHAnsi" w:cstheme="minorHAnsi"/>
          <w:sz w:val="22"/>
          <w:szCs w:val="22"/>
        </w:rPr>
        <w:t>.</w:t>
      </w:r>
    </w:p>
    <w:p w14:paraId="286A8EF5" w14:textId="3EC4BBF5" w:rsidR="00DB344D" w:rsidRPr="00DB344D" w:rsidRDefault="006E697A" w:rsidP="00DB344D">
      <w:pPr>
        <w:spacing w:before="100" w:beforeAutospacing="1" w:after="100" w:afterAutospacing="1"/>
        <w:rPr>
          <w:rFonts w:asciiTheme="minorHAnsi" w:hAnsiTheme="minorHAnsi" w:cstheme="minorHAnsi"/>
          <w:sz w:val="22"/>
          <w:szCs w:val="22"/>
        </w:rPr>
      </w:pPr>
      <w:r>
        <w:rPr>
          <w:rFonts w:asciiTheme="minorHAnsi" w:hAnsiTheme="minorHAnsi" w:cstheme="minorHAnsi"/>
          <w:b/>
          <w:bCs/>
          <w:sz w:val="22"/>
          <w:szCs w:val="22"/>
        </w:rPr>
        <w:t xml:space="preserve">2. </w:t>
      </w:r>
      <w:r w:rsidR="00DB344D" w:rsidRPr="00572AEE">
        <w:rPr>
          <w:rFonts w:asciiTheme="minorHAnsi" w:hAnsiTheme="minorHAnsi" w:cstheme="minorHAnsi"/>
          <w:b/>
          <w:bCs/>
          <w:sz w:val="22"/>
          <w:szCs w:val="22"/>
        </w:rPr>
        <w:t>Credit Officers’ Survey in Israel</w:t>
      </w:r>
    </w:p>
    <w:p w14:paraId="1AFB0F65" w14:textId="77777777" w:rsidR="00DB344D" w:rsidRPr="00475DDC" w:rsidRDefault="00DB344D" w:rsidP="00475DDC">
      <w:pPr>
        <w:pStyle w:val="ListParagraph"/>
        <w:numPr>
          <w:ilvl w:val="0"/>
          <w:numId w:val="27"/>
        </w:numPr>
        <w:spacing w:before="100" w:beforeAutospacing="1" w:after="100" w:afterAutospacing="1"/>
        <w:jc w:val="both"/>
        <w:rPr>
          <w:rFonts w:asciiTheme="minorHAnsi" w:hAnsiTheme="minorHAnsi" w:cstheme="minorHAnsi"/>
          <w:sz w:val="22"/>
          <w:szCs w:val="22"/>
        </w:rPr>
      </w:pPr>
      <w:r w:rsidRPr="00475DDC">
        <w:rPr>
          <w:rFonts w:asciiTheme="minorHAnsi" w:hAnsiTheme="minorHAnsi" w:cstheme="minorHAnsi"/>
          <w:sz w:val="22"/>
          <w:szCs w:val="22"/>
        </w:rPr>
        <w:t>This section describes the new Credit Officers’ Survey launched by the Bank of Israel in September 2024, modeled after similar surveys conducted by central banks worldwide. The survey aims to provide qualitative and timely information on developments in the demand and supply of bank credit.</w:t>
      </w:r>
    </w:p>
    <w:p w14:paraId="2C8A469F" w14:textId="32CF9572" w:rsidR="00DB344D" w:rsidRPr="00475DDC" w:rsidRDefault="00106EFC" w:rsidP="00106EFC">
      <w:pPr>
        <w:pStyle w:val="ListParagraph"/>
        <w:numPr>
          <w:ilvl w:val="0"/>
          <w:numId w:val="27"/>
        </w:numPr>
        <w:spacing w:before="100" w:beforeAutospacing="1" w:after="100" w:afterAutospacing="1"/>
        <w:jc w:val="both"/>
        <w:rPr>
          <w:rFonts w:asciiTheme="minorHAnsi" w:hAnsiTheme="minorHAnsi" w:cstheme="minorHAnsi"/>
          <w:sz w:val="22"/>
          <w:szCs w:val="22"/>
        </w:rPr>
      </w:pPr>
      <w:r>
        <w:rPr>
          <w:rFonts w:asciiTheme="minorHAnsi" w:hAnsiTheme="minorHAnsi" w:cstheme="minorHAnsi"/>
          <w:sz w:val="22"/>
          <w:szCs w:val="22"/>
        </w:rPr>
        <w:t xml:space="preserve">The survey </w:t>
      </w:r>
      <w:r w:rsidR="00DB344D" w:rsidRPr="00475DDC">
        <w:rPr>
          <w:rFonts w:asciiTheme="minorHAnsi" w:hAnsiTheme="minorHAnsi" w:cstheme="minorHAnsi"/>
          <w:sz w:val="22"/>
          <w:szCs w:val="22"/>
        </w:rPr>
        <w:t xml:space="preserve">offers complementary insights to quantitative data—covering changes in credit demand and lending </w:t>
      </w:r>
      <w:r>
        <w:rPr>
          <w:rFonts w:asciiTheme="minorHAnsi" w:hAnsiTheme="minorHAnsi" w:cstheme="minorHAnsi"/>
          <w:sz w:val="22"/>
          <w:szCs w:val="22"/>
        </w:rPr>
        <w:t xml:space="preserve">terms </w:t>
      </w:r>
      <w:r w:rsidR="00DB344D" w:rsidRPr="00475DDC">
        <w:rPr>
          <w:rFonts w:asciiTheme="minorHAnsi" w:hAnsiTheme="minorHAnsi" w:cstheme="minorHAnsi"/>
          <w:sz w:val="22"/>
          <w:szCs w:val="22"/>
        </w:rPr>
        <w:t>offered by banks, as well as factors influencing credit demand and lending policies (information not included in standard quantitative reports).</w:t>
      </w:r>
    </w:p>
    <w:p w14:paraId="4FC40CB0" w14:textId="77777777" w:rsidR="00DB344D" w:rsidRPr="00475DDC" w:rsidRDefault="00DB344D" w:rsidP="00475DDC">
      <w:pPr>
        <w:pStyle w:val="ListParagraph"/>
        <w:numPr>
          <w:ilvl w:val="0"/>
          <w:numId w:val="27"/>
        </w:numPr>
        <w:spacing w:before="100" w:beforeAutospacing="1" w:after="100" w:afterAutospacing="1"/>
        <w:jc w:val="both"/>
        <w:rPr>
          <w:rFonts w:asciiTheme="minorHAnsi" w:hAnsiTheme="minorHAnsi" w:cstheme="minorHAnsi"/>
          <w:sz w:val="22"/>
          <w:szCs w:val="22"/>
        </w:rPr>
      </w:pPr>
      <w:r w:rsidRPr="00475DDC">
        <w:rPr>
          <w:rFonts w:asciiTheme="minorHAnsi" w:hAnsiTheme="minorHAnsi" w:cstheme="minorHAnsi"/>
          <w:sz w:val="22"/>
          <w:szCs w:val="22"/>
        </w:rPr>
        <w:t>The study presents selected results from the survey, illustrating trends in bank credit demand and supply across different sectors and business size categories.</w:t>
      </w:r>
    </w:p>
    <w:p w14:paraId="6E990AD6" w14:textId="7200996E" w:rsidR="006F6F4D" w:rsidRPr="006F6F4D" w:rsidRDefault="006E697A" w:rsidP="006F6F4D">
      <w:pPr>
        <w:spacing w:before="100" w:beforeAutospacing="1" w:after="100" w:afterAutospacing="1"/>
        <w:rPr>
          <w:rFonts w:asciiTheme="minorHAnsi" w:hAnsiTheme="minorHAnsi" w:cstheme="minorHAnsi"/>
          <w:sz w:val="22"/>
          <w:szCs w:val="22"/>
        </w:rPr>
      </w:pPr>
      <w:r>
        <w:rPr>
          <w:rFonts w:asciiTheme="minorHAnsi" w:hAnsiTheme="minorHAnsi" w:cstheme="minorHAnsi"/>
          <w:b/>
          <w:bCs/>
          <w:sz w:val="22"/>
          <w:szCs w:val="22"/>
        </w:rPr>
        <w:lastRenderedPageBreak/>
        <w:t xml:space="preserve">3. </w:t>
      </w:r>
      <w:r w:rsidR="006F6F4D" w:rsidRPr="00572AEE">
        <w:rPr>
          <w:rFonts w:asciiTheme="minorHAnsi" w:hAnsiTheme="minorHAnsi" w:cstheme="minorHAnsi"/>
          <w:b/>
          <w:bCs/>
          <w:sz w:val="22"/>
          <w:szCs w:val="22"/>
        </w:rPr>
        <w:t xml:space="preserve">Developments in the Public Sector’s Gross External Debt </w:t>
      </w:r>
      <w:r w:rsidR="0091716A" w:rsidRPr="00572AEE">
        <w:rPr>
          <w:rFonts w:asciiTheme="minorHAnsi" w:hAnsiTheme="minorHAnsi" w:cstheme="minorHAnsi"/>
          <w:b/>
          <w:bCs/>
          <w:sz w:val="22"/>
          <w:szCs w:val="22"/>
        </w:rPr>
        <w:t>over</w:t>
      </w:r>
      <w:r w:rsidR="006F6F4D" w:rsidRPr="00572AEE">
        <w:rPr>
          <w:rFonts w:asciiTheme="minorHAnsi" w:hAnsiTheme="minorHAnsi" w:cstheme="minorHAnsi"/>
          <w:b/>
          <w:bCs/>
          <w:sz w:val="22"/>
          <w:szCs w:val="22"/>
        </w:rPr>
        <w:t xml:space="preserve"> the Past Decade</w:t>
      </w:r>
    </w:p>
    <w:p w14:paraId="0041B898" w14:textId="5C550F9D" w:rsidR="006F6F4D" w:rsidRPr="00475DDC" w:rsidRDefault="006F6F4D" w:rsidP="00475DDC">
      <w:pPr>
        <w:pStyle w:val="ListParagraph"/>
        <w:numPr>
          <w:ilvl w:val="0"/>
          <w:numId w:val="28"/>
        </w:numPr>
        <w:spacing w:before="100" w:beforeAutospacing="1" w:after="100" w:afterAutospacing="1"/>
        <w:jc w:val="both"/>
        <w:rPr>
          <w:rFonts w:asciiTheme="minorHAnsi" w:hAnsiTheme="minorHAnsi" w:cstheme="minorHAnsi"/>
          <w:sz w:val="22"/>
          <w:szCs w:val="22"/>
        </w:rPr>
      </w:pPr>
      <w:r w:rsidRPr="00475DDC">
        <w:rPr>
          <w:rFonts w:asciiTheme="minorHAnsi" w:hAnsiTheme="minorHAnsi" w:cstheme="minorHAnsi"/>
          <w:sz w:val="22"/>
          <w:szCs w:val="22"/>
        </w:rPr>
        <w:t>In the pre</w:t>
      </w:r>
      <w:r w:rsidRPr="00475DDC">
        <w:rPr>
          <w:rFonts w:asciiTheme="minorHAnsi" w:hAnsiTheme="minorHAnsi" w:cstheme="minorHAnsi"/>
          <w:sz w:val="22"/>
          <w:szCs w:val="22"/>
        </w:rPr>
        <w:noBreakHyphen/>
        <w:t>COVID</w:t>
      </w:r>
      <w:r w:rsidR="006E697A">
        <w:rPr>
          <w:rFonts w:asciiTheme="minorHAnsi" w:hAnsiTheme="minorHAnsi" w:cstheme="minorHAnsi"/>
          <w:sz w:val="22"/>
          <w:szCs w:val="22"/>
        </w:rPr>
        <w:t>-19</w:t>
      </w:r>
      <w:r w:rsidRPr="00475DDC">
        <w:rPr>
          <w:rFonts w:asciiTheme="minorHAnsi" w:hAnsiTheme="minorHAnsi" w:cstheme="minorHAnsi"/>
          <w:sz w:val="22"/>
          <w:szCs w:val="22"/>
        </w:rPr>
        <w:t xml:space="preserve"> years (2015–2019), Israel’s public external debt increased at a moderate pace, reaching</w:t>
      </w:r>
      <w:r w:rsidR="002D2FC2" w:rsidRPr="00475DDC">
        <w:rPr>
          <w:rFonts w:asciiTheme="minorHAnsi" w:hAnsiTheme="minorHAnsi" w:cstheme="minorHAnsi"/>
          <w:sz w:val="22"/>
          <w:szCs w:val="22"/>
        </w:rPr>
        <w:t xml:space="preserve"> $</w:t>
      </w:r>
      <w:r w:rsidRPr="00475DDC">
        <w:rPr>
          <w:rFonts w:asciiTheme="minorHAnsi" w:hAnsiTheme="minorHAnsi" w:cstheme="minorHAnsi"/>
          <w:sz w:val="22"/>
          <w:szCs w:val="22"/>
        </w:rPr>
        <w:t>36–38 billion. During the COVID</w:t>
      </w:r>
      <w:r w:rsidRPr="00475DDC">
        <w:rPr>
          <w:rFonts w:asciiTheme="minorHAnsi" w:hAnsiTheme="minorHAnsi" w:cstheme="minorHAnsi"/>
          <w:sz w:val="22"/>
          <w:szCs w:val="22"/>
        </w:rPr>
        <w:noBreakHyphen/>
        <w:t xml:space="preserve">19 period, the debt doubled, peaking at USD 78 billion in 2021. It then gradually declined to around USD 66 </w:t>
      </w:r>
      <w:proofErr w:type="gramStart"/>
      <w:r w:rsidRPr="00475DDC">
        <w:rPr>
          <w:rFonts w:asciiTheme="minorHAnsi" w:hAnsiTheme="minorHAnsi" w:cstheme="minorHAnsi"/>
          <w:sz w:val="22"/>
          <w:szCs w:val="22"/>
        </w:rPr>
        <w:t>billion</w:t>
      </w:r>
      <w:proofErr w:type="gramEnd"/>
      <w:r w:rsidRPr="00475DDC">
        <w:rPr>
          <w:rFonts w:asciiTheme="minorHAnsi" w:hAnsiTheme="minorHAnsi" w:cstheme="minorHAnsi"/>
          <w:sz w:val="22"/>
          <w:szCs w:val="22"/>
        </w:rPr>
        <w:t xml:space="preserve"> by the end of Q3 2023.</w:t>
      </w:r>
    </w:p>
    <w:p w14:paraId="745354A4" w14:textId="77777777" w:rsidR="006F6F4D" w:rsidRPr="00475DDC" w:rsidRDefault="006F6F4D" w:rsidP="00475DDC">
      <w:pPr>
        <w:pStyle w:val="ListParagraph"/>
        <w:numPr>
          <w:ilvl w:val="0"/>
          <w:numId w:val="28"/>
        </w:numPr>
        <w:spacing w:before="100" w:beforeAutospacing="1" w:after="100" w:afterAutospacing="1"/>
        <w:jc w:val="both"/>
        <w:rPr>
          <w:rFonts w:asciiTheme="minorHAnsi" w:hAnsiTheme="minorHAnsi" w:cstheme="minorHAnsi"/>
          <w:sz w:val="22"/>
          <w:szCs w:val="22"/>
        </w:rPr>
      </w:pPr>
      <w:r w:rsidRPr="00475DDC">
        <w:rPr>
          <w:rFonts w:asciiTheme="minorHAnsi" w:hAnsiTheme="minorHAnsi" w:cstheme="minorHAnsi"/>
          <w:sz w:val="22"/>
          <w:szCs w:val="22"/>
        </w:rPr>
        <w:t xml:space="preserve">At the outbreak of the war, the downward trend continued, with debt standing at USD 64 </w:t>
      </w:r>
      <w:proofErr w:type="gramStart"/>
      <w:r w:rsidRPr="00475DDC">
        <w:rPr>
          <w:rFonts w:asciiTheme="minorHAnsi" w:hAnsiTheme="minorHAnsi" w:cstheme="minorHAnsi"/>
          <w:sz w:val="22"/>
          <w:szCs w:val="22"/>
        </w:rPr>
        <w:t>billion</w:t>
      </w:r>
      <w:proofErr w:type="gramEnd"/>
      <w:r w:rsidRPr="00475DDC">
        <w:rPr>
          <w:rFonts w:asciiTheme="minorHAnsi" w:hAnsiTheme="minorHAnsi" w:cstheme="minorHAnsi"/>
          <w:sz w:val="22"/>
          <w:szCs w:val="22"/>
        </w:rPr>
        <w:t xml:space="preserve"> at the end of 2023. However, as the war progressed, the debt rose again, reaching approximately USD 75 </w:t>
      </w:r>
      <w:proofErr w:type="gramStart"/>
      <w:r w:rsidRPr="00475DDC">
        <w:rPr>
          <w:rFonts w:asciiTheme="minorHAnsi" w:hAnsiTheme="minorHAnsi" w:cstheme="minorHAnsi"/>
          <w:sz w:val="22"/>
          <w:szCs w:val="22"/>
        </w:rPr>
        <w:t>billion</w:t>
      </w:r>
      <w:proofErr w:type="gramEnd"/>
      <w:r w:rsidRPr="00475DDC">
        <w:rPr>
          <w:rFonts w:asciiTheme="minorHAnsi" w:hAnsiTheme="minorHAnsi" w:cstheme="minorHAnsi"/>
          <w:sz w:val="22"/>
          <w:szCs w:val="22"/>
        </w:rPr>
        <w:t xml:space="preserve"> in the second half of 2025, close to its previous peak.</w:t>
      </w:r>
    </w:p>
    <w:p w14:paraId="3BE304FA" w14:textId="06B67A7F" w:rsidR="006F6F4D" w:rsidRPr="00475DDC" w:rsidRDefault="006F6F4D" w:rsidP="00622696">
      <w:pPr>
        <w:pStyle w:val="ListParagraph"/>
        <w:numPr>
          <w:ilvl w:val="0"/>
          <w:numId w:val="28"/>
        </w:numPr>
        <w:spacing w:before="100" w:beforeAutospacing="1" w:after="100" w:afterAutospacing="1"/>
        <w:jc w:val="both"/>
        <w:rPr>
          <w:rFonts w:asciiTheme="minorHAnsi" w:hAnsiTheme="minorHAnsi" w:cstheme="minorHAnsi"/>
          <w:sz w:val="22"/>
          <w:szCs w:val="22"/>
        </w:rPr>
      </w:pPr>
      <w:r w:rsidRPr="00475DDC">
        <w:rPr>
          <w:rFonts w:asciiTheme="minorHAnsi" w:hAnsiTheme="minorHAnsi" w:cstheme="minorHAnsi"/>
          <w:sz w:val="22"/>
          <w:szCs w:val="22"/>
        </w:rPr>
        <w:t xml:space="preserve">Fluctuations </w:t>
      </w:r>
      <w:proofErr w:type="gramStart"/>
      <w:r w:rsidRPr="00475DDC">
        <w:rPr>
          <w:rFonts w:asciiTheme="minorHAnsi" w:hAnsiTheme="minorHAnsi" w:cstheme="minorHAnsi"/>
          <w:sz w:val="22"/>
          <w:szCs w:val="22"/>
        </w:rPr>
        <w:t>were observed</w:t>
      </w:r>
      <w:proofErr w:type="gramEnd"/>
      <w:r w:rsidRPr="00475DDC">
        <w:rPr>
          <w:rFonts w:asciiTheme="minorHAnsi" w:hAnsiTheme="minorHAnsi" w:cstheme="minorHAnsi"/>
          <w:sz w:val="22"/>
          <w:szCs w:val="22"/>
        </w:rPr>
        <w:t xml:space="preserve"> in the currency composition of the gross public external debt: </w:t>
      </w:r>
      <w:r w:rsidR="00562BE9">
        <w:rPr>
          <w:rFonts w:asciiTheme="minorHAnsi" w:hAnsiTheme="minorHAnsi" w:cstheme="minorHAnsi"/>
          <w:sz w:val="22"/>
          <w:szCs w:val="22"/>
        </w:rPr>
        <w:t xml:space="preserve">nonresident </w:t>
      </w:r>
      <w:r w:rsidRPr="00475DDC">
        <w:rPr>
          <w:rFonts w:asciiTheme="minorHAnsi" w:hAnsiTheme="minorHAnsi" w:cstheme="minorHAnsi"/>
          <w:sz w:val="22"/>
          <w:szCs w:val="22"/>
        </w:rPr>
        <w:t>investors continued to invest in foreign</w:t>
      </w:r>
      <w:r w:rsidRPr="00475DDC">
        <w:rPr>
          <w:rFonts w:asciiTheme="minorHAnsi" w:hAnsiTheme="minorHAnsi" w:cstheme="minorHAnsi"/>
          <w:sz w:val="22"/>
          <w:szCs w:val="22"/>
        </w:rPr>
        <w:noBreakHyphen/>
        <w:t>currency debt instruments, mainly US</w:t>
      </w:r>
      <w:r w:rsidR="00562BE9">
        <w:rPr>
          <w:rFonts w:asciiTheme="minorHAnsi" w:hAnsiTheme="minorHAnsi" w:cstheme="minorHAnsi"/>
          <w:sz w:val="22"/>
          <w:szCs w:val="22"/>
        </w:rPr>
        <w:t xml:space="preserve"> </w:t>
      </w:r>
      <w:r w:rsidRPr="00475DDC">
        <w:rPr>
          <w:rFonts w:asciiTheme="minorHAnsi" w:hAnsiTheme="minorHAnsi" w:cstheme="minorHAnsi"/>
          <w:sz w:val="22"/>
          <w:szCs w:val="22"/>
        </w:rPr>
        <w:t>dollar</w:t>
      </w:r>
      <w:r w:rsidRPr="00475DDC">
        <w:rPr>
          <w:rFonts w:asciiTheme="minorHAnsi" w:hAnsiTheme="minorHAnsi" w:cstheme="minorHAnsi"/>
          <w:sz w:val="22"/>
          <w:szCs w:val="22"/>
        </w:rPr>
        <w:noBreakHyphen/>
        <w:t>denominated bonds, even during the war. At the same time, there was a withdrawal from investments in shekel</w:t>
      </w:r>
      <w:r w:rsidRPr="00475DDC">
        <w:rPr>
          <w:rFonts w:asciiTheme="minorHAnsi" w:hAnsiTheme="minorHAnsi" w:cstheme="minorHAnsi"/>
          <w:sz w:val="22"/>
          <w:szCs w:val="22"/>
        </w:rPr>
        <w:noBreakHyphen/>
        <w:t>denominated government bonds, continuing the earlier trend of sales of short</w:t>
      </w:r>
      <w:r w:rsidRPr="00475DDC">
        <w:rPr>
          <w:rFonts w:asciiTheme="minorHAnsi" w:hAnsiTheme="minorHAnsi" w:cstheme="minorHAnsi"/>
          <w:sz w:val="22"/>
          <w:szCs w:val="22"/>
        </w:rPr>
        <w:noBreakHyphen/>
        <w:t>term government bills (</w:t>
      </w:r>
      <w:proofErr w:type="spellStart"/>
      <w:r w:rsidRPr="00475DDC">
        <w:rPr>
          <w:rFonts w:asciiTheme="minorHAnsi" w:hAnsiTheme="minorHAnsi" w:cstheme="minorHAnsi"/>
          <w:sz w:val="22"/>
          <w:szCs w:val="22"/>
        </w:rPr>
        <w:t>Makam</w:t>
      </w:r>
      <w:proofErr w:type="spellEnd"/>
      <w:r w:rsidRPr="00475DDC">
        <w:rPr>
          <w:rFonts w:asciiTheme="minorHAnsi" w:hAnsiTheme="minorHAnsi" w:cstheme="minorHAnsi"/>
          <w:sz w:val="22"/>
          <w:szCs w:val="22"/>
        </w:rPr>
        <w:t>).</w:t>
      </w:r>
    </w:p>
    <w:p w14:paraId="2C6C1673" w14:textId="0F42B42E" w:rsidR="008138D5" w:rsidRPr="00572AEE" w:rsidRDefault="006F6F4D" w:rsidP="006F6F4D">
      <w:pPr>
        <w:pStyle w:val="regpar"/>
        <w:rPr>
          <w:rFonts w:asciiTheme="minorHAnsi" w:hAnsiTheme="minorHAnsi" w:cstheme="minorHAnsi"/>
          <w:sz w:val="22"/>
          <w:szCs w:val="22"/>
        </w:rPr>
      </w:pPr>
      <w:r w:rsidRPr="00572AEE">
        <w:rPr>
          <w:rFonts w:asciiTheme="minorHAnsi" w:hAnsiTheme="minorHAnsi" w:cstheme="minorHAnsi"/>
          <w:sz w:val="22"/>
          <w:szCs w:val="22"/>
        </w:rPr>
        <w:t> </w:t>
      </w:r>
    </w:p>
    <w:p w14:paraId="08653F1C" w14:textId="35184294" w:rsidR="00C17405" w:rsidRPr="00572AEE" w:rsidRDefault="00C17405" w:rsidP="00C17405">
      <w:pPr>
        <w:pStyle w:val="regpar"/>
        <w:ind w:firstLine="0"/>
        <w:jc w:val="both"/>
        <w:rPr>
          <w:rFonts w:asciiTheme="minorHAnsi" w:hAnsiTheme="minorHAnsi" w:cstheme="minorHAnsi"/>
          <w:sz w:val="22"/>
          <w:szCs w:val="22"/>
        </w:rPr>
      </w:pPr>
    </w:p>
    <w:bookmarkEnd w:id="0"/>
    <w:p w14:paraId="7AA3F6CD" w14:textId="6D7CFEE3" w:rsidR="00592585" w:rsidRPr="00572AEE" w:rsidRDefault="00592585" w:rsidP="00C17405">
      <w:pPr>
        <w:jc w:val="both"/>
        <w:rPr>
          <w:rFonts w:asciiTheme="minorHAnsi" w:hAnsiTheme="minorHAnsi" w:cstheme="minorHAnsi"/>
          <w:b/>
          <w:bCs/>
          <w:sz w:val="22"/>
          <w:szCs w:val="22"/>
        </w:rPr>
      </w:pPr>
    </w:p>
    <w:sectPr w:rsidR="00592585" w:rsidRPr="00572AEE" w:rsidSect="004F5A85">
      <w:headerReference w:type="default" r:id="rId12"/>
      <w:endnotePr>
        <w:numFmt w:val="hebrew2"/>
      </w:endnotePr>
      <w:pgSz w:w="11880" w:h="16820"/>
      <w:pgMar w:top="624" w:right="1390" w:bottom="567" w:left="1418" w:header="57" w:footer="283" w:gutter="0"/>
      <w:cols w:space="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60C073" w14:textId="77777777" w:rsidR="009518DE" w:rsidRDefault="009518DE">
      <w:r>
        <w:separator/>
      </w:r>
    </w:p>
  </w:endnote>
  <w:endnote w:type="continuationSeparator" w:id="0">
    <w:p w14:paraId="25D7D2AE" w14:textId="77777777" w:rsidR="009518DE" w:rsidRDefault="00951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D8A7ED" w14:textId="77777777" w:rsidR="009518DE" w:rsidRDefault="009518DE">
      <w:pPr>
        <w:spacing w:line="160" w:lineRule="exact"/>
      </w:pPr>
    </w:p>
  </w:footnote>
  <w:footnote w:type="continuationSeparator" w:id="0">
    <w:p w14:paraId="446FC273" w14:textId="77777777" w:rsidR="009518DE" w:rsidRDefault="009518DE">
      <w:pPr>
        <w:pStyle w:val="rule"/>
      </w:pPr>
      <w:r>
        <w:t>–––––––––––––––––––––––––––</w:t>
      </w:r>
    </w:p>
    <w:p w14:paraId="0E83802F" w14:textId="77777777" w:rsidR="009518DE" w:rsidRDefault="009518DE">
      <w:pPr>
        <w:pStyle w:val="noteseparato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CA7D6" w14:textId="77777777" w:rsidR="00CE7A79" w:rsidRDefault="00CE7A79" w:rsidP="007A34C9">
    <w:pPr>
      <w:pStyle w:val="regpar"/>
      <w:spacing w:line="300" w:lineRule="atLeast"/>
      <w:ind w:firstLine="0"/>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lvlText w:val="%1)"/>
      <w:lvlJc w:val="left"/>
      <w:pPr>
        <w:tabs>
          <w:tab w:val="num" w:pos="600"/>
        </w:tabs>
        <w:ind w:left="600" w:hanging="360"/>
      </w:pPr>
      <w:rPr>
        <w:rFonts w:hint="default"/>
      </w:rPr>
    </w:lvl>
  </w:abstractNum>
  <w:abstractNum w:abstractNumId="1" w15:restartNumberingAfterBreak="0">
    <w:nsid w:val="01890581"/>
    <w:multiLevelType w:val="hybridMultilevel"/>
    <w:tmpl w:val="AA2E2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565AB"/>
    <w:multiLevelType w:val="hybridMultilevel"/>
    <w:tmpl w:val="3AEE2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AD707B"/>
    <w:multiLevelType w:val="hybridMultilevel"/>
    <w:tmpl w:val="CED8D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A81D55"/>
    <w:multiLevelType w:val="hybridMultilevel"/>
    <w:tmpl w:val="D6A861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7F83B9A"/>
    <w:multiLevelType w:val="hybridMultilevel"/>
    <w:tmpl w:val="6A22FA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61F1E76"/>
    <w:multiLevelType w:val="hybridMultilevel"/>
    <w:tmpl w:val="9B849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BA69E9"/>
    <w:multiLevelType w:val="hybridMultilevel"/>
    <w:tmpl w:val="A67A3D8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8" w15:restartNumberingAfterBreak="0">
    <w:nsid w:val="3F003117"/>
    <w:multiLevelType w:val="hybridMultilevel"/>
    <w:tmpl w:val="FA1A5C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0CE5350"/>
    <w:multiLevelType w:val="hybridMultilevel"/>
    <w:tmpl w:val="9AE26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F544E1"/>
    <w:multiLevelType w:val="hybridMultilevel"/>
    <w:tmpl w:val="59661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B0122A"/>
    <w:multiLevelType w:val="hybridMultilevel"/>
    <w:tmpl w:val="1E40D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912EE"/>
    <w:multiLevelType w:val="hybridMultilevel"/>
    <w:tmpl w:val="58729F30"/>
    <w:lvl w:ilvl="0" w:tplc="0AA490D4">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3" w15:restartNumberingAfterBreak="0">
    <w:nsid w:val="45324FFB"/>
    <w:multiLevelType w:val="hybridMultilevel"/>
    <w:tmpl w:val="15D25D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841AD4"/>
    <w:multiLevelType w:val="hybridMultilevel"/>
    <w:tmpl w:val="BA24A5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C510D75"/>
    <w:multiLevelType w:val="hybridMultilevel"/>
    <w:tmpl w:val="B9DE25C0"/>
    <w:lvl w:ilvl="0" w:tplc="B49C3C5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541E8D"/>
    <w:multiLevelType w:val="hybridMultilevel"/>
    <w:tmpl w:val="84D08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C727CA"/>
    <w:multiLevelType w:val="hybridMultilevel"/>
    <w:tmpl w:val="D5F6F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2E7B3F"/>
    <w:multiLevelType w:val="hybridMultilevel"/>
    <w:tmpl w:val="A61ADAB2"/>
    <w:lvl w:ilvl="0" w:tplc="DE9214D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FD69DE"/>
    <w:multiLevelType w:val="hybridMultilevel"/>
    <w:tmpl w:val="6A9086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B3C4FA8"/>
    <w:multiLevelType w:val="hybridMultilevel"/>
    <w:tmpl w:val="6942A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B139DD"/>
    <w:multiLevelType w:val="hybridMultilevel"/>
    <w:tmpl w:val="362A7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BB2FC6"/>
    <w:multiLevelType w:val="hybridMultilevel"/>
    <w:tmpl w:val="03E4B96C"/>
    <w:lvl w:ilvl="0" w:tplc="B814614C">
      <w:start w:val="7"/>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23" w15:restartNumberingAfterBreak="0">
    <w:nsid w:val="718D7B23"/>
    <w:multiLevelType w:val="hybridMultilevel"/>
    <w:tmpl w:val="A568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841AF4"/>
    <w:multiLevelType w:val="hybridMultilevel"/>
    <w:tmpl w:val="8AFEB4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C2616CB"/>
    <w:multiLevelType w:val="hybridMultilevel"/>
    <w:tmpl w:val="11728488"/>
    <w:lvl w:ilvl="0" w:tplc="5802D0F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15:restartNumberingAfterBreak="0">
    <w:nsid w:val="7DA0365C"/>
    <w:multiLevelType w:val="hybridMultilevel"/>
    <w:tmpl w:val="03D09186"/>
    <w:lvl w:ilvl="0" w:tplc="AC34D7F8">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5602F8"/>
    <w:multiLevelType w:val="hybridMultilevel"/>
    <w:tmpl w:val="3C26F5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2"/>
  </w:num>
  <w:num w:numId="3">
    <w:abstractNumId w:val="22"/>
  </w:num>
  <w:num w:numId="4">
    <w:abstractNumId w:val="23"/>
  </w:num>
  <w:num w:numId="5">
    <w:abstractNumId w:val="25"/>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0"/>
  </w:num>
  <w:num w:numId="9">
    <w:abstractNumId w:val="7"/>
  </w:num>
  <w:num w:numId="10">
    <w:abstractNumId w:val="26"/>
  </w:num>
  <w:num w:numId="11">
    <w:abstractNumId w:val="17"/>
  </w:num>
  <w:num w:numId="12">
    <w:abstractNumId w:val="13"/>
  </w:num>
  <w:num w:numId="13">
    <w:abstractNumId w:val="6"/>
  </w:num>
  <w:num w:numId="14">
    <w:abstractNumId w:val="3"/>
  </w:num>
  <w:num w:numId="15">
    <w:abstractNumId w:val="16"/>
  </w:num>
  <w:num w:numId="16">
    <w:abstractNumId w:val="2"/>
  </w:num>
  <w:num w:numId="17">
    <w:abstractNumId w:val="27"/>
  </w:num>
  <w:num w:numId="18">
    <w:abstractNumId w:val="9"/>
  </w:num>
  <w:num w:numId="19">
    <w:abstractNumId w:val="18"/>
  </w:num>
  <w:num w:numId="20">
    <w:abstractNumId w:val="11"/>
  </w:num>
  <w:num w:numId="21">
    <w:abstractNumId w:val="5"/>
  </w:num>
  <w:num w:numId="22">
    <w:abstractNumId w:val="21"/>
  </w:num>
  <w:num w:numId="23">
    <w:abstractNumId w:val="20"/>
  </w:num>
  <w:num w:numId="24">
    <w:abstractNumId w:val="15"/>
  </w:num>
  <w:num w:numId="25">
    <w:abstractNumId w:val="19"/>
  </w:num>
  <w:num w:numId="26">
    <w:abstractNumId w:val="24"/>
  </w:num>
  <w:num w:numId="27">
    <w:abstractNumId w:val="4"/>
  </w:num>
  <w:num w:numId="28">
    <w:abstractNumId w:val="14"/>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4337"/>
  </w:hdrShapeDefaults>
  <w:footnotePr>
    <w:footnote w:id="-1"/>
    <w:footnote w:id="0"/>
  </w:footnotePr>
  <w:endnotePr>
    <w:numFmt w:val="hebrew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D70"/>
    <w:rsid w:val="00001C51"/>
    <w:rsid w:val="00002A48"/>
    <w:rsid w:val="00005737"/>
    <w:rsid w:val="00014291"/>
    <w:rsid w:val="00016929"/>
    <w:rsid w:val="00016E30"/>
    <w:rsid w:val="00017E04"/>
    <w:rsid w:val="000305B1"/>
    <w:rsid w:val="0004575D"/>
    <w:rsid w:val="000466C2"/>
    <w:rsid w:val="000502D1"/>
    <w:rsid w:val="00052610"/>
    <w:rsid w:val="000614E5"/>
    <w:rsid w:val="00066C5D"/>
    <w:rsid w:val="00067EAC"/>
    <w:rsid w:val="00072C84"/>
    <w:rsid w:val="0007485B"/>
    <w:rsid w:val="00076856"/>
    <w:rsid w:val="00077915"/>
    <w:rsid w:val="00085E93"/>
    <w:rsid w:val="0009048D"/>
    <w:rsid w:val="00093619"/>
    <w:rsid w:val="00093A61"/>
    <w:rsid w:val="00094FFA"/>
    <w:rsid w:val="000A0AE8"/>
    <w:rsid w:val="000B13FB"/>
    <w:rsid w:val="000B2451"/>
    <w:rsid w:val="000B5143"/>
    <w:rsid w:val="000B6617"/>
    <w:rsid w:val="000C1242"/>
    <w:rsid w:val="000C4140"/>
    <w:rsid w:val="000C46E3"/>
    <w:rsid w:val="000D3201"/>
    <w:rsid w:val="000D3F79"/>
    <w:rsid w:val="000E08B9"/>
    <w:rsid w:val="000E2EB0"/>
    <w:rsid w:val="000F4D42"/>
    <w:rsid w:val="00104F58"/>
    <w:rsid w:val="0010545F"/>
    <w:rsid w:val="00106EFC"/>
    <w:rsid w:val="001116D7"/>
    <w:rsid w:val="00114F59"/>
    <w:rsid w:val="001172A8"/>
    <w:rsid w:val="00121BED"/>
    <w:rsid w:val="001239DD"/>
    <w:rsid w:val="0012431B"/>
    <w:rsid w:val="00124970"/>
    <w:rsid w:val="00124AB5"/>
    <w:rsid w:val="00124ED8"/>
    <w:rsid w:val="00125AB8"/>
    <w:rsid w:val="00126370"/>
    <w:rsid w:val="00127549"/>
    <w:rsid w:val="00130460"/>
    <w:rsid w:val="00143F0D"/>
    <w:rsid w:val="0014603A"/>
    <w:rsid w:val="001550A7"/>
    <w:rsid w:val="00160123"/>
    <w:rsid w:val="00161743"/>
    <w:rsid w:val="00162F9E"/>
    <w:rsid w:val="0016621D"/>
    <w:rsid w:val="00166ECD"/>
    <w:rsid w:val="00172DBD"/>
    <w:rsid w:val="00181A09"/>
    <w:rsid w:val="0018444C"/>
    <w:rsid w:val="00187D68"/>
    <w:rsid w:val="00190909"/>
    <w:rsid w:val="00194F7F"/>
    <w:rsid w:val="001A2237"/>
    <w:rsid w:val="001A6127"/>
    <w:rsid w:val="001B0294"/>
    <w:rsid w:val="001C1743"/>
    <w:rsid w:val="001C209A"/>
    <w:rsid w:val="001C502E"/>
    <w:rsid w:val="001C5614"/>
    <w:rsid w:val="001D57CD"/>
    <w:rsid w:val="001D5EBA"/>
    <w:rsid w:val="001E2931"/>
    <w:rsid w:val="001E6D0C"/>
    <w:rsid w:val="001F28E6"/>
    <w:rsid w:val="001F51F4"/>
    <w:rsid w:val="00203B3D"/>
    <w:rsid w:val="00210F11"/>
    <w:rsid w:val="00212EBE"/>
    <w:rsid w:val="00236391"/>
    <w:rsid w:val="00243044"/>
    <w:rsid w:val="00246FA7"/>
    <w:rsid w:val="00250C32"/>
    <w:rsid w:val="0025222B"/>
    <w:rsid w:val="00263AC9"/>
    <w:rsid w:val="00275B82"/>
    <w:rsid w:val="00276225"/>
    <w:rsid w:val="002803D5"/>
    <w:rsid w:val="00283C91"/>
    <w:rsid w:val="002878D8"/>
    <w:rsid w:val="00295684"/>
    <w:rsid w:val="002A325D"/>
    <w:rsid w:val="002A556A"/>
    <w:rsid w:val="002A5EE7"/>
    <w:rsid w:val="002B172C"/>
    <w:rsid w:val="002B7DC3"/>
    <w:rsid w:val="002C31A2"/>
    <w:rsid w:val="002D0B04"/>
    <w:rsid w:val="002D2FC2"/>
    <w:rsid w:val="002D460E"/>
    <w:rsid w:val="002D6616"/>
    <w:rsid w:val="002D6644"/>
    <w:rsid w:val="002E2978"/>
    <w:rsid w:val="002E5259"/>
    <w:rsid w:val="002E607C"/>
    <w:rsid w:val="002E77B6"/>
    <w:rsid w:val="002F02D1"/>
    <w:rsid w:val="002F761B"/>
    <w:rsid w:val="00302325"/>
    <w:rsid w:val="003121C6"/>
    <w:rsid w:val="0031394B"/>
    <w:rsid w:val="003140DF"/>
    <w:rsid w:val="00323D8C"/>
    <w:rsid w:val="00327BCD"/>
    <w:rsid w:val="00333620"/>
    <w:rsid w:val="00333F56"/>
    <w:rsid w:val="003370E3"/>
    <w:rsid w:val="003445F3"/>
    <w:rsid w:val="00347069"/>
    <w:rsid w:val="00347EEC"/>
    <w:rsid w:val="00350413"/>
    <w:rsid w:val="00350B0B"/>
    <w:rsid w:val="00350C13"/>
    <w:rsid w:val="003514AB"/>
    <w:rsid w:val="00354C47"/>
    <w:rsid w:val="00357E66"/>
    <w:rsid w:val="003605C6"/>
    <w:rsid w:val="00366DB8"/>
    <w:rsid w:val="00367A32"/>
    <w:rsid w:val="00376023"/>
    <w:rsid w:val="00376976"/>
    <w:rsid w:val="00380012"/>
    <w:rsid w:val="003814C4"/>
    <w:rsid w:val="0038232A"/>
    <w:rsid w:val="0038350C"/>
    <w:rsid w:val="00385F92"/>
    <w:rsid w:val="003938F8"/>
    <w:rsid w:val="00395D70"/>
    <w:rsid w:val="003A1107"/>
    <w:rsid w:val="003A3B39"/>
    <w:rsid w:val="003A6723"/>
    <w:rsid w:val="003B0942"/>
    <w:rsid w:val="003B1289"/>
    <w:rsid w:val="003B2C70"/>
    <w:rsid w:val="003B4074"/>
    <w:rsid w:val="003B4DF1"/>
    <w:rsid w:val="003C3B6F"/>
    <w:rsid w:val="003C6E15"/>
    <w:rsid w:val="003D0E36"/>
    <w:rsid w:val="003D52CC"/>
    <w:rsid w:val="003D71F7"/>
    <w:rsid w:val="003E0432"/>
    <w:rsid w:val="003E107B"/>
    <w:rsid w:val="003E17FD"/>
    <w:rsid w:val="003F360E"/>
    <w:rsid w:val="00403AF2"/>
    <w:rsid w:val="00406562"/>
    <w:rsid w:val="00406709"/>
    <w:rsid w:val="00406809"/>
    <w:rsid w:val="00407252"/>
    <w:rsid w:val="00421E16"/>
    <w:rsid w:val="00423781"/>
    <w:rsid w:val="0042406A"/>
    <w:rsid w:val="00425894"/>
    <w:rsid w:val="004266FD"/>
    <w:rsid w:val="004307F0"/>
    <w:rsid w:val="004356C6"/>
    <w:rsid w:val="004361EA"/>
    <w:rsid w:val="00437FD7"/>
    <w:rsid w:val="00441DC9"/>
    <w:rsid w:val="004421CE"/>
    <w:rsid w:val="00443EB3"/>
    <w:rsid w:val="00452814"/>
    <w:rsid w:val="00454C06"/>
    <w:rsid w:val="00457687"/>
    <w:rsid w:val="004576AA"/>
    <w:rsid w:val="004655E8"/>
    <w:rsid w:val="004735EC"/>
    <w:rsid w:val="00475DDC"/>
    <w:rsid w:val="00477DE2"/>
    <w:rsid w:val="00482B8E"/>
    <w:rsid w:val="004839AA"/>
    <w:rsid w:val="00484A86"/>
    <w:rsid w:val="00492029"/>
    <w:rsid w:val="004A0A80"/>
    <w:rsid w:val="004A179B"/>
    <w:rsid w:val="004A2970"/>
    <w:rsid w:val="004C5B3B"/>
    <w:rsid w:val="004C7155"/>
    <w:rsid w:val="004D0449"/>
    <w:rsid w:val="004D55DA"/>
    <w:rsid w:val="004E7032"/>
    <w:rsid w:val="004F5A85"/>
    <w:rsid w:val="00500F8B"/>
    <w:rsid w:val="00503622"/>
    <w:rsid w:val="0051037A"/>
    <w:rsid w:val="00515681"/>
    <w:rsid w:val="00517461"/>
    <w:rsid w:val="005273A2"/>
    <w:rsid w:val="005317F2"/>
    <w:rsid w:val="00531AD1"/>
    <w:rsid w:val="005341A7"/>
    <w:rsid w:val="00536575"/>
    <w:rsid w:val="0054053A"/>
    <w:rsid w:val="0054075A"/>
    <w:rsid w:val="005417D3"/>
    <w:rsid w:val="00543038"/>
    <w:rsid w:val="005504CF"/>
    <w:rsid w:val="00554AC0"/>
    <w:rsid w:val="0055658B"/>
    <w:rsid w:val="0056099E"/>
    <w:rsid w:val="00562B0B"/>
    <w:rsid w:val="00562BE9"/>
    <w:rsid w:val="005676E1"/>
    <w:rsid w:val="00572AEE"/>
    <w:rsid w:val="00572E97"/>
    <w:rsid w:val="00581AE6"/>
    <w:rsid w:val="00590949"/>
    <w:rsid w:val="00591171"/>
    <w:rsid w:val="00592585"/>
    <w:rsid w:val="00594895"/>
    <w:rsid w:val="005A5253"/>
    <w:rsid w:val="005B0C33"/>
    <w:rsid w:val="005B5BFC"/>
    <w:rsid w:val="005B6B00"/>
    <w:rsid w:val="005C1FAF"/>
    <w:rsid w:val="005C274D"/>
    <w:rsid w:val="005C5CA6"/>
    <w:rsid w:val="005C635F"/>
    <w:rsid w:val="005C76FF"/>
    <w:rsid w:val="005D175A"/>
    <w:rsid w:val="005D225E"/>
    <w:rsid w:val="005E1AD6"/>
    <w:rsid w:val="005E23D5"/>
    <w:rsid w:val="006031D8"/>
    <w:rsid w:val="00605EBE"/>
    <w:rsid w:val="0061268B"/>
    <w:rsid w:val="00612A07"/>
    <w:rsid w:val="00613B3E"/>
    <w:rsid w:val="00617A39"/>
    <w:rsid w:val="00620EA9"/>
    <w:rsid w:val="00621D95"/>
    <w:rsid w:val="00621DB2"/>
    <w:rsid w:val="00622696"/>
    <w:rsid w:val="006241DA"/>
    <w:rsid w:val="00624732"/>
    <w:rsid w:val="00632487"/>
    <w:rsid w:val="0063248B"/>
    <w:rsid w:val="00632812"/>
    <w:rsid w:val="00634A22"/>
    <w:rsid w:val="00636566"/>
    <w:rsid w:val="00641FBE"/>
    <w:rsid w:val="00644EC6"/>
    <w:rsid w:val="0064598C"/>
    <w:rsid w:val="00650B9A"/>
    <w:rsid w:val="00651EE8"/>
    <w:rsid w:val="00653813"/>
    <w:rsid w:val="006540CC"/>
    <w:rsid w:val="0065491B"/>
    <w:rsid w:val="00655D2E"/>
    <w:rsid w:val="00660075"/>
    <w:rsid w:val="00663562"/>
    <w:rsid w:val="0067374A"/>
    <w:rsid w:val="0067456C"/>
    <w:rsid w:val="00677C0C"/>
    <w:rsid w:val="00681BC1"/>
    <w:rsid w:val="00683C36"/>
    <w:rsid w:val="00684279"/>
    <w:rsid w:val="006918C1"/>
    <w:rsid w:val="00694066"/>
    <w:rsid w:val="00696506"/>
    <w:rsid w:val="006A29C7"/>
    <w:rsid w:val="006A2E45"/>
    <w:rsid w:val="006A36A4"/>
    <w:rsid w:val="006B03B7"/>
    <w:rsid w:val="006B39E9"/>
    <w:rsid w:val="006C17E0"/>
    <w:rsid w:val="006D10C5"/>
    <w:rsid w:val="006D738F"/>
    <w:rsid w:val="006E30C1"/>
    <w:rsid w:val="006E33B5"/>
    <w:rsid w:val="006E35F9"/>
    <w:rsid w:val="006E4E37"/>
    <w:rsid w:val="006E697A"/>
    <w:rsid w:val="006F331D"/>
    <w:rsid w:val="006F6F4D"/>
    <w:rsid w:val="007012E2"/>
    <w:rsid w:val="00701620"/>
    <w:rsid w:val="007064D7"/>
    <w:rsid w:val="00706A01"/>
    <w:rsid w:val="0071317E"/>
    <w:rsid w:val="00730C23"/>
    <w:rsid w:val="00730F15"/>
    <w:rsid w:val="007342CE"/>
    <w:rsid w:val="007369BA"/>
    <w:rsid w:val="00740582"/>
    <w:rsid w:val="007414E1"/>
    <w:rsid w:val="00741B11"/>
    <w:rsid w:val="0074580C"/>
    <w:rsid w:val="00760F71"/>
    <w:rsid w:val="007617BD"/>
    <w:rsid w:val="007650EA"/>
    <w:rsid w:val="00770D80"/>
    <w:rsid w:val="00772339"/>
    <w:rsid w:val="0078710E"/>
    <w:rsid w:val="00787F4C"/>
    <w:rsid w:val="007917B0"/>
    <w:rsid w:val="007A1A5F"/>
    <w:rsid w:val="007A34C9"/>
    <w:rsid w:val="007A6C5D"/>
    <w:rsid w:val="007A7425"/>
    <w:rsid w:val="007A7980"/>
    <w:rsid w:val="007B04FD"/>
    <w:rsid w:val="007B59CC"/>
    <w:rsid w:val="007B71B6"/>
    <w:rsid w:val="007C085F"/>
    <w:rsid w:val="007C1B58"/>
    <w:rsid w:val="007D41E1"/>
    <w:rsid w:val="007E1A57"/>
    <w:rsid w:val="007E616F"/>
    <w:rsid w:val="007E6D32"/>
    <w:rsid w:val="007F0611"/>
    <w:rsid w:val="007F2CA6"/>
    <w:rsid w:val="007F423C"/>
    <w:rsid w:val="007F71A7"/>
    <w:rsid w:val="0080149A"/>
    <w:rsid w:val="00801CA2"/>
    <w:rsid w:val="00802BFE"/>
    <w:rsid w:val="008052DA"/>
    <w:rsid w:val="00807431"/>
    <w:rsid w:val="00810763"/>
    <w:rsid w:val="008138D5"/>
    <w:rsid w:val="00814968"/>
    <w:rsid w:val="008157BA"/>
    <w:rsid w:val="00817D8A"/>
    <w:rsid w:val="00820704"/>
    <w:rsid w:val="00826845"/>
    <w:rsid w:val="00836D7A"/>
    <w:rsid w:val="00841E41"/>
    <w:rsid w:val="0084331E"/>
    <w:rsid w:val="00843E13"/>
    <w:rsid w:val="00843F4B"/>
    <w:rsid w:val="0084597D"/>
    <w:rsid w:val="00850D4E"/>
    <w:rsid w:val="00857394"/>
    <w:rsid w:val="008600E4"/>
    <w:rsid w:val="0086296B"/>
    <w:rsid w:val="008676DF"/>
    <w:rsid w:val="00867ECF"/>
    <w:rsid w:val="0087075D"/>
    <w:rsid w:val="00872CF4"/>
    <w:rsid w:val="00873E53"/>
    <w:rsid w:val="0087598A"/>
    <w:rsid w:val="00877C88"/>
    <w:rsid w:val="0088365D"/>
    <w:rsid w:val="008907C3"/>
    <w:rsid w:val="008920C9"/>
    <w:rsid w:val="008924D8"/>
    <w:rsid w:val="00892705"/>
    <w:rsid w:val="008965FF"/>
    <w:rsid w:val="00897D7D"/>
    <w:rsid w:val="008A0D61"/>
    <w:rsid w:val="008A117A"/>
    <w:rsid w:val="008A4E71"/>
    <w:rsid w:val="008B3910"/>
    <w:rsid w:val="008B564A"/>
    <w:rsid w:val="008C0767"/>
    <w:rsid w:val="008C2D26"/>
    <w:rsid w:val="008C671A"/>
    <w:rsid w:val="008D0CD2"/>
    <w:rsid w:val="008D2340"/>
    <w:rsid w:val="008D6CA1"/>
    <w:rsid w:val="008E2532"/>
    <w:rsid w:val="008E34E9"/>
    <w:rsid w:val="008F0C79"/>
    <w:rsid w:val="008F3DE8"/>
    <w:rsid w:val="008F4908"/>
    <w:rsid w:val="009055ED"/>
    <w:rsid w:val="00912CE3"/>
    <w:rsid w:val="0091716A"/>
    <w:rsid w:val="009249B9"/>
    <w:rsid w:val="009269B2"/>
    <w:rsid w:val="00930D0F"/>
    <w:rsid w:val="00932779"/>
    <w:rsid w:val="009342BD"/>
    <w:rsid w:val="009345ED"/>
    <w:rsid w:val="00934ED3"/>
    <w:rsid w:val="00940505"/>
    <w:rsid w:val="00941183"/>
    <w:rsid w:val="00943EFE"/>
    <w:rsid w:val="00944ECF"/>
    <w:rsid w:val="00946CAD"/>
    <w:rsid w:val="00951190"/>
    <w:rsid w:val="009518DE"/>
    <w:rsid w:val="00952D73"/>
    <w:rsid w:val="00970925"/>
    <w:rsid w:val="00987141"/>
    <w:rsid w:val="00991A2A"/>
    <w:rsid w:val="009937AE"/>
    <w:rsid w:val="009A2328"/>
    <w:rsid w:val="009A374A"/>
    <w:rsid w:val="009B0072"/>
    <w:rsid w:val="009B01E1"/>
    <w:rsid w:val="009B162E"/>
    <w:rsid w:val="009B5ABC"/>
    <w:rsid w:val="009C2CE3"/>
    <w:rsid w:val="009D5B6B"/>
    <w:rsid w:val="009D6B3B"/>
    <w:rsid w:val="009D71A3"/>
    <w:rsid w:val="009E5610"/>
    <w:rsid w:val="009F3027"/>
    <w:rsid w:val="009F4C02"/>
    <w:rsid w:val="009F5C01"/>
    <w:rsid w:val="00A06CAC"/>
    <w:rsid w:val="00A10C60"/>
    <w:rsid w:val="00A176D5"/>
    <w:rsid w:val="00A2357F"/>
    <w:rsid w:val="00A2557F"/>
    <w:rsid w:val="00A27711"/>
    <w:rsid w:val="00A30E4A"/>
    <w:rsid w:val="00A326F3"/>
    <w:rsid w:val="00A339CF"/>
    <w:rsid w:val="00A362B4"/>
    <w:rsid w:val="00A41ECF"/>
    <w:rsid w:val="00A43D36"/>
    <w:rsid w:val="00A60D93"/>
    <w:rsid w:val="00A60E0E"/>
    <w:rsid w:val="00A61B62"/>
    <w:rsid w:val="00A6692A"/>
    <w:rsid w:val="00A671CE"/>
    <w:rsid w:val="00A72CBB"/>
    <w:rsid w:val="00A733EC"/>
    <w:rsid w:val="00A85159"/>
    <w:rsid w:val="00A87E8E"/>
    <w:rsid w:val="00A91D66"/>
    <w:rsid w:val="00AA4754"/>
    <w:rsid w:val="00AA4992"/>
    <w:rsid w:val="00AA4ED8"/>
    <w:rsid w:val="00AA71D5"/>
    <w:rsid w:val="00AB0EB8"/>
    <w:rsid w:val="00AB478D"/>
    <w:rsid w:val="00AC5B03"/>
    <w:rsid w:val="00AC5D5C"/>
    <w:rsid w:val="00AD3EE6"/>
    <w:rsid w:val="00AF535D"/>
    <w:rsid w:val="00B02AD8"/>
    <w:rsid w:val="00B02B42"/>
    <w:rsid w:val="00B03A12"/>
    <w:rsid w:val="00B06509"/>
    <w:rsid w:val="00B06C58"/>
    <w:rsid w:val="00B14655"/>
    <w:rsid w:val="00B158CF"/>
    <w:rsid w:val="00B23571"/>
    <w:rsid w:val="00B23E71"/>
    <w:rsid w:val="00B269CD"/>
    <w:rsid w:val="00B3068E"/>
    <w:rsid w:val="00B3103B"/>
    <w:rsid w:val="00B37BBE"/>
    <w:rsid w:val="00B40E3B"/>
    <w:rsid w:val="00B46F7B"/>
    <w:rsid w:val="00B476CC"/>
    <w:rsid w:val="00B52957"/>
    <w:rsid w:val="00B552D1"/>
    <w:rsid w:val="00B5736D"/>
    <w:rsid w:val="00B57F69"/>
    <w:rsid w:val="00B65BF5"/>
    <w:rsid w:val="00B6764F"/>
    <w:rsid w:val="00B76579"/>
    <w:rsid w:val="00B81305"/>
    <w:rsid w:val="00B9723D"/>
    <w:rsid w:val="00BA3A63"/>
    <w:rsid w:val="00BA589A"/>
    <w:rsid w:val="00BA78B9"/>
    <w:rsid w:val="00BC05E1"/>
    <w:rsid w:val="00BC46DE"/>
    <w:rsid w:val="00BC6BBA"/>
    <w:rsid w:val="00BD570C"/>
    <w:rsid w:val="00BE3AB6"/>
    <w:rsid w:val="00BE50DA"/>
    <w:rsid w:val="00BF0276"/>
    <w:rsid w:val="00BF78A3"/>
    <w:rsid w:val="00C00CE9"/>
    <w:rsid w:val="00C0423F"/>
    <w:rsid w:val="00C042B1"/>
    <w:rsid w:val="00C17405"/>
    <w:rsid w:val="00C178D0"/>
    <w:rsid w:val="00C2256F"/>
    <w:rsid w:val="00C23F8F"/>
    <w:rsid w:val="00C24EB5"/>
    <w:rsid w:val="00C25A28"/>
    <w:rsid w:val="00C26787"/>
    <w:rsid w:val="00C3065F"/>
    <w:rsid w:val="00C34862"/>
    <w:rsid w:val="00C34F28"/>
    <w:rsid w:val="00C3506B"/>
    <w:rsid w:val="00C36FE1"/>
    <w:rsid w:val="00C40F50"/>
    <w:rsid w:val="00C4244A"/>
    <w:rsid w:val="00C5022D"/>
    <w:rsid w:val="00C52A97"/>
    <w:rsid w:val="00C62AC4"/>
    <w:rsid w:val="00C63A99"/>
    <w:rsid w:val="00C64770"/>
    <w:rsid w:val="00C67CCF"/>
    <w:rsid w:val="00C700F1"/>
    <w:rsid w:val="00C701EA"/>
    <w:rsid w:val="00C76EFC"/>
    <w:rsid w:val="00C773B3"/>
    <w:rsid w:val="00C80C62"/>
    <w:rsid w:val="00C81F0F"/>
    <w:rsid w:val="00C82902"/>
    <w:rsid w:val="00C839A9"/>
    <w:rsid w:val="00C870AA"/>
    <w:rsid w:val="00C9015C"/>
    <w:rsid w:val="00C92788"/>
    <w:rsid w:val="00C96635"/>
    <w:rsid w:val="00C97616"/>
    <w:rsid w:val="00CA4BB8"/>
    <w:rsid w:val="00CA68B3"/>
    <w:rsid w:val="00CB474B"/>
    <w:rsid w:val="00CC0F35"/>
    <w:rsid w:val="00CC493C"/>
    <w:rsid w:val="00CC598E"/>
    <w:rsid w:val="00CC59FC"/>
    <w:rsid w:val="00CC65CD"/>
    <w:rsid w:val="00CD51D2"/>
    <w:rsid w:val="00CE1CDD"/>
    <w:rsid w:val="00CE65D4"/>
    <w:rsid w:val="00CE7A79"/>
    <w:rsid w:val="00CF4492"/>
    <w:rsid w:val="00CF6437"/>
    <w:rsid w:val="00D00CF7"/>
    <w:rsid w:val="00D038A8"/>
    <w:rsid w:val="00D0407A"/>
    <w:rsid w:val="00D041CD"/>
    <w:rsid w:val="00D043CC"/>
    <w:rsid w:val="00D10A68"/>
    <w:rsid w:val="00D14E29"/>
    <w:rsid w:val="00D25B51"/>
    <w:rsid w:val="00D33F84"/>
    <w:rsid w:val="00D3751C"/>
    <w:rsid w:val="00D40FBB"/>
    <w:rsid w:val="00D424D1"/>
    <w:rsid w:val="00D44CFE"/>
    <w:rsid w:val="00D463F8"/>
    <w:rsid w:val="00D54F0D"/>
    <w:rsid w:val="00D56394"/>
    <w:rsid w:val="00D56CA9"/>
    <w:rsid w:val="00D56FEA"/>
    <w:rsid w:val="00D61443"/>
    <w:rsid w:val="00D621C1"/>
    <w:rsid w:val="00D6747A"/>
    <w:rsid w:val="00D73EDD"/>
    <w:rsid w:val="00D776C6"/>
    <w:rsid w:val="00D77FC6"/>
    <w:rsid w:val="00D85592"/>
    <w:rsid w:val="00D866ED"/>
    <w:rsid w:val="00D907F6"/>
    <w:rsid w:val="00D93E87"/>
    <w:rsid w:val="00D94C50"/>
    <w:rsid w:val="00DA4139"/>
    <w:rsid w:val="00DA5C83"/>
    <w:rsid w:val="00DA6F1C"/>
    <w:rsid w:val="00DB344D"/>
    <w:rsid w:val="00DC192C"/>
    <w:rsid w:val="00DD0AB5"/>
    <w:rsid w:val="00DD1273"/>
    <w:rsid w:val="00DD20B4"/>
    <w:rsid w:val="00DE121E"/>
    <w:rsid w:val="00DE76BB"/>
    <w:rsid w:val="00E03DAD"/>
    <w:rsid w:val="00E042D4"/>
    <w:rsid w:val="00E1087D"/>
    <w:rsid w:val="00E305A3"/>
    <w:rsid w:val="00E3258A"/>
    <w:rsid w:val="00E33F37"/>
    <w:rsid w:val="00E37EA3"/>
    <w:rsid w:val="00E40792"/>
    <w:rsid w:val="00E448BF"/>
    <w:rsid w:val="00E50A6B"/>
    <w:rsid w:val="00E52DD0"/>
    <w:rsid w:val="00E645EE"/>
    <w:rsid w:val="00E6497E"/>
    <w:rsid w:val="00E65CA7"/>
    <w:rsid w:val="00E67A70"/>
    <w:rsid w:val="00E701BC"/>
    <w:rsid w:val="00E74B20"/>
    <w:rsid w:val="00E878FC"/>
    <w:rsid w:val="00E9221F"/>
    <w:rsid w:val="00E927A6"/>
    <w:rsid w:val="00EA1D70"/>
    <w:rsid w:val="00EA2EEA"/>
    <w:rsid w:val="00EA2FB0"/>
    <w:rsid w:val="00EA3CE9"/>
    <w:rsid w:val="00EB1022"/>
    <w:rsid w:val="00EB2AB7"/>
    <w:rsid w:val="00EC6A3B"/>
    <w:rsid w:val="00ED1987"/>
    <w:rsid w:val="00ED1A90"/>
    <w:rsid w:val="00ED576F"/>
    <w:rsid w:val="00ED6F4E"/>
    <w:rsid w:val="00EE4F43"/>
    <w:rsid w:val="00EF5815"/>
    <w:rsid w:val="00F0557B"/>
    <w:rsid w:val="00F110FE"/>
    <w:rsid w:val="00F13C80"/>
    <w:rsid w:val="00F14FC5"/>
    <w:rsid w:val="00F17BE5"/>
    <w:rsid w:val="00F217C5"/>
    <w:rsid w:val="00F23C43"/>
    <w:rsid w:val="00F2605B"/>
    <w:rsid w:val="00F26C5D"/>
    <w:rsid w:val="00F32332"/>
    <w:rsid w:val="00F35D37"/>
    <w:rsid w:val="00F41E74"/>
    <w:rsid w:val="00F433E4"/>
    <w:rsid w:val="00F454A2"/>
    <w:rsid w:val="00F5404C"/>
    <w:rsid w:val="00F56652"/>
    <w:rsid w:val="00F573B0"/>
    <w:rsid w:val="00F61D68"/>
    <w:rsid w:val="00F6266E"/>
    <w:rsid w:val="00F74B4E"/>
    <w:rsid w:val="00F74CC8"/>
    <w:rsid w:val="00F863B6"/>
    <w:rsid w:val="00F9199C"/>
    <w:rsid w:val="00F92BBC"/>
    <w:rsid w:val="00F95623"/>
    <w:rsid w:val="00F96CE5"/>
    <w:rsid w:val="00FA0F55"/>
    <w:rsid w:val="00FA1547"/>
    <w:rsid w:val="00FA16BE"/>
    <w:rsid w:val="00FA18C6"/>
    <w:rsid w:val="00FA427D"/>
    <w:rsid w:val="00FA46BE"/>
    <w:rsid w:val="00FA4BC3"/>
    <w:rsid w:val="00FA5FFA"/>
    <w:rsid w:val="00FA67CD"/>
    <w:rsid w:val="00FB739D"/>
    <w:rsid w:val="00FC1161"/>
    <w:rsid w:val="00FC7294"/>
    <w:rsid w:val="00FE0A60"/>
    <w:rsid w:val="00FE4890"/>
    <w:rsid w:val="00FF5F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EFD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regpar"/>
    <w:qFormat/>
    <w:rPr>
      <w:rFonts w:ascii="Times" w:hAnsi="Times" w:cs="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gpar">
    <w:name w:val="regpar"/>
    <w:basedOn w:val="Normal"/>
    <w:pPr>
      <w:ind w:firstLine="240"/>
    </w:pPr>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200"/>
        <w:tab w:val="right" w:pos="8400"/>
      </w:tabs>
    </w:pPr>
  </w:style>
  <w:style w:type="character" w:styleId="FootnoteReference">
    <w:name w:val="footnote reference"/>
    <w:rPr>
      <w:position w:val="6"/>
      <w:sz w:val="14"/>
      <w:szCs w:val="14"/>
    </w:rPr>
  </w:style>
  <w:style w:type="paragraph" w:styleId="FootnoteText">
    <w:name w:val="footnote text"/>
    <w:basedOn w:val="regpar"/>
    <w:link w:val="FootnoteTextChar"/>
    <w:pPr>
      <w:spacing w:line="240" w:lineRule="exact"/>
    </w:pPr>
    <w:rPr>
      <w:sz w:val="20"/>
      <w:szCs w:val="20"/>
    </w:rPr>
  </w:style>
  <w:style w:type="character" w:styleId="PageNumber">
    <w:name w:val="page number"/>
    <w:basedOn w:val="DefaultParagraphFont"/>
  </w:style>
  <w:style w:type="paragraph" w:customStyle="1" w:styleId="ER-text86">
    <w:name w:val="*ER-text 86%"/>
    <w:basedOn w:val="Normal"/>
  </w:style>
  <w:style w:type="paragraph" w:customStyle="1" w:styleId="abstract">
    <w:name w:val="abstract"/>
    <w:basedOn w:val="Normal"/>
    <w:next w:val="Normal"/>
    <w:pPr>
      <w:spacing w:line="260" w:lineRule="exact"/>
      <w:ind w:left="480" w:right="480"/>
    </w:pPr>
    <w:rPr>
      <w:sz w:val="22"/>
      <w:szCs w:val="22"/>
    </w:rPr>
  </w:style>
  <w:style w:type="paragraph" w:customStyle="1" w:styleId="author">
    <w:name w:val="author"/>
    <w:basedOn w:val="Normal"/>
    <w:next w:val="abstract"/>
    <w:pPr>
      <w:jc w:val="center"/>
    </w:pPr>
    <w:rPr>
      <w:smallCaps/>
    </w:rPr>
  </w:style>
  <w:style w:type="paragraph" w:customStyle="1" w:styleId="1">
    <w:name w:val="כותרת טקסט1"/>
    <w:basedOn w:val="Normal"/>
    <w:next w:val="author"/>
    <w:pPr>
      <w:jc w:val="center"/>
    </w:pPr>
    <w:rPr>
      <w:caps/>
      <w:sz w:val="28"/>
      <w:szCs w:val="28"/>
    </w:rPr>
  </w:style>
  <w:style w:type="paragraph" w:customStyle="1" w:styleId="Ahead">
    <w:name w:val="A head"/>
    <w:basedOn w:val="Normal"/>
    <w:next w:val="Normal"/>
    <w:rPr>
      <w:caps/>
      <w:sz w:val="22"/>
      <w:szCs w:val="22"/>
    </w:rPr>
  </w:style>
  <w:style w:type="paragraph" w:customStyle="1" w:styleId="Bhead">
    <w:name w:val="B head"/>
    <w:basedOn w:val="Normal"/>
    <w:next w:val="Normal"/>
    <w:rPr>
      <w:b/>
      <w:bCs/>
    </w:rPr>
  </w:style>
  <w:style w:type="paragraph" w:customStyle="1" w:styleId="rule">
    <w:name w:val="rule"/>
    <w:basedOn w:val="Normal"/>
    <w:pPr>
      <w:spacing w:line="120" w:lineRule="exact"/>
    </w:pPr>
    <w:rPr>
      <w:spacing w:val="-20"/>
      <w:sz w:val="12"/>
      <w:szCs w:val="12"/>
    </w:rPr>
  </w:style>
  <w:style w:type="paragraph" w:customStyle="1" w:styleId="noteseparator">
    <w:name w:val="note separator"/>
    <w:basedOn w:val="Normal"/>
    <w:next w:val="FootnoteText"/>
    <w:pPr>
      <w:spacing w:line="160" w:lineRule="exact"/>
    </w:pPr>
  </w:style>
  <w:style w:type="paragraph" w:customStyle="1" w:styleId="runninghead">
    <w:name w:val="running head"/>
    <w:basedOn w:val="Header"/>
    <w:rPr>
      <w:smallCaps/>
    </w:rPr>
  </w:style>
  <w:style w:type="paragraph" w:customStyle="1" w:styleId="eq">
    <w:name w:val="eq"/>
    <w:basedOn w:val="Normal"/>
    <w:pPr>
      <w:tabs>
        <w:tab w:val="center" w:pos="4320"/>
        <w:tab w:val="right" w:pos="8400"/>
      </w:tabs>
      <w:spacing w:line="300" w:lineRule="atLeast"/>
    </w:pPr>
  </w:style>
  <w:style w:type="paragraph" w:customStyle="1" w:styleId="Chead">
    <w:name w:val="C head"/>
    <w:basedOn w:val="Normal"/>
    <w:next w:val="Normal"/>
    <w:rPr>
      <w:i/>
      <w:iCs/>
    </w:rPr>
  </w:style>
  <w:style w:type="paragraph" w:customStyle="1" w:styleId="ARtext">
    <w:name w:val="*AR text"/>
    <w:basedOn w:val="Normal"/>
  </w:style>
  <w:style w:type="paragraph" w:customStyle="1" w:styleId="quotes">
    <w:name w:val="quotes"/>
    <w:basedOn w:val="Normal"/>
    <w:next w:val="Normal"/>
    <w:pPr>
      <w:spacing w:line="260" w:lineRule="exact"/>
      <w:ind w:left="480" w:right="480"/>
    </w:pPr>
    <w:rPr>
      <w:sz w:val="22"/>
      <w:szCs w:val="22"/>
    </w:rPr>
  </w:style>
  <w:style w:type="paragraph" w:customStyle="1" w:styleId="chapter">
    <w:name w:val="chapter"/>
    <w:basedOn w:val="Normal"/>
    <w:next w:val="1"/>
    <w:pPr>
      <w:spacing w:line="560" w:lineRule="atLeast"/>
    </w:pPr>
    <w:rPr>
      <w:i/>
      <w:iCs/>
      <w:sz w:val="36"/>
      <w:szCs w:val="36"/>
    </w:rPr>
  </w:style>
  <w:style w:type="paragraph" w:styleId="BodyTextIndent">
    <w:name w:val="Body Text Indent"/>
    <w:basedOn w:val="Normal"/>
    <w:pPr>
      <w:widowControl w:val="0"/>
      <w:ind w:left="284" w:hanging="284"/>
    </w:pPr>
  </w:style>
  <w:style w:type="character" w:styleId="Hyperlink">
    <w:name w:val="Hyperlink"/>
    <w:rPr>
      <w:color w:val="0000FF"/>
      <w:u w:val="single"/>
    </w:rPr>
  </w:style>
  <w:style w:type="paragraph" w:styleId="Date">
    <w:name w:val="Date"/>
    <w:basedOn w:val="Normal"/>
    <w:next w:val="Normal"/>
    <w:rsid w:val="00E03DAD"/>
  </w:style>
  <w:style w:type="table" w:styleId="TableGrid">
    <w:name w:val="Table Grid"/>
    <w:basedOn w:val="TableNormal"/>
    <w:rsid w:val="00E03DAD"/>
    <w:pPr>
      <w:spacing w:line="30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E7A79"/>
    <w:rPr>
      <w:color w:val="800080"/>
      <w:u w:val="single"/>
    </w:rPr>
  </w:style>
  <w:style w:type="paragraph" w:styleId="BalloonText">
    <w:name w:val="Balloon Text"/>
    <w:basedOn w:val="Normal"/>
    <w:link w:val="BalloonTextChar"/>
    <w:uiPriority w:val="99"/>
    <w:semiHidden/>
    <w:unhideWhenUsed/>
    <w:rsid w:val="00EC6A3B"/>
    <w:rPr>
      <w:rFonts w:ascii="Tahoma" w:hAnsi="Tahoma" w:cs="Tahoma"/>
      <w:sz w:val="16"/>
      <w:szCs w:val="16"/>
    </w:rPr>
  </w:style>
  <w:style w:type="character" w:customStyle="1" w:styleId="BalloonTextChar">
    <w:name w:val="Balloon Text Char"/>
    <w:link w:val="BalloonText"/>
    <w:uiPriority w:val="99"/>
    <w:semiHidden/>
    <w:rsid w:val="00EC6A3B"/>
    <w:rPr>
      <w:rFonts w:ascii="Tahoma" w:hAnsi="Tahoma" w:cs="Tahoma"/>
      <w:sz w:val="16"/>
      <w:szCs w:val="16"/>
    </w:rPr>
  </w:style>
  <w:style w:type="paragraph" w:styleId="Revision">
    <w:name w:val="Revision"/>
    <w:hidden/>
    <w:uiPriority w:val="99"/>
    <w:semiHidden/>
    <w:rsid w:val="00C81F0F"/>
    <w:rPr>
      <w:rFonts w:ascii="Times" w:hAnsi="Times" w:cs="Times"/>
      <w:sz w:val="24"/>
      <w:szCs w:val="24"/>
    </w:rPr>
  </w:style>
  <w:style w:type="paragraph" w:styleId="PlainText">
    <w:name w:val="Plain Text"/>
    <w:basedOn w:val="Normal"/>
    <w:link w:val="PlainTextChar"/>
    <w:uiPriority w:val="99"/>
    <w:semiHidden/>
    <w:unhideWhenUsed/>
    <w:rsid w:val="00E52DD0"/>
    <w:rPr>
      <w:rFonts w:ascii="Calibri" w:eastAsia="Calibri" w:hAnsi="Calibri" w:cs="Arial"/>
      <w:sz w:val="22"/>
      <w:szCs w:val="21"/>
    </w:rPr>
  </w:style>
  <w:style w:type="character" w:customStyle="1" w:styleId="PlainTextChar">
    <w:name w:val="Plain Text Char"/>
    <w:link w:val="PlainText"/>
    <w:uiPriority w:val="99"/>
    <w:semiHidden/>
    <w:rsid w:val="00E52DD0"/>
    <w:rPr>
      <w:rFonts w:ascii="Calibri" w:eastAsia="Calibri" w:hAnsi="Calibri" w:cs="Arial"/>
      <w:sz w:val="22"/>
      <w:szCs w:val="21"/>
    </w:rPr>
  </w:style>
  <w:style w:type="paragraph" w:styleId="ListParagraph">
    <w:name w:val="List Paragraph"/>
    <w:basedOn w:val="Normal"/>
    <w:uiPriority w:val="34"/>
    <w:qFormat/>
    <w:rsid w:val="00C96635"/>
    <w:pPr>
      <w:ind w:left="720"/>
      <w:contextualSpacing/>
    </w:pPr>
  </w:style>
  <w:style w:type="character" w:customStyle="1" w:styleId="FooterChar">
    <w:name w:val="Footer Char"/>
    <w:basedOn w:val="DefaultParagraphFont"/>
    <w:link w:val="Footer"/>
    <w:uiPriority w:val="99"/>
    <w:rsid w:val="008F0C79"/>
    <w:rPr>
      <w:rFonts w:ascii="Times" w:hAnsi="Times" w:cs="Times"/>
      <w:sz w:val="24"/>
      <w:szCs w:val="24"/>
    </w:rPr>
  </w:style>
  <w:style w:type="character" w:customStyle="1" w:styleId="FootnoteTextChar">
    <w:name w:val="Footnote Text Char"/>
    <w:basedOn w:val="DefaultParagraphFont"/>
    <w:link w:val="FootnoteText"/>
    <w:rsid w:val="00A27711"/>
    <w:rPr>
      <w:rFonts w:ascii="Times" w:hAnsi="Times" w:cs="Times"/>
    </w:rPr>
  </w:style>
  <w:style w:type="character" w:styleId="CommentReference">
    <w:name w:val="annotation reference"/>
    <w:basedOn w:val="DefaultParagraphFont"/>
    <w:uiPriority w:val="99"/>
    <w:semiHidden/>
    <w:unhideWhenUsed/>
    <w:rsid w:val="008D2340"/>
    <w:rPr>
      <w:sz w:val="16"/>
      <w:szCs w:val="16"/>
    </w:rPr>
  </w:style>
  <w:style w:type="paragraph" w:styleId="CommentText">
    <w:name w:val="annotation text"/>
    <w:basedOn w:val="Normal"/>
    <w:link w:val="CommentTextChar"/>
    <w:uiPriority w:val="99"/>
    <w:semiHidden/>
    <w:unhideWhenUsed/>
    <w:rsid w:val="008D2340"/>
    <w:rPr>
      <w:sz w:val="20"/>
      <w:szCs w:val="20"/>
    </w:rPr>
  </w:style>
  <w:style w:type="character" w:customStyle="1" w:styleId="CommentTextChar">
    <w:name w:val="Comment Text Char"/>
    <w:basedOn w:val="DefaultParagraphFont"/>
    <w:link w:val="CommentText"/>
    <w:uiPriority w:val="99"/>
    <w:semiHidden/>
    <w:rsid w:val="008D2340"/>
    <w:rPr>
      <w:rFonts w:ascii="Times" w:hAnsi="Times" w:cs="Times"/>
    </w:rPr>
  </w:style>
  <w:style w:type="paragraph" w:styleId="CommentSubject">
    <w:name w:val="annotation subject"/>
    <w:basedOn w:val="CommentText"/>
    <w:next w:val="CommentText"/>
    <w:link w:val="CommentSubjectChar"/>
    <w:uiPriority w:val="99"/>
    <w:semiHidden/>
    <w:unhideWhenUsed/>
    <w:rsid w:val="008D2340"/>
    <w:rPr>
      <w:b/>
      <w:bCs/>
    </w:rPr>
  </w:style>
  <w:style w:type="character" w:customStyle="1" w:styleId="CommentSubjectChar">
    <w:name w:val="Comment Subject Char"/>
    <w:basedOn w:val="CommentTextChar"/>
    <w:link w:val="CommentSubject"/>
    <w:uiPriority w:val="99"/>
    <w:semiHidden/>
    <w:rsid w:val="008D2340"/>
    <w:rPr>
      <w:rFonts w:ascii="Times" w:hAnsi="Times" w:cs="Times"/>
      <w:b/>
      <w:bCs/>
    </w:rPr>
  </w:style>
  <w:style w:type="paragraph" w:styleId="NormalWeb">
    <w:name w:val="Normal (Web)"/>
    <w:basedOn w:val="Normal"/>
    <w:uiPriority w:val="99"/>
    <w:unhideWhenUsed/>
    <w:rsid w:val="000C46E3"/>
    <w:pPr>
      <w:spacing w:before="100" w:beforeAutospacing="1" w:after="100" w:afterAutospacing="1"/>
    </w:pPr>
    <w:rPr>
      <w:rFonts w:ascii="Times New Roman" w:eastAsiaTheme="minorEastAsia" w:hAnsi="Times New Roman" w:cs="Times New Roman"/>
    </w:rPr>
  </w:style>
  <w:style w:type="character" w:styleId="Strong">
    <w:name w:val="Strong"/>
    <w:basedOn w:val="DefaultParagraphFont"/>
    <w:uiPriority w:val="22"/>
    <w:qFormat/>
    <w:rsid w:val="00A671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12841">
      <w:bodyDiv w:val="1"/>
      <w:marLeft w:val="0"/>
      <w:marRight w:val="0"/>
      <w:marTop w:val="0"/>
      <w:marBottom w:val="0"/>
      <w:divBdr>
        <w:top w:val="none" w:sz="0" w:space="0" w:color="auto"/>
        <w:left w:val="none" w:sz="0" w:space="0" w:color="auto"/>
        <w:bottom w:val="none" w:sz="0" w:space="0" w:color="auto"/>
        <w:right w:val="none" w:sz="0" w:space="0" w:color="auto"/>
      </w:divBdr>
    </w:div>
    <w:div w:id="51315682">
      <w:bodyDiv w:val="1"/>
      <w:marLeft w:val="0"/>
      <w:marRight w:val="0"/>
      <w:marTop w:val="0"/>
      <w:marBottom w:val="0"/>
      <w:divBdr>
        <w:top w:val="none" w:sz="0" w:space="0" w:color="auto"/>
        <w:left w:val="none" w:sz="0" w:space="0" w:color="auto"/>
        <w:bottom w:val="none" w:sz="0" w:space="0" w:color="auto"/>
        <w:right w:val="none" w:sz="0" w:space="0" w:color="auto"/>
      </w:divBdr>
    </w:div>
    <w:div w:id="108088938">
      <w:bodyDiv w:val="1"/>
      <w:marLeft w:val="0"/>
      <w:marRight w:val="0"/>
      <w:marTop w:val="0"/>
      <w:marBottom w:val="0"/>
      <w:divBdr>
        <w:top w:val="none" w:sz="0" w:space="0" w:color="auto"/>
        <w:left w:val="none" w:sz="0" w:space="0" w:color="auto"/>
        <w:bottom w:val="none" w:sz="0" w:space="0" w:color="auto"/>
        <w:right w:val="none" w:sz="0" w:space="0" w:color="auto"/>
      </w:divBdr>
    </w:div>
    <w:div w:id="167909489">
      <w:bodyDiv w:val="1"/>
      <w:marLeft w:val="0"/>
      <w:marRight w:val="0"/>
      <w:marTop w:val="0"/>
      <w:marBottom w:val="0"/>
      <w:divBdr>
        <w:top w:val="none" w:sz="0" w:space="0" w:color="auto"/>
        <w:left w:val="none" w:sz="0" w:space="0" w:color="auto"/>
        <w:bottom w:val="none" w:sz="0" w:space="0" w:color="auto"/>
        <w:right w:val="none" w:sz="0" w:space="0" w:color="auto"/>
      </w:divBdr>
    </w:div>
    <w:div w:id="300506293">
      <w:bodyDiv w:val="1"/>
      <w:marLeft w:val="0"/>
      <w:marRight w:val="0"/>
      <w:marTop w:val="0"/>
      <w:marBottom w:val="0"/>
      <w:divBdr>
        <w:top w:val="none" w:sz="0" w:space="0" w:color="auto"/>
        <w:left w:val="none" w:sz="0" w:space="0" w:color="auto"/>
        <w:bottom w:val="none" w:sz="0" w:space="0" w:color="auto"/>
        <w:right w:val="none" w:sz="0" w:space="0" w:color="auto"/>
      </w:divBdr>
    </w:div>
    <w:div w:id="358744785">
      <w:bodyDiv w:val="1"/>
      <w:marLeft w:val="0"/>
      <w:marRight w:val="0"/>
      <w:marTop w:val="0"/>
      <w:marBottom w:val="0"/>
      <w:divBdr>
        <w:top w:val="none" w:sz="0" w:space="0" w:color="auto"/>
        <w:left w:val="none" w:sz="0" w:space="0" w:color="auto"/>
        <w:bottom w:val="none" w:sz="0" w:space="0" w:color="auto"/>
        <w:right w:val="none" w:sz="0" w:space="0" w:color="auto"/>
      </w:divBdr>
    </w:div>
    <w:div w:id="988755038">
      <w:bodyDiv w:val="1"/>
      <w:marLeft w:val="0"/>
      <w:marRight w:val="0"/>
      <w:marTop w:val="0"/>
      <w:marBottom w:val="0"/>
      <w:divBdr>
        <w:top w:val="none" w:sz="0" w:space="0" w:color="auto"/>
        <w:left w:val="none" w:sz="0" w:space="0" w:color="auto"/>
        <w:bottom w:val="none" w:sz="0" w:space="0" w:color="auto"/>
        <w:right w:val="none" w:sz="0" w:space="0" w:color="auto"/>
      </w:divBdr>
    </w:div>
    <w:div w:id="1046564661">
      <w:bodyDiv w:val="1"/>
      <w:marLeft w:val="0"/>
      <w:marRight w:val="0"/>
      <w:marTop w:val="0"/>
      <w:marBottom w:val="0"/>
      <w:divBdr>
        <w:top w:val="none" w:sz="0" w:space="0" w:color="auto"/>
        <w:left w:val="none" w:sz="0" w:space="0" w:color="auto"/>
        <w:bottom w:val="none" w:sz="0" w:space="0" w:color="auto"/>
        <w:right w:val="none" w:sz="0" w:space="0" w:color="auto"/>
      </w:divBdr>
    </w:div>
    <w:div w:id="1213811366">
      <w:bodyDiv w:val="1"/>
      <w:marLeft w:val="0"/>
      <w:marRight w:val="0"/>
      <w:marTop w:val="0"/>
      <w:marBottom w:val="0"/>
      <w:divBdr>
        <w:top w:val="none" w:sz="0" w:space="0" w:color="auto"/>
        <w:left w:val="none" w:sz="0" w:space="0" w:color="auto"/>
        <w:bottom w:val="none" w:sz="0" w:space="0" w:color="auto"/>
        <w:right w:val="none" w:sz="0" w:space="0" w:color="auto"/>
      </w:divBdr>
    </w:div>
    <w:div w:id="125713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E9343D4987C6478DC1BE6EDC107D2A" ma:contentTypeVersion="2" ma:contentTypeDescription="Create a new document." ma:contentTypeScope="" ma:versionID="accf42b3bcc0c5f4f4cd3f70261d3e4a">
  <xsd:schema xmlns:xsd="http://www.w3.org/2001/XMLSchema" xmlns:xs="http://www.w3.org/2001/XMLSchema" xmlns:p="http://schemas.microsoft.com/office/2006/metadata/properties" xmlns:ns1="http://schemas.microsoft.com/sharepoint/v3" targetNamespace="http://schemas.microsoft.com/office/2006/metadata/properties" ma:root="true" ma:fieldsID="77402afa3d4ca2a94263dbb7393923a8"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WaveListOrderValu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70AE1-37F1-4A16-B90F-7D9393E12D42}">
  <ds:schemaRefs>
    <ds:schemaRef ds:uri="http://schemas.microsoft.com/sharepoint/v3/contenttype/forms"/>
  </ds:schemaRefs>
</ds:datastoreItem>
</file>

<file path=customXml/itemProps2.xml><?xml version="1.0" encoding="utf-8"?>
<ds:datastoreItem xmlns:ds="http://schemas.openxmlformats.org/officeDocument/2006/customXml" ds:itemID="{3FDC8C08-DE6D-4052-A05A-FF43BF313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CB3AD7-C05B-4FB1-A8D2-B75B3DAE7EF1}">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sharepoint/v3"/>
    <ds:schemaRef ds:uri="http://purl.org/dc/term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0F7C51DD-BD39-4B23-A7CB-55B5937D6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1063</Words>
  <Characters>5913</Characters>
  <Application>Microsoft Office Word</Application>
  <DocSecurity>4</DocSecurity>
  <Lines>125</Lines>
  <Paragraphs>59</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LinksUpToDate>false</LinksUpToDate>
  <CharactersWithSpaces>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2026-03-17T12:11:00Z</dcterms:created>
  <dcterms:modified xsi:type="dcterms:W3CDTF">2026-03-17T12:11:00Z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0x010100BEE9343D4987C6478DC1BE6EDC107D2A</vt:lpwstr>
  </property>
</Properties>
</file>