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0614A" w14:textId="7CA7EF78" w:rsidR="00C917E1" w:rsidRPr="00C917E1" w:rsidRDefault="00C917E1" w:rsidP="00C917E1">
      <w:pPr>
        <w:pStyle w:val="1"/>
        <w:numPr>
          <w:ilvl w:val="0"/>
          <w:numId w:val="0"/>
        </w:numPr>
        <w:tabs>
          <w:tab w:val="left" w:pos="180"/>
        </w:tabs>
        <w:bidi w:val="0"/>
        <w:spacing w:line="240" w:lineRule="auto"/>
        <w:ind w:right="32"/>
        <w:rPr>
          <w:rFonts w:asciiTheme="minorHAnsi" w:hAnsiTheme="minorHAnsi" w:cstheme="minorHAnsi"/>
          <w:lang w:eastAsia="en-US"/>
        </w:rPr>
      </w:pPr>
    </w:p>
    <w:p w14:paraId="26BA11B4" w14:textId="77777777" w:rsidR="00C917E1" w:rsidRPr="00C917E1" w:rsidRDefault="00C917E1" w:rsidP="00C917E1">
      <w:pPr>
        <w:jc w:val="center"/>
        <w:rPr>
          <w:rFonts w:asciiTheme="minorHAnsi" w:hAnsiTheme="minorHAnsi" w:cstheme="minorHAnsi"/>
          <w:rtl/>
        </w:rPr>
      </w:pPr>
      <w:r w:rsidRPr="00C917E1">
        <w:rPr>
          <w:rFonts w:asciiTheme="minorHAnsi" w:hAnsiTheme="minorHAnsi" w:cstheme="minorHAnsi"/>
          <w:noProof/>
        </w:rPr>
        <w:drawing>
          <wp:inline distT="0" distB="0" distL="0" distR="0" wp14:anchorId="6BDE980A" wp14:editId="557BBB48">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4B45DFDC" w14:textId="77777777" w:rsidR="00C917E1" w:rsidRPr="00C917E1" w:rsidRDefault="00C917E1" w:rsidP="00C917E1">
      <w:pPr>
        <w:spacing w:line="300" w:lineRule="atLeast"/>
        <w:jc w:val="center"/>
        <w:rPr>
          <w:rFonts w:asciiTheme="minorHAnsi" w:eastAsia="Times New Roman" w:hAnsiTheme="minorHAnsi" w:cstheme="minorHAnsi"/>
          <w:b/>
          <w:bCs/>
        </w:rPr>
      </w:pPr>
      <w:r w:rsidRPr="00C917E1">
        <w:rPr>
          <w:rFonts w:asciiTheme="minorHAnsi" w:eastAsia="Times New Roman" w:hAnsiTheme="minorHAnsi" w:cstheme="minorHAnsi"/>
          <w:b/>
          <w:bCs/>
        </w:rPr>
        <w:t>BANK OF ISRAEL</w:t>
      </w:r>
    </w:p>
    <w:p w14:paraId="52A9E0F9" w14:textId="77777777" w:rsidR="00C917E1" w:rsidRPr="00C917E1" w:rsidRDefault="00C917E1" w:rsidP="00C917E1">
      <w:pPr>
        <w:spacing w:line="300" w:lineRule="atLeast"/>
        <w:jc w:val="center"/>
        <w:rPr>
          <w:rFonts w:asciiTheme="minorHAnsi" w:eastAsia="Times New Roman" w:hAnsiTheme="minorHAnsi" w:cstheme="minorHAnsi"/>
        </w:rPr>
      </w:pPr>
      <w:r w:rsidRPr="00C917E1">
        <w:rPr>
          <w:rFonts w:asciiTheme="minorHAnsi" w:eastAsia="Times New Roman" w:hAnsiTheme="minorHAnsi" w:cstheme="minorHAnsi"/>
        </w:rPr>
        <w:t>Office of the Spokesperson and Economic Information</w:t>
      </w:r>
    </w:p>
    <w:p w14:paraId="5A3A1BBF" w14:textId="18D8BAD9" w:rsidR="00C917E1" w:rsidRPr="00C917E1" w:rsidRDefault="00C917E1" w:rsidP="00C917E1">
      <w:pPr>
        <w:jc w:val="both"/>
        <w:rPr>
          <w:rFonts w:asciiTheme="minorHAnsi" w:hAnsiTheme="minorHAnsi" w:cstheme="minorHAnsi"/>
        </w:rPr>
      </w:pPr>
      <w:r w:rsidRPr="00C917E1">
        <w:rPr>
          <w:rFonts w:asciiTheme="minorHAnsi" w:hAnsiTheme="minorHAnsi" w:cstheme="minorHAnsi"/>
        </w:rPr>
        <w:br/>
      </w:r>
    </w:p>
    <w:p w14:paraId="05EF509F" w14:textId="77777777" w:rsidR="00C917E1" w:rsidRPr="00C917E1" w:rsidRDefault="00C917E1" w:rsidP="00C917E1">
      <w:pPr>
        <w:pStyle w:val="1"/>
        <w:numPr>
          <w:ilvl w:val="0"/>
          <w:numId w:val="0"/>
        </w:numPr>
        <w:tabs>
          <w:tab w:val="left" w:pos="180"/>
        </w:tabs>
        <w:bidi w:val="0"/>
        <w:spacing w:line="240" w:lineRule="auto"/>
        <w:ind w:right="32"/>
        <w:jc w:val="right"/>
        <w:rPr>
          <w:rFonts w:asciiTheme="minorHAnsi" w:hAnsiTheme="minorHAnsi" w:cstheme="minorHAnsi"/>
          <w:lang w:eastAsia="en-US"/>
        </w:rPr>
      </w:pPr>
    </w:p>
    <w:p w14:paraId="6C0454AF" w14:textId="77777777" w:rsidR="00C917E1" w:rsidRPr="00C917E1" w:rsidRDefault="00C917E1" w:rsidP="00C917E1">
      <w:pPr>
        <w:pStyle w:val="1"/>
        <w:numPr>
          <w:ilvl w:val="0"/>
          <w:numId w:val="0"/>
        </w:numPr>
        <w:tabs>
          <w:tab w:val="left" w:pos="180"/>
        </w:tabs>
        <w:bidi w:val="0"/>
        <w:spacing w:line="240" w:lineRule="auto"/>
        <w:ind w:right="32"/>
        <w:jc w:val="right"/>
        <w:rPr>
          <w:rFonts w:asciiTheme="minorHAnsi" w:hAnsiTheme="minorHAnsi" w:cstheme="minorHAnsi"/>
          <w:lang w:eastAsia="en-US"/>
        </w:rPr>
      </w:pPr>
    </w:p>
    <w:p w14:paraId="7528510B" w14:textId="77777777" w:rsidR="00C917E1" w:rsidRPr="00C917E1" w:rsidRDefault="00C917E1" w:rsidP="00C917E1">
      <w:pPr>
        <w:pStyle w:val="1"/>
        <w:numPr>
          <w:ilvl w:val="0"/>
          <w:numId w:val="0"/>
        </w:numPr>
        <w:tabs>
          <w:tab w:val="left" w:pos="180"/>
        </w:tabs>
        <w:bidi w:val="0"/>
        <w:spacing w:line="240" w:lineRule="auto"/>
        <w:ind w:right="32"/>
        <w:jc w:val="right"/>
        <w:rPr>
          <w:rFonts w:asciiTheme="minorHAnsi" w:hAnsiTheme="minorHAnsi" w:cstheme="minorHAnsi" w:hint="cs"/>
          <w:rtl/>
          <w:lang w:eastAsia="en-US"/>
        </w:rPr>
      </w:pPr>
    </w:p>
    <w:p w14:paraId="64AAE77F" w14:textId="7D31A8DE" w:rsidR="006A415B" w:rsidRPr="00C917E1" w:rsidRDefault="0036318B" w:rsidP="00C917E1">
      <w:pPr>
        <w:pStyle w:val="1"/>
        <w:numPr>
          <w:ilvl w:val="0"/>
          <w:numId w:val="0"/>
        </w:numPr>
        <w:tabs>
          <w:tab w:val="left" w:pos="180"/>
        </w:tabs>
        <w:bidi w:val="0"/>
        <w:spacing w:line="240" w:lineRule="auto"/>
        <w:ind w:right="32"/>
        <w:jc w:val="right"/>
        <w:rPr>
          <w:rFonts w:asciiTheme="minorHAnsi" w:hAnsiTheme="minorHAnsi" w:cstheme="minorHAnsi"/>
          <w:rtl/>
          <w:lang w:eastAsia="en-US"/>
        </w:rPr>
      </w:pPr>
      <w:bookmarkStart w:id="0" w:name="_GoBack"/>
      <w:r w:rsidRPr="00C917E1">
        <w:rPr>
          <w:rFonts w:asciiTheme="minorHAnsi" w:hAnsiTheme="minorHAnsi" w:cstheme="minorHAnsi"/>
          <w:lang w:eastAsia="en-US"/>
        </w:rPr>
        <w:t>February 26</w:t>
      </w:r>
      <w:r w:rsidR="00D22CE3" w:rsidRPr="00C917E1">
        <w:rPr>
          <w:rFonts w:asciiTheme="minorHAnsi" w:hAnsiTheme="minorHAnsi" w:cstheme="minorHAnsi"/>
          <w:lang w:eastAsia="en-US"/>
        </w:rPr>
        <w:t>, 202</w:t>
      </w:r>
      <w:r w:rsidRPr="00C917E1">
        <w:rPr>
          <w:rFonts w:asciiTheme="minorHAnsi" w:hAnsiTheme="minorHAnsi" w:cstheme="minorHAnsi"/>
          <w:lang w:eastAsia="en-US"/>
        </w:rPr>
        <w:t>4</w:t>
      </w:r>
    </w:p>
    <w:p w14:paraId="0B7FE089" w14:textId="77777777" w:rsidR="006A415B" w:rsidRPr="00C917E1" w:rsidRDefault="006A415B" w:rsidP="00C2592B">
      <w:pPr>
        <w:pStyle w:val="aa"/>
        <w:bidi w:val="0"/>
        <w:spacing w:line="240" w:lineRule="auto"/>
        <w:rPr>
          <w:rFonts w:asciiTheme="minorHAnsi" w:hAnsiTheme="minorHAnsi" w:cstheme="minorHAnsi"/>
        </w:rPr>
      </w:pPr>
    </w:p>
    <w:bookmarkEnd w:id="0"/>
    <w:p w14:paraId="43D5A2BD" w14:textId="77777777" w:rsidR="006A415B" w:rsidRPr="00C917E1" w:rsidRDefault="006A415B" w:rsidP="00C917E1">
      <w:pPr>
        <w:pStyle w:val="aa"/>
        <w:bidi w:val="0"/>
        <w:spacing w:line="240" w:lineRule="auto"/>
        <w:jc w:val="left"/>
        <w:rPr>
          <w:rFonts w:asciiTheme="minorHAnsi" w:hAnsiTheme="minorHAnsi" w:cstheme="minorHAnsi"/>
          <w:b/>
          <w:bCs/>
          <w:sz w:val="26"/>
          <w:szCs w:val="26"/>
        </w:rPr>
      </w:pPr>
      <w:r w:rsidRPr="00C917E1">
        <w:rPr>
          <w:rFonts w:asciiTheme="minorHAnsi" w:hAnsiTheme="minorHAnsi" w:cstheme="minorHAnsi"/>
          <w:b/>
          <w:bCs/>
          <w:sz w:val="26"/>
          <w:szCs w:val="26"/>
        </w:rPr>
        <w:t>Press Release</w:t>
      </w:r>
    </w:p>
    <w:p w14:paraId="75D1049F" w14:textId="77777777" w:rsidR="006A415B" w:rsidRPr="00C917E1" w:rsidRDefault="006A415B" w:rsidP="00C2592B">
      <w:pPr>
        <w:jc w:val="center"/>
        <w:rPr>
          <w:rFonts w:asciiTheme="minorHAnsi" w:hAnsiTheme="minorHAnsi" w:cstheme="minorHAnsi"/>
          <w:b/>
          <w:bCs/>
          <w:rtl/>
        </w:rPr>
      </w:pPr>
    </w:p>
    <w:p w14:paraId="6EAB5167" w14:textId="49E45F36" w:rsidR="006A415B" w:rsidRPr="00C917E1" w:rsidRDefault="006A415B" w:rsidP="002B2E6D">
      <w:pPr>
        <w:jc w:val="center"/>
        <w:rPr>
          <w:rFonts w:asciiTheme="minorHAnsi" w:hAnsiTheme="minorHAnsi" w:cstheme="minorHAnsi"/>
          <w:b/>
          <w:bCs/>
          <w:sz w:val="32"/>
          <w:szCs w:val="32"/>
        </w:rPr>
      </w:pPr>
      <w:r w:rsidRPr="00C917E1">
        <w:rPr>
          <w:rFonts w:asciiTheme="minorHAnsi" w:hAnsiTheme="minorHAnsi" w:cstheme="minorHAnsi"/>
          <w:b/>
          <w:bCs/>
          <w:sz w:val="32"/>
          <w:szCs w:val="32"/>
        </w:rPr>
        <w:t xml:space="preserve">The Monetary Committee decides on </w:t>
      </w:r>
      <w:r w:rsidR="002B2E6D" w:rsidRPr="00C917E1">
        <w:rPr>
          <w:rFonts w:asciiTheme="minorHAnsi" w:hAnsiTheme="minorHAnsi" w:cstheme="minorHAnsi"/>
          <w:b/>
          <w:bCs/>
          <w:sz w:val="32"/>
          <w:szCs w:val="32"/>
        </w:rPr>
        <w:t>February 26</w:t>
      </w:r>
      <w:r w:rsidR="00A14AFB" w:rsidRPr="00C917E1">
        <w:rPr>
          <w:rFonts w:asciiTheme="minorHAnsi" w:hAnsiTheme="minorHAnsi" w:cstheme="minorHAnsi"/>
          <w:b/>
          <w:bCs/>
          <w:sz w:val="32"/>
          <w:szCs w:val="32"/>
        </w:rPr>
        <w:t>, 2024</w:t>
      </w:r>
      <w:r w:rsidRPr="00C917E1">
        <w:rPr>
          <w:rFonts w:asciiTheme="minorHAnsi" w:hAnsiTheme="minorHAnsi" w:cstheme="minorHAnsi"/>
          <w:b/>
          <w:bCs/>
          <w:sz w:val="32"/>
          <w:szCs w:val="32"/>
        </w:rPr>
        <w:t xml:space="preserve"> </w:t>
      </w:r>
    </w:p>
    <w:p w14:paraId="3D5ED02F" w14:textId="1746D976" w:rsidR="006A415B" w:rsidRPr="00C917E1" w:rsidRDefault="006A415B" w:rsidP="00C917E1">
      <w:pPr>
        <w:jc w:val="center"/>
        <w:rPr>
          <w:rFonts w:asciiTheme="minorHAnsi" w:hAnsiTheme="minorHAnsi" w:cstheme="minorHAnsi"/>
          <w:b/>
          <w:bCs/>
          <w:sz w:val="32"/>
          <w:szCs w:val="32"/>
        </w:rPr>
      </w:pPr>
      <w:r w:rsidRPr="00C917E1">
        <w:rPr>
          <w:rFonts w:asciiTheme="minorHAnsi" w:hAnsiTheme="minorHAnsi" w:cstheme="minorHAnsi"/>
          <w:b/>
          <w:bCs/>
          <w:sz w:val="32"/>
          <w:szCs w:val="32"/>
        </w:rPr>
        <w:t xml:space="preserve">to </w:t>
      </w:r>
      <w:r w:rsidR="00C917E1" w:rsidRPr="00C917E1">
        <w:rPr>
          <w:rFonts w:asciiTheme="minorHAnsi" w:hAnsiTheme="minorHAnsi" w:cstheme="minorHAnsi"/>
          <w:b/>
          <w:bCs/>
          <w:sz w:val="32"/>
          <w:szCs w:val="32"/>
        </w:rPr>
        <w:t>leave the interest rate unchanged at 4.5 percent</w:t>
      </w:r>
    </w:p>
    <w:p w14:paraId="796566F9" w14:textId="77777777" w:rsidR="003768D8" w:rsidRPr="00C917E1" w:rsidRDefault="003768D8" w:rsidP="00C2592B">
      <w:pPr>
        <w:rPr>
          <w:rFonts w:asciiTheme="minorHAnsi" w:hAnsiTheme="minorHAnsi" w:cstheme="minorHAnsi"/>
          <w:b/>
          <w:bCs/>
          <w:sz w:val="32"/>
          <w:szCs w:val="32"/>
        </w:rPr>
      </w:pPr>
    </w:p>
    <w:p w14:paraId="422C5EBC" w14:textId="77777777" w:rsidR="000512B0" w:rsidRPr="00C917E1" w:rsidRDefault="000512B0" w:rsidP="00C2592B">
      <w:pPr>
        <w:jc w:val="both"/>
        <w:rPr>
          <w:rFonts w:asciiTheme="minorHAnsi" w:hAnsiTheme="minorHAnsi" w:cstheme="minorHAnsi"/>
        </w:rPr>
      </w:pPr>
    </w:p>
    <w:p w14:paraId="07FA404A" w14:textId="1006DDC9" w:rsidR="008D5EB4" w:rsidRPr="00C917E1" w:rsidRDefault="008D5EB4" w:rsidP="005E14FE">
      <w:pPr>
        <w:pStyle w:val="ac"/>
        <w:numPr>
          <w:ilvl w:val="0"/>
          <w:numId w:val="8"/>
        </w:numPr>
        <w:bidi w:val="0"/>
        <w:spacing w:line="240" w:lineRule="auto"/>
        <w:rPr>
          <w:rFonts w:asciiTheme="minorHAnsi" w:hAnsiTheme="minorHAnsi" w:cstheme="minorHAnsi"/>
        </w:rPr>
      </w:pPr>
      <w:r w:rsidRPr="00C917E1">
        <w:rPr>
          <w:rFonts w:asciiTheme="minorHAnsi" w:hAnsiTheme="minorHAnsi" w:cstheme="minorHAnsi"/>
        </w:rPr>
        <w:t>The</w:t>
      </w:r>
      <w:r w:rsidR="00651B09" w:rsidRPr="00C917E1">
        <w:rPr>
          <w:rFonts w:asciiTheme="minorHAnsi" w:hAnsiTheme="minorHAnsi" w:cstheme="minorHAnsi"/>
        </w:rPr>
        <w:t>re</w:t>
      </w:r>
      <w:r w:rsidRPr="00C917E1">
        <w:rPr>
          <w:rFonts w:asciiTheme="minorHAnsi" w:hAnsiTheme="minorHAnsi" w:cstheme="minorHAnsi"/>
        </w:rPr>
        <w:t xml:space="preserve"> is </w:t>
      </w:r>
      <w:r w:rsidR="009A1B5F" w:rsidRPr="00C917E1">
        <w:rPr>
          <w:rFonts w:asciiTheme="minorHAnsi" w:hAnsiTheme="minorHAnsi" w:cstheme="minorHAnsi"/>
        </w:rPr>
        <w:t xml:space="preserve">a </w:t>
      </w:r>
      <w:r w:rsidR="004A3665" w:rsidRPr="00C917E1">
        <w:rPr>
          <w:rFonts w:asciiTheme="minorHAnsi" w:hAnsiTheme="minorHAnsi" w:cstheme="minorHAnsi"/>
        </w:rPr>
        <w:t>great</w:t>
      </w:r>
      <w:r w:rsidRPr="00C917E1">
        <w:rPr>
          <w:rFonts w:asciiTheme="minorHAnsi" w:hAnsiTheme="minorHAnsi" w:cstheme="minorHAnsi"/>
        </w:rPr>
        <w:t xml:space="preserve"> amount of uncertainty with regard to the expected </w:t>
      </w:r>
      <w:r w:rsidR="004A3665" w:rsidRPr="00C917E1">
        <w:rPr>
          <w:rFonts w:asciiTheme="minorHAnsi" w:hAnsiTheme="minorHAnsi" w:cstheme="minorHAnsi"/>
        </w:rPr>
        <w:t xml:space="preserve">severity </w:t>
      </w:r>
      <w:r w:rsidRPr="00C917E1">
        <w:rPr>
          <w:rFonts w:asciiTheme="minorHAnsi" w:hAnsiTheme="minorHAnsi" w:cstheme="minorHAnsi"/>
        </w:rPr>
        <w:t>and duration of the war</w:t>
      </w:r>
      <w:r w:rsidR="003818F5" w:rsidRPr="00C917E1">
        <w:rPr>
          <w:rFonts w:asciiTheme="minorHAnsi" w:hAnsiTheme="minorHAnsi" w:cstheme="minorHAnsi"/>
        </w:rPr>
        <w:t>. The war is having significant economic consequences, both on real economic activity and on the financial markets</w:t>
      </w:r>
      <w:r w:rsidRPr="00C917E1">
        <w:rPr>
          <w:rFonts w:asciiTheme="minorHAnsi" w:hAnsiTheme="minorHAnsi" w:cstheme="minorHAnsi"/>
        </w:rPr>
        <w:t>,</w:t>
      </w:r>
      <w:r w:rsidR="003818F5" w:rsidRPr="00C917E1">
        <w:rPr>
          <w:rFonts w:asciiTheme="minorHAnsi" w:hAnsiTheme="minorHAnsi" w:cstheme="minorHAnsi"/>
        </w:rPr>
        <w:t xml:space="preserve"> and the </w:t>
      </w:r>
      <w:r w:rsidR="005E14FE" w:rsidRPr="00C917E1">
        <w:rPr>
          <w:rFonts w:asciiTheme="minorHAnsi" w:hAnsiTheme="minorHAnsi" w:cstheme="minorHAnsi"/>
        </w:rPr>
        <w:t>country’s</w:t>
      </w:r>
      <w:r w:rsidR="003818F5" w:rsidRPr="00C917E1">
        <w:rPr>
          <w:rFonts w:asciiTheme="minorHAnsi" w:hAnsiTheme="minorHAnsi" w:cstheme="minorHAnsi"/>
        </w:rPr>
        <w:t xml:space="preserve"> risk premium remains high.</w:t>
      </w:r>
    </w:p>
    <w:p w14:paraId="46160A15" w14:textId="4CAD3868" w:rsidR="003818F5" w:rsidRPr="00C917E1" w:rsidRDefault="003818F5" w:rsidP="005922D0">
      <w:pPr>
        <w:pStyle w:val="ac"/>
        <w:numPr>
          <w:ilvl w:val="0"/>
          <w:numId w:val="8"/>
        </w:numPr>
        <w:bidi w:val="0"/>
        <w:spacing w:line="240" w:lineRule="auto"/>
        <w:rPr>
          <w:rFonts w:asciiTheme="minorHAnsi" w:hAnsiTheme="minorHAnsi" w:cstheme="minorHAnsi"/>
        </w:rPr>
      </w:pPr>
      <w:r w:rsidRPr="00C917E1">
        <w:rPr>
          <w:rFonts w:asciiTheme="minorHAnsi" w:hAnsiTheme="minorHAnsi" w:cstheme="minorHAnsi"/>
        </w:rPr>
        <w:t>Inflation in the past 12 months has moderated, and is within the target range.  Expectations and forecasts for the coming year increased slightly, and are around the upper bound of the target range.  Expectations for the second year onward are within the target range.</w:t>
      </w:r>
    </w:p>
    <w:p w14:paraId="3B3B2AF0" w14:textId="693E44D2" w:rsidR="001E34CC" w:rsidRPr="00C917E1" w:rsidRDefault="003818F5" w:rsidP="003818F5">
      <w:pPr>
        <w:pStyle w:val="ac"/>
        <w:numPr>
          <w:ilvl w:val="0"/>
          <w:numId w:val="8"/>
        </w:numPr>
        <w:bidi w:val="0"/>
        <w:spacing w:line="240" w:lineRule="auto"/>
        <w:rPr>
          <w:rFonts w:asciiTheme="minorHAnsi" w:hAnsiTheme="minorHAnsi" w:cstheme="minorHAnsi"/>
        </w:rPr>
      </w:pPr>
      <w:r w:rsidRPr="00C917E1">
        <w:rPr>
          <w:rFonts w:asciiTheme="minorHAnsi" w:hAnsiTheme="minorHAnsi" w:cstheme="minorHAnsi"/>
        </w:rPr>
        <w:t>Since the previous monetary policy decision, the shekel weakened by about 0.25 percent against the US dollar, with high volatility, and strengthened by about 1.9 percent against the euro and by 1.4 percent in terms of the nominal effective exchange rate.</w:t>
      </w:r>
      <w:r w:rsidR="00441BDC" w:rsidRPr="00C917E1">
        <w:rPr>
          <w:rFonts w:asciiTheme="minorHAnsi" w:hAnsiTheme="minorHAnsi" w:cstheme="minorHAnsi"/>
        </w:rPr>
        <w:t xml:space="preserve"> </w:t>
      </w:r>
    </w:p>
    <w:p w14:paraId="688262B6" w14:textId="4F378B3F" w:rsidR="003818F5" w:rsidRPr="00C917E1" w:rsidRDefault="003818F5" w:rsidP="009A1B5F">
      <w:pPr>
        <w:pStyle w:val="ac"/>
        <w:numPr>
          <w:ilvl w:val="0"/>
          <w:numId w:val="8"/>
        </w:numPr>
        <w:bidi w:val="0"/>
        <w:spacing w:line="240" w:lineRule="auto"/>
        <w:rPr>
          <w:rFonts w:asciiTheme="minorHAnsi" w:hAnsiTheme="minorHAnsi" w:cstheme="minorHAnsi"/>
        </w:rPr>
      </w:pPr>
      <w:r w:rsidRPr="00C917E1">
        <w:rPr>
          <w:rFonts w:asciiTheme="minorHAnsi" w:hAnsiTheme="minorHAnsi" w:cstheme="minorHAnsi"/>
        </w:rPr>
        <w:t>GDP contracted by 5.2 percent in the fourth quarter of 2023, compared with the third quarter, due to the effects of the war.  Over the year as a whole, GDP grew by 2 percent.  The GDP growth was in line with the Research Department’s forecast from January 2024.</w:t>
      </w:r>
    </w:p>
    <w:p w14:paraId="269F2BEE" w14:textId="2B359D13" w:rsidR="009A1B5F" w:rsidRPr="00C917E1" w:rsidRDefault="009A1B5F" w:rsidP="003818F5">
      <w:pPr>
        <w:pStyle w:val="ac"/>
        <w:numPr>
          <w:ilvl w:val="0"/>
          <w:numId w:val="8"/>
        </w:numPr>
        <w:bidi w:val="0"/>
        <w:spacing w:line="240" w:lineRule="auto"/>
        <w:rPr>
          <w:rFonts w:asciiTheme="minorHAnsi" w:hAnsiTheme="minorHAnsi" w:cstheme="minorHAnsi"/>
        </w:rPr>
      </w:pPr>
      <w:r w:rsidRPr="00C917E1">
        <w:rPr>
          <w:rFonts w:asciiTheme="minorHAnsi" w:hAnsiTheme="minorHAnsi" w:cstheme="minorHAnsi"/>
        </w:rPr>
        <w:t>Indicators of economic activity and the state of employment point to a gradual recovery following the sharp decline that took place with the outbreak of the war, but there is variance between industries.</w:t>
      </w:r>
    </w:p>
    <w:p w14:paraId="6602DF75" w14:textId="44639A39" w:rsidR="003818F5" w:rsidRPr="00C917E1" w:rsidRDefault="003818F5" w:rsidP="00560CDB">
      <w:pPr>
        <w:pStyle w:val="ac"/>
        <w:numPr>
          <w:ilvl w:val="0"/>
          <w:numId w:val="8"/>
        </w:numPr>
        <w:bidi w:val="0"/>
        <w:spacing w:line="240" w:lineRule="auto"/>
        <w:rPr>
          <w:rFonts w:asciiTheme="minorHAnsi" w:hAnsiTheme="minorHAnsi" w:cstheme="minorHAnsi"/>
        </w:rPr>
      </w:pPr>
      <w:r w:rsidRPr="00C917E1">
        <w:rPr>
          <w:rFonts w:asciiTheme="minorHAnsi" w:hAnsiTheme="minorHAnsi" w:cstheme="minorHAnsi"/>
        </w:rPr>
        <w:t>Activity in the housing market remained moderate, despite the increase in home prices in the past month.  The constraints and activity difficulties in the</w:t>
      </w:r>
      <w:r w:rsidR="005E14FE" w:rsidRPr="00C917E1">
        <w:rPr>
          <w:rFonts w:asciiTheme="minorHAnsi" w:hAnsiTheme="minorHAnsi" w:cstheme="minorHAnsi"/>
        </w:rPr>
        <w:t xml:space="preserve"> construction</w:t>
      </w:r>
      <w:r w:rsidRPr="00C917E1">
        <w:rPr>
          <w:rFonts w:asciiTheme="minorHAnsi" w:hAnsiTheme="minorHAnsi" w:cstheme="minorHAnsi"/>
        </w:rPr>
        <w:t xml:space="preserve"> industry in view of the war have moderated, but remain significant.</w:t>
      </w:r>
    </w:p>
    <w:p w14:paraId="73E71187" w14:textId="00011307" w:rsidR="009A1B5F" w:rsidRPr="00C917E1" w:rsidRDefault="003818F5" w:rsidP="003818F5">
      <w:pPr>
        <w:pStyle w:val="ac"/>
        <w:numPr>
          <w:ilvl w:val="0"/>
          <w:numId w:val="8"/>
        </w:numPr>
        <w:bidi w:val="0"/>
        <w:spacing w:line="240" w:lineRule="auto"/>
        <w:rPr>
          <w:rFonts w:asciiTheme="minorHAnsi" w:hAnsiTheme="minorHAnsi" w:cstheme="minorHAnsi"/>
        </w:rPr>
      </w:pPr>
      <w:r w:rsidRPr="00C917E1">
        <w:rPr>
          <w:rFonts w:asciiTheme="minorHAnsi" w:hAnsiTheme="minorHAnsi" w:cstheme="minorHAnsi"/>
        </w:rPr>
        <w:t>E</w:t>
      </w:r>
      <w:r w:rsidR="009A1B5F" w:rsidRPr="00C917E1">
        <w:rPr>
          <w:rFonts w:asciiTheme="minorHAnsi" w:hAnsiTheme="minorHAnsi" w:cstheme="minorHAnsi"/>
        </w:rPr>
        <w:t>conomic activity</w:t>
      </w:r>
      <w:r w:rsidR="00560CDB" w:rsidRPr="00C917E1">
        <w:rPr>
          <w:rFonts w:asciiTheme="minorHAnsi" w:hAnsiTheme="minorHAnsi" w:cstheme="minorHAnsi"/>
        </w:rPr>
        <w:t xml:space="preserve"> </w:t>
      </w:r>
      <w:r w:rsidR="009A1B5F" w:rsidRPr="00C917E1">
        <w:rPr>
          <w:rFonts w:asciiTheme="minorHAnsi" w:hAnsiTheme="minorHAnsi" w:cstheme="minorHAnsi"/>
        </w:rPr>
        <w:t xml:space="preserve">in </w:t>
      </w:r>
      <w:r w:rsidRPr="00C917E1">
        <w:rPr>
          <w:rFonts w:asciiTheme="minorHAnsi" w:hAnsiTheme="minorHAnsi" w:cstheme="minorHAnsi"/>
        </w:rPr>
        <w:t>most</w:t>
      </w:r>
      <w:r w:rsidR="009A1B5F" w:rsidRPr="00C917E1">
        <w:rPr>
          <w:rFonts w:asciiTheme="minorHAnsi" w:hAnsiTheme="minorHAnsi" w:cstheme="minorHAnsi"/>
        </w:rPr>
        <w:t xml:space="preserve"> countries </w:t>
      </w:r>
      <w:r w:rsidRPr="00C917E1">
        <w:rPr>
          <w:rFonts w:asciiTheme="minorHAnsi" w:hAnsiTheme="minorHAnsi" w:cstheme="minorHAnsi"/>
        </w:rPr>
        <w:t>remained</w:t>
      </w:r>
      <w:r w:rsidR="009A1B5F" w:rsidRPr="00C917E1">
        <w:rPr>
          <w:rFonts w:asciiTheme="minorHAnsi" w:hAnsiTheme="minorHAnsi" w:cstheme="minorHAnsi"/>
        </w:rPr>
        <w:t xml:space="preserve"> moderat</w:t>
      </w:r>
      <w:r w:rsidRPr="00C917E1">
        <w:rPr>
          <w:rFonts w:asciiTheme="minorHAnsi" w:hAnsiTheme="minorHAnsi" w:cstheme="minorHAnsi"/>
        </w:rPr>
        <w:t>e</w:t>
      </w:r>
      <w:r w:rsidR="009A1B5F" w:rsidRPr="00C917E1">
        <w:rPr>
          <w:rFonts w:asciiTheme="minorHAnsi" w:hAnsiTheme="minorHAnsi" w:cstheme="minorHAnsi"/>
        </w:rPr>
        <w:t>,</w:t>
      </w:r>
      <w:r w:rsidRPr="00C917E1">
        <w:rPr>
          <w:rFonts w:asciiTheme="minorHAnsi" w:hAnsiTheme="minorHAnsi" w:cstheme="minorHAnsi"/>
        </w:rPr>
        <w:t xml:space="preserve"> while the relatively strong economic growth in the US is prominent.  Inflation moderated in many countries, but in most it remains above the central bank targets.</w:t>
      </w:r>
    </w:p>
    <w:p w14:paraId="2959C532" w14:textId="77777777" w:rsidR="00BA018E" w:rsidRPr="00C917E1" w:rsidRDefault="00BA018E" w:rsidP="00C2592B">
      <w:pPr>
        <w:rPr>
          <w:rFonts w:asciiTheme="minorHAnsi" w:hAnsiTheme="minorHAnsi" w:cstheme="minorHAnsi"/>
        </w:rPr>
      </w:pPr>
    </w:p>
    <w:p w14:paraId="73F8BC61" w14:textId="48DD3BFA" w:rsidR="002919ED" w:rsidRPr="00C917E1" w:rsidRDefault="003E2FB9" w:rsidP="00560CDB">
      <w:pPr>
        <w:jc w:val="both"/>
        <w:rPr>
          <w:rFonts w:asciiTheme="minorHAnsi" w:hAnsiTheme="minorHAnsi" w:cstheme="minorHAnsi"/>
          <w:b/>
          <w:bCs/>
        </w:rPr>
      </w:pPr>
      <w:r w:rsidRPr="00C917E1">
        <w:rPr>
          <w:rFonts w:asciiTheme="minorHAnsi" w:hAnsiTheme="minorHAnsi" w:cstheme="minorHAnsi"/>
          <w:b/>
          <w:bCs/>
        </w:rPr>
        <w:lastRenderedPageBreak/>
        <w:t xml:space="preserve">In view of the war, the Monetary Committee’s policy is focusing on stabilizing the markets and reducing uncertainty, </w:t>
      </w:r>
      <w:r w:rsidR="008D5EB4" w:rsidRPr="00C917E1">
        <w:rPr>
          <w:rFonts w:asciiTheme="minorHAnsi" w:hAnsiTheme="minorHAnsi" w:cstheme="minorHAnsi"/>
          <w:b/>
          <w:bCs/>
        </w:rPr>
        <w:t>alongside price stability and supporting economic activity.  The interest rate path</w:t>
      </w:r>
      <w:r w:rsidRPr="00C917E1">
        <w:rPr>
          <w:rFonts w:asciiTheme="minorHAnsi" w:hAnsiTheme="minorHAnsi" w:cstheme="minorHAnsi"/>
          <w:b/>
          <w:bCs/>
        </w:rPr>
        <w:t xml:space="preserve"> will be determined in accordance with</w:t>
      </w:r>
      <w:r w:rsidR="00560CDB" w:rsidRPr="00C917E1">
        <w:rPr>
          <w:rFonts w:asciiTheme="minorHAnsi" w:hAnsiTheme="minorHAnsi" w:cstheme="minorHAnsi"/>
          <w:b/>
          <w:bCs/>
        </w:rPr>
        <w:t xml:space="preserve"> the continued convergence of inflation to its target, continued stability in the</w:t>
      </w:r>
      <w:r w:rsidR="00851499" w:rsidRPr="00C917E1">
        <w:rPr>
          <w:rFonts w:asciiTheme="minorHAnsi" w:hAnsiTheme="minorHAnsi" w:cstheme="minorHAnsi"/>
          <w:b/>
          <w:bCs/>
        </w:rPr>
        <w:t xml:space="preserve"> </w:t>
      </w:r>
      <w:r w:rsidR="008D5EB4" w:rsidRPr="00C917E1">
        <w:rPr>
          <w:rFonts w:asciiTheme="minorHAnsi" w:hAnsiTheme="minorHAnsi" w:cstheme="minorHAnsi"/>
          <w:b/>
          <w:bCs/>
        </w:rPr>
        <w:t>financial markets</w:t>
      </w:r>
      <w:r w:rsidR="00560CDB" w:rsidRPr="00C917E1">
        <w:rPr>
          <w:rFonts w:asciiTheme="minorHAnsi" w:hAnsiTheme="minorHAnsi" w:cstheme="minorHAnsi"/>
          <w:b/>
          <w:bCs/>
        </w:rPr>
        <w:t xml:space="preserve">, </w:t>
      </w:r>
      <w:r w:rsidR="008D5EB4" w:rsidRPr="00C917E1">
        <w:rPr>
          <w:rFonts w:asciiTheme="minorHAnsi" w:hAnsiTheme="minorHAnsi" w:cstheme="minorHAnsi"/>
          <w:b/>
          <w:bCs/>
        </w:rPr>
        <w:t>economic activity</w:t>
      </w:r>
      <w:r w:rsidR="00560CDB" w:rsidRPr="00C917E1">
        <w:rPr>
          <w:rFonts w:asciiTheme="minorHAnsi" w:hAnsiTheme="minorHAnsi" w:cstheme="minorHAnsi"/>
          <w:b/>
          <w:bCs/>
        </w:rPr>
        <w:t>, and fiscal policy</w:t>
      </w:r>
      <w:r w:rsidR="008D5EB4" w:rsidRPr="00C917E1">
        <w:rPr>
          <w:rFonts w:asciiTheme="minorHAnsi" w:hAnsiTheme="minorHAnsi" w:cstheme="minorHAnsi"/>
          <w:b/>
          <w:bCs/>
        </w:rPr>
        <w:t>.</w:t>
      </w:r>
    </w:p>
    <w:p w14:paraId="58249C36" w14:textId="0F89AB65" w:rsidR="000B7A80" w:rsidRPr="00C917E1" w:rsidRDefault="000B7A80" w:rsidP="00C2592B">
      <w:pPr>
        <w:jc w:val="both"/>
        <w:rPr>
          <w:rFonts w:asciiTheme="minorHAnsi" w:hAnsiTheme="minorHAnsi" w:cstheme="minorHAnsi"/>
          <w:b/>
          <w:bCs/>
        </w:rPr>
      </w:pPr>
    </w:p>
    <w:p w14:paraId="2ADBB1AC" w14:textId="77777777" w:rsidR="00514240" w:rsidRPr="00C917E1" w:rsidRDefault="00514240" w:rsidP="00C2592B">
      <w:pPr>
        <w:jc w:val="both"/>
        <w:rPr>
          <w:rFonts w:asciiTheme="minorHAnsi" w:hAnsiTheme="minorHAnsi" w:cstheme="minorHAnsi"/>
          <w:b/>
          <w:bCs/>
        </w:rPr>
      </w:pPr>
    </w:p>
    <w:p w14:paraId="493BE23C" w14:textId="77777777" w:rsidR="007B5771" w:rsidRPr="00C917E1" w:rsidRDefault="007B5771" w:rsidP="00C2592B">
      <w:pPr>
        <w:rPr>
          <w:rFonts w:asciiTheme="minorHAnsi" w:hAnsiTheme="minorHAnsi" w:cstheme="minorHAnsi"/>
          <w:b/>
          <w:bCs/>
        </w:rPr>
      </w:pPr>
      <w:r w:rsidRPr="00C917E1">
        <w:rPr>
          <w:rFonts w:asciiTheme="minorHAnsi" w:hAnsiTheme="minorHAnsi" w:cstheme="minorHAnsi"/>
          <w:b/>
          <w:bCs/>
        </w:rPr>
        <w:t>For the file of figures accompanying this notice, click here.</w:t>
      </w:r>
    </w:p>
    <w:p w14:paraId="1962EDF8" w14:textId="77777777" w:rsidR="002E392D" w:rsidRPr="00C917E1" w:rsidRDefault="002E392D" w:rsidP="00C2592B">
      <w:pPr>
        <w:jc w:val="both"/>
        <w:rPr>
          <w:rFonts w:asciiTheme="minorHAnsi" w:hAnsiTheme="minorHAnsi" w:cstheme="minorHAnsi"/>
        </w:rPr>
      </w:pPr>
    </w:p>
    <w:p w14:paraId="189969E4" w14:textId="77777777" w:rsidR="002B2E6D" w:rsidRPr="00C917E1" w:rsidRDefault="009D5198" w:rsidP="002B2E6D">
      <w:pPr>
        <w:jc w:val="both"/>
        <w:rPr>
          <w:rFonts w:asciiTheme="minorHAnsi" w:hAnsiTheme="minorHAnsi" w:cstheme="minorHAnsi"/>
        </w:rPr>
      </w:pPr>
      <w:r w:rsidRPr="00C917E1">
        <w:rPr>
          <w:rFonts w:asciiTheme="minorHAnsi" w:hAnsiTheme="minorHAnsi" w:cstheme="minorHAnsi"/>
        </w:rPr>
        <w:t xml:space="preserve">The State of Israel </w:t>
      </w:r>
      <w:r w:rsidR="0099673E" w:rsidRPr="00C917E1">
        <w:rPr>
          <w:rFonts w:asciiTheme="minorHAnsi" w:hAnsiTheme="minorHAnsi" w:cstheme="minorHAnsi"/>
        </w:rPr>
        <w:t xml:space="preserve">has been at war for </w:t>
      </w:r>
      <w:r w:rsidR="002B2E6D" w:rsidRPr="00C917E1">
        <w:rPr>
          <w:rFonts w:asciiTheme="minorHAnsi" w:hAnsiTheme="minorHAnsi" w:cstheme="minorHAnsi"/>
        </w:rPr>
        <w:t>more than four</w:t>
      </w:r>
      <w:r w:rsidR="0099673E" w:rsidRPr="00C917E1">
        <w:rPr>
          <w:rFonts w:asciiTheme="minorHAnsi" w:hAnsiTheme="minorHAnsi" w:cstheme="minorHAnsi"/>
        </w:rPr>
        <w:t xml:space="preserve"> months.  Beyond the security effects of the war, it</w:t>
      </w:r>
      <w:r w:rsidRPr="00C917E1">
        <w:rPr>
          <w:rFonts w:asciiTheme="minorHAnsi" w:hAnsiTheme="minorHAnsi" w:cstheme="minorHAnsi"/>
        </w:rPr>
        <w:t xml:space="preserve"> </w:t>
      </w:r>
      <w:r w:rsidR="008D5EB4" w:rsidRPr="00C917E1">
        <w:rPr>
          <w:rFonts w:asciiTheme="minorHAnsi" w:hAnsiTheme="minorHAnsi" w:cstheme="minorHAnsi"/>
        </w:rPr>
        <w:t xml:space="preserve">is </w:t>
      </w:r>
      <w:r w:rsidRPr="00C917E1">
        <w:rPr>
          <w:rFonts w:asciiTheme="minorHAnsi" w:hAnsiTheme="minorHAnsi" w:cstheme="minorHAnsi"/>
        </w:rPr>
        <w:t>ha</w:t>
      </w:r>
      <w:r w:rsidR="008D5EB4" w:rsidRPr="00C917E1">
        <w:rPr>
          <w:rFonts w:asciiTheme="minorHAnsi" w:hAnsiTheme="minorHAnsi" w:cstheme="minorHAnsi"/>
        </w:rPr>
        <w:t>ving</w:t>
      </w:r>
      <w:r w:rsidRPr="00C917E1">
        <w:rPr>
          <w:rFonts w:asciiTheme="minorHAnsi" w:hAnsiTheme="minorHAnsi" w:cstheme="minorHAnsi"/>
        </w:rPr>
        <w:t xml:space="preserve"> </w:t>
      </w:r>
      <w:r w:rsidR="008D5EB4" w:rsidRPr="00C917E1">
        <w:rPr>
          <w:rFonts w:asciiTheme="minorHAnsi" w:hAnsiTheme="minorHAnsi" w:cstheme="minorHAnsi"/>
        </w:rPr>
        <w:t>significant</w:t>
      </w:r>
      <w:r w:rsidRPr="00C917E1">
        <w:rPr>
          <w:rFonts w:asciiTheme="minorHAnsi" w:hAnsiTheme="minorHAnsi" w:cstheme="minorHAnsi"/>
        </w:rPr>
        <w:t xml:space="preserve"> economic </w:t>
      </w:r>
      <w:r w:rsidR="008D5EB4" w:rsidRPr="00C917E1">
        <w:rPr>
          <w:rFonts w:asciiTheme="minorHAnsi" w:hAnsiTheme="minorHAnsi" w:cstheme="minorHAnsi"/>
        </w:rPr>
        <w:t>consequences</w:t>
      </w:r>
      <w:r w:rsidRPr="00C917E1">
        <w:rPr>
          <w:rFonts w:asciiTheme="minorHAnsi" w:hAnsiTheme="minorHAnsi" w:cstheme="minorHAnsi"/>
        </w:rPr>
        <w:t xml:space="preserve">, both on real activity and on the financial markets.  </w:t>
      </w:r>
      <w:r w:rsidR="00651B09" w:rsidRPr="00C917E1">
        <w:rPr>
          <w:rFonts w:asciiTheme="minorHAnsi" w:hAnsiTheme="minorHAnsi" w:cstheme="minorHAnsi"/>
        </w:rPr>
        <w:t>Indicators of economic activity point to</w:t>
      </w:r>
      <w:r w:rsidR="00851499" w:rsidRPr="00C917E1">
        <w:rPr>
          <w:rFonts w:asciiTheme="minorHAnsi" w:hAnsiTheme="minorHAnsi" w:cstheme="minorHAnsi"/>
        </w:rPr>
        <w:t xml:space="preserve"> </w:t>
      </w:r>
      <w:r w:rsidR="0099673E" w:rsidRPr="00C917E1">
        <w:rPr>
          <w:rFonts w:asciiTheme="minorHAnsi" w:hAnsiTheme="minorHAnsi" w:cstheme="minorHAnsi"/>
        </w:rPr>
        <w:t xml:space="preserve">a </w:t>
      </w:r>
      <w:r w:rsidR="00651B09" w:rsidRPr="00C917E1">
        <w:rPr>
          <w:rFonts w:asciiTheme="minorHAnsi" w:hAnsiTheme="minorHAnsi" w:cstheme="minorHAnsi"/>
        </w:rPr>
        <w:t xml:space="preserve">gradual </w:t>
      </w:r>
      <w:r w:rsidR="002B2E6D" w:rsidRPr="00C917E1">
        <w:rPr>
          <w:rFonts w:asciiTheme="minorHAnsi" w:hAnsiTheme="minorHAnsi" w:cstheme="minorHAnsi"/>
        </w:rPr>
        <w:t>improvement</w:t>
      </w:r>
      <w:r w:rsidR="0099673E" w:rsidRPr="00C917E1">
        <w:rPr>
          <w:rFonts w:asciiTheme="minorHAnsi" w:hAnsiTheme="minorHAnsi" w:cstheme="minorHAnsi"/>
        </w:rPr>
        <w:t xml:space="preserve"> </w:t>
      </w:r>
      <w:r w:rsidR="002B2E6D" w:rsidRPr="00C917E1">
        <w:rPr>
          <w:rFonts w:asciiTheme="minorHAnsi" w:hAnsiTheme="minorHAnsi" w:cstheme="minorHAnsi"/>
        </w:rPr>
        <w:t>in</w:t>
      </w:r>
      <w:r w:rsidR="0099673E" w:rsidRPr="00C917E1">
        <w:rPr>
          <w:rFonts w:asciiTheme="minorHAnsi" w:hAnsiTheme="minorHAnsi" w:cstheme="minorHAnsi"/>
        </w:rPr>
        <w:t xml:space="preserve"> activity, following a significant contraction in business activity with the outbreak of the war</w:t>
      </w:r>
      <w:r w:rsidR="00651B09" w:rsidRPr="00C917E1">
        <w:rPr>
          <w:rFonts w:asciiTheme="minorHAnsi" w:hAnsiTheme="minorHAnsi" w:cstheme="minorHAnsi"/>
        </w:rPr>
        <w:t xml:space="preserve">.  </w:t>
      </w:r>
      <w:r w:rsidR="00797A81" w:rsidRPr="00C917E1">
        <w:rPr>
          <w:rFonts w:asciiTheme="minorHAnsi" w:hAnsiTheme="minorHAnsi" w:cstheme="minorHAnsi"/>
        </w:rPr>
        <w:t xml:space="preserve">Volatility in the markets has moderated, and the financial markets are functioning properly. </w:t>
      </w:r>
      <w:r w:rsidR="00651B09" w:rsidRPr="00C917E1">
        <w:rPr>
          <w:rFonts w:asciiTheme="minorHAnsi" w:hAnsiTheme="minorHAnsi" w:cstheme="minorHAnsi"/>
        </w:rPr>
        <w:t xml:space="preserve">There is </w:t>
      </w:r>
      <w:r w:rsidR="00851499" w:rsidRPr="00C917E1">
        <w:rPr>
          <w:rFonts w:asciiTheme="minorHAnsi" w:hAnsiTheme="minorHAnsi" w:cstheme="minorHAnsi"/>
        </w:rPr>
        <w:t>great</w:t>
      </w:r>
      <w:r w:rsidR="00651B09" w:rsidRPr="00C917E1">
        <w:rPr>
          <w:rFonts w:asciiTheme="minorHAnsi" w:hAnsiTheme="minorHAnsi" w:cstheme="minorHAnsi"/>
        </w:rPr>
        <w:t xml:space="preserve"> uncertainty with regard to the expected </w:t>
      </w:r>
      <w:r w:rsidR="00851499" w:rsidRPr="00C917E1">
        <w:rPr>
          <w:rFonts w:asciiTheme="minorHAnsi" w:hAnsiTheme="minorHAnsi" w:cstheme="minorHAnsi"/>
        </w:rPr>
        <w:t>severity</w:t>
      </w:r>
      <w:r w:rsidR="00651B09" w:rsidRPr="00C917E1">
        <w:rPr>
          <w:rFonts w:asciiTheme="minorHAnsi" w:hAnsiTheme="minorHAnsi" w:cstheme="minorHAnsi"/>
        </w:rPr>
        <w:t xml:space="preserve"> and duration of the war, which is in turn affecting the extent of the impact on activity.  </w:t>
      </w:r>
    </w:p>
    <w:p w14:paraId="5BF44305" w14:textId="77777777" w:rsidR="002B2E6D" w:rsidRPr="00C917E1" w:rsidRDefault="002B2E6D" w:rsidP="002B2E6D">
      <w:pPr>
        <w:jc w:val="both"/>
        <w:rPr>
          <w:rFonts w:asciiTheme="minorHAnsi" w:hAnsiTheme="minorHAnsi" w:cstheme="minorHAnsi"/>
        </w:rPr>
      </w:pPr>
    </w:p>
    <w:p w14:paraId="2929E55E" w14:textId="5D479702" w:rsidR="000C1D36" w:rsidRPr="00C917E1" w:rsidRDefault="00651B09" w:rsidP="006D4BE2">
      <w:pPr>
        <w:jc w:val="both"/>
        <w:rPr>
          <w:rFonts w:asciiTheme="minorHAnsi" w:hAnsiTheme="minorHAnsi" w:cstheme="minorHAnsi"/>
        </w:rPr>
      </w:pPr>
      <w:r w:rsidRPr="00C917E1">
        <w:rPr>
          <w:rFonts w:asciiTheme="minorHAnsi" w:hAnsiTheme="minorHAnsi" w:cstheme="minorHAnsi"/>
        </w:rPr>
        <w:t>T</w:t>
      </w:r>
      <w:r w:rsidR="00822F9B" w:rsidRPr="00C917E1">
        <w:rPr>
          <w:rFonts w:asciiTheme="minorHAnsi" w:hAnsiTheme="minorHAnsi" w:cstheme="minorHAnsi"/>
        </w:rPr>
        <w:t xml:space="preserve">he CPI </w:t>
      </w:r>
      <w:r w:rsidR="002B2E6D" w:rsidRPr="00C917E1">
        <w:rPr>
          <w:rFonts w:asciiTheme="minorHAnsi" w:hAnsiTheme="minorHAnsi" w:cstheme="minorHAnsi"/>
        </w:rPr>
        <w:t>remained unchanged in January, following a decline of 0.1 percent in December</w:t>
      </w:r>
      <w:r w:rsidRPr="00C917E1">
        <w:rPr>
          <w:rFonts w:asciiTheme="minorHAnsi" w:hAnsiTheme="minorHAnsi" w:cstheme="minorHAnsi"/>
        </w:rPr>
        <w:t>.</w:t>
      </w:r>
      <w:r w:rsidR="0041770E" w:rsidRPr="00C917E1">
        <w:rPr>
          <w:rFonts w:asciiTheme="minorHAnsi" w:hAnsiTheme="minorHAnsi" w:cstheme="minorHAnsi"/>
        </w:rPr>
        <w:t xml:space="preserve"> </w:t>
      </w:r>
      <w:r w:rsidR="00194663" w:rsidRPr="00C917E1">
        <w:rPr>
          <w:rFonts w:asciiTheme="minorHAnsi" w:hAnsiTheme="minorHAnsi" w:cstheme="minorHAnsi"/>
        </w:rPr>
        <w:t xml:space="preserve">Inflation in the past 12 months </w:t>
      </w:r>
      <w:r w:rsidRPr="00C917E1">
        <w:rPr>
          <w:rFonts w:asciiTheme="minorHAnsi" w:hAnsiTheme="minorHAnsi" w:cstheme="minorHAnsi"/>
        </w:rPr>
        <w:t xml:space="preserve">moderated, </w:t>
      </w:r>
      <w:r w:rsidR="002B2E6D" w:rsidRPr="00C917E1">
        <w:rPr>
          <w:rFonts w:asciiTheme="minorHAnsi" w:hAnsiTheme="minorHAnsi" w:cstheme="minorHAnsi"/>
        </w:rPr>
        <w:t xml:space="preserve">and is within </w:t>
      </w:r>
      <w:r w:rsidR="00194663" w:rsidRPr="00C917E1">
        <w:rPr>
          <w:rFonts w:asciiTheme="minorHAnsi" w:hAnsiTheme="minorHAnsi" w:cstheme="minorHAnsi"/>
        </w:rPr>
        <w:t xml:space="preserve">the target range, at </w:t>
      </w:r>
      <w:r w:rsidR="002B2E6D" w:rsidRPr="00C917E1">
        <w:rPr>
          <w:rFonts w:asciiTheme="minorHAnsi" w:hAnsiTheme="minorHAnsi" w:cstheme="minorHAnsi"/>
        </w:rPr>
        <w:t>2.6</w:t>
      </w:r>
      <w:r w:rsidR="00194663" w:rsidRPr="00C917E1">
        <w:rPr>
          <w:rFonts w:asciiTheme="minorHAnsi" w:hAnsiTheme="minorHAnsi" w:cstheme="minorHAnsi"/>
        </w:rPr>
        <w:t xml:space="preserve"> percent</w:t>
      </w:r>
      <w:r w:rsidR="006900D5" w:rsidRPr="00C917E1">
        <w:rPr>
          <w:rFonts w:asciiTheme="minorHAnsi" w:hAnsiTheme="minorHAnsi" w:cstheme="minorHAnsi"/>
        </w:rPr>
        <w:t xml:space="preserve"> </w:t>
      </w:r>
      <w:r w:rsidR="00822F9B" w:rsidRPr="00C917E1">
        <w:rPr>
          <w:rFonts w:asciiTheme="minorHAnsi" w:hAnsiTheme="minorHAnsi" w:cstheme="minorHAnsi"/>
        </w:rPr>
        <w:t>(</w:t>
      </w:r>
      <w:r w:rsidR="00822F9B" w:rsidRPr="00C917E1">
        <w:rPr>
          <w:rFonts w:asciiTheme="minorHAnsi" w:hAnsiTheme="minorHAnsi" w:cstheme="minorHAnsi"/>
          <w:b/>
          <w:bCs/>
        </w:rPr>
        <w:t>Figure 1</w:t>
      </w:r>
      <w:r w:rsidR="00822F9B" w:rsidRPr="00C917E1">
        <w:rPr>
          <w:rFonts w:asciiTheme="minorHAnsi" w:hAnsiTheme="minorHAnsi" w:cstheme="minorHAnsi"/>
        </w:rPr>
        <w:t>).</w:t>
      </w:r>
      <w:r w:rsidR="00441BDC" w:rsidRPr="00C917E1">
        <w:rPr>
          <w:rFonts w:asciiTheme="minorHAnsi" w:hAnsiTheme="minorHAnsi" w:cstheme="minorHAnsi"/>
        </w:rPr>
        <w:t xml:space="preserve"> </w:t>
      </w:r>
      <w:r w:rsidR="001D1BFB" w:rsidRPr="00C917E1">
        <w:rPr>
          <w:rFonts w:asciiTheme="minorHAnsi" w:hAnsiTheme="minorHAnsi" w:cstheme="minorHAnsi"/>
        </w:rPr>
        <w:t>N</w:t>
      </w:r>
      <w:r w:rsidR="00822F9B" w:rsidRPr="00C917E1">
        <w:rPr>
          <w:rFonts w:asciiTheme="minorHAnsi" w:hAnsiTheme="minorHAnsi" w:cstheme="minorHAnsi"/>
        </w:rPr>
        <w:t>et of energy and fruits and vegetables, inflation</w:t>
      </w:r>
      <w:r w:rsidR="00194663" w:rsidRPr="00C917E1">
        <w:rPr>
          <w:rFonts w:asciiTheme="minorHAnsi" w:hAnsiTheme="minorHAnsi" w:cstheme="minorHAnsi"/>
        </w:rPr>
        <w:t xml:space="preserve"> in the past year</w:t>
      </w:r>
      <w:r w:rsidR="00822F9B" w:rsidRPr="00C917E1">
        <w:rPr>
          <w:rFonts w:asciiTheme="minorHAnsi" w:hAnsiTheme="minorHAnsi" w:cstheme="minorHAnsi"/>
        </w:rPr>
        <w:t xml:space="preserve"> is </w:t>
      </w:r>
      <w:r w:rsidR="002B2E6D" w:rsidRPr="00C917E1">
        <w:rPr>
          <w:rFonts w:asciiTheme="minorHAnsi" w:hAnsiTheme="minorHAnsi" w:cstheme="minorHAnsi"/>
        </w:rPr>
        <w:t xml:space="preserve">2.4 </w:t>
      </w:r>
      <w:r w:rsidR="00822F9B" w:rsidRPr="00C917E1">
        <w:rPr>
          <w:rFonts w:asciiTheme="minorHAnsi" w:hAnsiTheme="minorHAnsi" w:cstheme="minorHAnsi"/>
        </w:rPr>
        <w:t>percent</w:t>
      </w:r>
      <w:r w:rsidR="008F265F" w:rsidRPr="00C917E1">
        <w:rPr>
          <w:rFonts w:asciiTheme="minorHAnsi" w:hAnsiTheme="minorHAnsi" w:cstheme="minorHAnsi"/>
        </w:rPr>
        <w:t xml:space="preserve"> </w:t>
      </w:r>
      <w:r w:rsidR="00822F9B" w:rsidRPr="00C917E1">
        <w:rPr>
          <w:rFonts w:asciiTheme="minorHAnsi" w:hAnsiTheme="minorHAnsi" w:cstheme="minorHAnsi"/>
        </w:rPr>
        <w:t>(</w:t>
      </w:r>
      <w:r w:rsidR="00822F9B" w:rsidRPr="00C917E1">
        <w:rPr>
          <w:rFonts w:asciiTheme="minorHAnsi" w:hAnsiTheme="minorHAnsi" w:cstheme="minorHAnsi"/>
          <w:b/>
          <w:bCs/>
        </w:rPr>
        <w:t xml:space="preserve">Figure </w:t>
      </w:r>
      <w:r w:rsidR="00AF7DC8" w:rsidRPr="00C917E1">
        <w:rPr>
          <w:rFonts w:asciiTheme="minorHAnsi" w:hAnsiTheme="minorHAnsi" w:cstheme="minorHAnsi"/>
          <w:b/>
          <w:bCs/>
        </w:rPr>
        <w:t>2</w:t>
      </w:r>
      <w:r w:rsidR="00822F9B" w:rsidRPr="00C917E1">
        <w:rPr>
          <w:rFonts w:asciiTheme="minorHAnsi" w:hAnsiTheme="minorHAnsi" w:cstheme="minorHAnsi"/>
        </w:rPr>
        <w:t>).</w:t>
      </w:r>
      <w:r w:rsidR="00441BDC" w:rsidRPr="00C917E1">
        <w:rPr>
          <w:rFonts w:asciiTheme="minorHAnsi" w:hAnsiTheme="minorHAnsi" w:cstheme="minorHAnsi"/>
        </w:rPr>
        <w:t xml:space="preserve"> </w:t>
      </w:r>
      <w:r w:rsidR="00247CB6" w:rsidRPr="00C917E1">
        <w:rPr>
          <w:rFonts w:asciiTheme="minorHAnsi" w:hAnsiTheme="minorHAnsi" w:cstheme="minorHAnsi"/>
        </w:rPr>
        <w:t xml:space="preserve">The annual pace of inflation of the tradable components declined to 1.4 percent. </w:t>
      </w:r>
      <w:r w:rsidR="00225374" w:rsidRPr="00C917E1">
        <w:rPr>
          <w:rFonts w:asciiTheme="minorHAnsi" w:hAnsiTheme="minorHAnsi" w:cstheme="minorHAnsi"/>
        </w:rPr>
        <w:t xml:space="preserve">The pace of </w:t>
      </w:r>
      <w:r w:rsidR="008F265F" w:rsidRPr="00C917E1">
        <w:rPr>
          <w:rFonts w:asciiTheme="minorHAnsi" w:hAnsiTheme="minorHAnsi" w:cstheme="minorHAnsi"/>
        </w:rPr>
        <w:t xml:space="preserve">annual </w:t>
      </w:r>
      <w:r w:rsidR="00225374" w:rsidRPr="00C917E1">
        <w:rPr>
          <w:rFonts w:asciiTheme="minorHAnsi" w:hAnsiTheme="minorHAnsi" w:cstheme="minorHAnsi"/>
        </w:rPr>
        <w:t>inflation of the nontradable components</w:t>
      </w:r>
      <w:r w:rsidR="00C736C1" w:rsidRPr="00C917E1">
        <w:rPr>
          <w:rFonts w:asciiTheme="minorHAnsi" w:hAnsiTheme="minorHAnsi" w:cstheme="minorHAnsi"/>
        </w:rPr>
        <w:t xml:space="preserve"> of the CPI</w:t>
      </w:r>
      <w:r w:rsidR="002919ED" w:rsidRPr="00C917E1">
        <w:rPr>
          <w:rFonts w:asciiTheme="minorHAnsi" w:hAnsiTheme="minorHAnsi" w:cstheme="minorHAnsi"/>
        </w:rPr>
        <w:t xml:space="preserve">, which mainly reflects the housing </w:t>
      </w:r>
      <w:r w:rsidR="004941E7" w:rsidRPr="00C917E1">
        <w:rPr>
          <w:rFonts w:asciiTheme="minorHAnsi" w:hAnsiTheme="minorHAnsi" w:cstheme="minorHAnsi"/>
        </w:rPr>
        <w:t xml:space="preserve">services </w:t>
      </w:r>
      <w:r w:rsidR="002919ED" w:rsidRPr="00C917E1">
        <w:rPr>
          <w:rFonts w:asciiTheme="minorHAnsi" w:hAnsiTheme="minorHAnsi" w:cstheme="minorHAnsi"/>
        </w:rPr>
        <w:t xml:space="preserve">component and </w:t>
      </w:r>
      <w:r w:rsidR="00220741" w:rsidRPr="00C917E1">
        <w:rPr>
          <w:rFonts w:asciiTheme="minorHAnsi" w:hAnsiTheme="minorHAnsi" w:cstheme="minorHAnsi"/>
        </w:rPr>
        <w:t xml:space="preserve">the </w:t>
      </w:r>
      <w:r w:rsidR="002919ED" w:rsidRPr="00C917E1">
        <w:rPr>
          <w:rFonts w:asciiTheme="minorHAnsi" w:hAnsiTheme="minorHAnsi" w:cstheme="minorHAnsi"/>
        </w:rPr>
        <w:t>services industries,</w:t>
      </w:r>
      <w:r w:rsidR="00225374" w:rsidRPr="00C917E1">
        <w:rPr>
          <w:rFonts w:asciiTheme="minorHAnsi" w:hAnsiTheme="minorHAnsi" w:cstheme="minorHAnsi"/>
        </w:rPr>
        <w:t xml:space="preserve"> </w:t>
      </w:r>
      <w:r w:rsidR="00194663" w:rsidRPr="00C917E1">
        <w:rPr>
          <w:rFonts w:asciiTheme="minorHAnsi" w:hAnsiTheme="minorHAnsi" w:cstheme="minorHAnsi"/>
        </w:rPr>
        <w:t>remained</w:t>
      </w:r>
      <w:r w:rsidR="000C1D36" w:rsidRPr="00C917E1">
        <w:rPr>
          <w:rFonts w:asciiTheme="minorHAnsi" w:hAnsiTheme="minorHAnsi" w:cstheme="minorHAnsi"/>
        </w:rPr>
        <w:t xml:space="preserve"> relatively</w:t>
      </w:r>
      <w:r w:rsidR="00194663" w:rsidRPr="00C917E1">
        <w:rPr>
          <w:rFonts w:asciiTheme="minorHAnsi" w:hAnsiTheme="minorHAnsi" w:cstheme="minorHAnsi"/>
        </w:rPr>
        <w:t xml:space="preserve"> high, at</w:t>
      </w:r>
      <w:r w:rsidR="00AD1B36" w:rsidRPr="00C917E1">
        <w:rPr>
          <w:rFonts w:asciiTheme="minorHAnsi" w:hAnsiTheme="minorHAnsi" w:cstheme="minorHAnsi"/>
        </w:rPr>
        <w:t xml:space="preserve"> </w:t>
      </w:r>
      <w:r w:rsidR="000C1D36" w:rsidRPr="00C917E1">
        <w:rPr>
          <w:rFonts w:asciiTheme="minorHAnsi" w:hAnsiTheme="minorHAnsi" w:cstheme="minorHAnsi"/>
        </w:rPr>
        <w:t>3.</w:t>
      </w:r>
      <w:r w:rsidR="002B2E6D" w:rsidRPr="00C917E1">
        <w:rPr>
          <w:rFonts w:asciiTheme="minorHAnsi" w:hAnsiTheme="minorHAnsi" w:cstheme="minorHAnsi"/>
        </w:rPr>
        <w:t>3</w:t>
      </w:r>
      <w:r w:rsidR="00B13CF3" w:rsidRPr="00C917E1">
        <w:rPr>
          <w:rFonts w:asciiTheme="minorHAnsi" w:hAnsiTheme="minorHAnsi" w:cstheme="minorHAnsi"/>
        </w:rPr>
        <w:t xml:space="preserve"> percent</w:t>
      </w:r>
      <w:r w:rsidR="00247CB6" w:rsidRPr="00C917E1">
        <w:rPr>
          <w:rFonts w:asciiTheme="minorHAnsi" w:hAnsiTheme="minorHAnsi" w:cstheme="minorHAnsi"/>
        </w:rPr>
        <w:t xml:space="preserve"> </w:t>
      </w:r>
      <w:r w:rsidR="00225374" w:rsidRPr="00C917E1">
        <w:rPr>
          <w:rFonts w:asciiTheme="minorHAnsi" w:hAnsiTheme="minorHAnsi" w:cstheme="minorHAnsi"/>
        </w:rPr>
        <w:t>(</w:t>
      </w:r>
      <w:r w:rsidR="00225374" w:rsidRPr="00C917E1">
        <w:rPr>
          <w:rFonts w:asciiTheme="minorHAnsi" w:hAnsiTheme="minorHAnsi" w:cstheme="minorHAnsi"/>
          <w:b/>
          <w:bCs/>
        </w:rPr>
        <w:t>Figure</w:t>
      </w:r>
      <w:r w:rsidR="008148A4" w:rsidRPr="00C917E1">
        <w:rPr>
          <w:rFonts w:asciiTheme="minorHAnsi" w:hAnsiTheme="minorHAnsi" w:cstheme="minorHAnsi"/>
          <w:b/>
          <w:bCs/>
        </w:rPr>
        <w:t>s 4</w:t>
      </w:r>
      <w:r w:rsidR="00225374" w:rsidRPr="00C917E1">
        <w:rPr>
          <w:rFonts w:asciiTheme="minorHAnsi" w:hAnsiTheme="minorHAnsi" w:cstheme="minorHAnsi"/>
        </w:rPr>
        <w:t>)</w:t>
      </w:r>
      <w:r w:rsidR="006900D5" w:rsidRPr="00C917E1">
        <w:rPr>
          <w:rFonts w:asciiTheme="minorHAnsi" w:hAnsiTheme="minorHAnsi" w:cstheme="minorHAnsi"/>
        </w:rPr>
        <w:t>.</w:t>
      </w:r>
      <w:r w:rsidR="000C1D36" w:rsidRPr="00C917E1">
        <w:rPr>
          <w:rFonts w:asciiTheme="minorHAnsi" w:hAnsiTheme="minorHAnsi" w:cstheme="minorHAnsi"/>
        </w:rPr>
        <w:t xml:space="preserve">  </w:t>
      </w:r>
      <w:r w:rsidR="00797A81" w:rsidRPr="00C917E1">
        <w:rPr>
          <w:rFonts w:asciiTheme="minorHAnsi" w:hAnsiTheme="minorHAnsi" w:cstheme="minorHAnsi"/>
        </w:rPr>
        <w:t xml:space="preserve">Inflation expectations from various sources </w:t>
      </w:r>
      <w:r w:rsidR="002B2E6D" w:rsidRPr="00C917E1">
        <w:rPr>
          <w:rFonts w:asciiTheme="minorHAnsi" w:hAnsiTheme="minorHAnsi" w:cstheme="minorHAnsi"/>
        </w:rPr>
        <w:t>for the coming year increased slightly, and are around the upper bound of the target range</w:t>
      </w:r>
      <w:r w:rsidR="00220741" w:rsidRPr="00C917E1">
        <w:rPr>
          <w:rFonts w:asciiTheme="minorHAnsi" w:hAnsiTheme="minorHAnsi" w:cstheme="minorHAnsi"/>
        </w:rPr>
        <w:t xml:space="preserve"> </w:t>
      </w:r>
      <w:r w:rsidR="002919ED" w:rsidRPr="00C917E1">
        <w:rPr>
          <w:rFonts w:asciiTheme="minorHAnsi" w:hAnsiTheme="minorHAnsi" w:cstheme="minorHAnsi"/>
        </w:rPr>
        <w:t>(</w:t>
      </w:r>
      <w:r w:rsidR="002919ED" w:rsidRPr="00C917E1">
        <w:rPr>
          <w:rFonts w:asciiTheme="minorHAnsi" w:hAnsiTheme="minorHAnsi" w:cstheme="minorHAnsi"/>
          <w:b/>
          <w:bCs/>
        </w:rPr>
        <w:t>Figure 6</w:t>
      </w:r>
      <w:r w:rsidR="00797A81" w:rsidRPr="00C917E1">
        <w:rPr>
          <w:rFonts w:asciiTheme="minorHAnsi" w:hAnsiTheme="minorHAnsi" w:cstheme="minorHAnsi"/>
        </w:rPr>
        <w:t>)</w:t>
      </w:r>
      <w:r w:rsidR="002B2E6D" w:rsidRPr="00C917E1">
        <w:rPr>
          <w:rFonts w:asciiTheme="minorHAnsi" w:hAnsiTheme="minorHAnsi" w:cstheme="minorHAnsi"/>
        </w:rPr>
        <w:t>.</w:t>
      </w:r>
      <w:r w:rsidR="00797A81" w:rsidRPr="00C917E1">
        <w:rPr>
          <w:rFonts w:asciiTheme="minorHAnsi" w:hAnsiTheme="minorHAnsi" w:cstheme="minorHAnsi"/>
        </w:rPr>
        <w:t xml:space="preserve"> </w:t>
      </w:r>
      <w:r w:rsidR="002B2E6D" w:rsidRPr="00C917E1">
        <w:rPr>
          <w:rFonts w:asciiTheme="minorHAnsi" w:hAnsiTheme="minorHAnsi" w:cstheme="minorHAnsi"/>
        </w:rPr>
        <w:t>E</w:t>
      </w:r>
      <w:r w:rsidR="00BF4973" w:rsidRPr="00C917E1">
        <w:rPr>
          <w:rFonts w:asciiTheme="minorHAnsi" w:hAnsiTheme="minorHAnsi" w:cstheme="minorHAnsi"/>
        </w:rPr>
        <w:t xml:space="preserve">xpectations for the second year and onward </w:t>
      </w:r>
      <w:r w:rsidR="002B2E6D" w:rsidRPr="00C917E1">
        <w:rPr>
          <w:rFonts w:asciiTheme="minorHAnsi" w:hAnsiTheme="minorHAnsi" w:cstheme="minorHAnsi"/>
        </w:rPr>
        <w:t>are within the target range</w:t>
      </w:r>
      <w:r w:rsidR="00247CB6" w:rsidRPr="00C917E1">
        <w:rPr>
          <w:rFonts w:asciiTheme="minorHAnsi" w:hAnsiTheme="minorHAnsi" w:cstheme="minorHAnsi"/>
        </w:rPr>
        <w:t>, in its upper portion</w:t>
      </w:r>
      <w:r w:rsidR="002B2E6D" w:rsidRPr="00C917E1">
        <w:rPr>
          <w:rFonts w:asciiTheme="minorHAnsi" w:hAnsiTheme="minorHAnsi" w:cstheme="minorHAnsi"/>
        </w:rPr>
        <w:t xml:space="preserve"> </w:t>
      </w:r>
      <w:r w:rsidR="00BF4973" w:rsidRPr="00C917E1">
        <w:rPr>
          <w:rFonts w:asciiTheme="minorHAnsi" w:hAnsiTheme="minorHAnsi" w:cstheme="minorHAnsi"/>
        </w:rPr>
        <w:t>(</w:t>
      </w:r>
      <w:r w:rsidR="00BF4973" w:rsidRPr="00C917E1">
        <w:rPr>
          <w:rFonts w:asciiTheme="minorHAnsi" w:hAnsiTheme="minorHAnsi" w:cstheme="minorHAnsi"/>
          <w:b/>
          <w:bCs/>
        </w:rPr>
        <w:t>Figure 7</w:t>
      </w:r>
      <w:r w:rsidR="00BF4973" w:rsidRPr="00C917E1">
        <w:rPr>
          <w:rFonts w:asciiTheme="minorHAnsi" w:hAnsiTheme="minorHAnsi" w:cstheme="minorHAnsi"/>
        </w:rPr>
        <w:t>).</w:t>
      </w:r>
      <w:r w:rsidR="000C1D36" w:rsidRPr="00C917E1">
        <w:rPr>
          <w:rFonts w:asciiTheme="minorHAnsi" w:hAnsiTheme="minorHAnsi" w:cstheme="minorHAnsi"/>
        </w:rPr>
        <w:t xml:space="preserve">  </w:t>
      </w:r>
      <w:r w:rsidR="00247CB6" w:rsidRPr="00C917E1">
        <w:rPr>
          <w:rFonts w:asciiTheme="minorHAnsi" w:hAnsiTheme="minorHAnsi" w:cstheme="minorHAnsi"/>
        </w:rPr>
        <w:t>T</w:t>
      </w:r>
      <w:r w:rsidR="002B2E6D" w:rsidRPr="00C917E1">
        <w:rPr>
          <w:rFonts w:asciiTheme="minorHAnsi" w:hAnsiTheme="minorHAnsi" w:cstheme="minorHAnsi"/>
        </w:rPr>
        <w:t xml:space="preserve">he Committee’s assessment is that </w:t>
      </w:r>
      <w:r w:rsidR="00946D2C" w:rsidRPr="00C917E1">
        <w:rPr>
          <w:rFonts w:asciiTheme="minorHAnsi" w:hAnsiTheme="minorHAnsi" w:cstheme="minorHAnsi"/>
        </w:rPr>
        <w:t xml:space="preserve">there </w:t>
      </w:r>
      <w:r w:rsidR="000C1D36" w:rsidRPr="00C917E1">
        <w:rPr>
          <w:rFonts w:asciiTheme="minorHAnsi" w:hAnsiTheme="minorHAnsi" w:cstheme="minorHAnsi"/>
        </w:rPr>
        <w:t xml:space="preserve">are still a number of risks of a potential acceleration in inflation: the effects of the war and its progress on economic activity, </w:t>
      </w:r>
      <w:r w:rsidR="002B2E6D" w:rsidRPr="00C917E1">
        <w:rPr>
          <w:rFonts w:asciiTheme="minorHAnsi" w:hAnsiTheme="minorHAnsi" w:cstheme="minorHAnsi"/>
        </w:rPr>
        <w:t xml:space="preserve">the constraints on activity in the construction industry, </w:t>
      </w:r>
      <w:r w:rsidR="000C1D36" w:rsidRPr="00C917E1">
        <w:rPr>
          <w:rFonts w:asciiTheme="minorHAnsi" w:hAnsiTheme="minorHAnsi" w:cstheme="minorHAnsi"/>
        </w:rPr>
        <w:t>a depreciation of the shekel, and fiscal behavior.</w:t>
      </w:r>
    </w:p>
    <w:p w14:paraId="6A4A866E" w14:textId="48140A18" w:rsidR="00ED3EA8" w:rsidRPr="00C917E1" w:rsidRDefault="00ED3EA8" w:rsidP="00ED3EA8">
      <w:pPr>
        <w:jc w:val="both"/>
        <w:rPr>
          <w:rFonts w:asciiTheme="minorHAnsi" w:hAnsiTheme="minorHAnsi" w:cstheme="minorHAnsi"/>
        </w:rPr>
      </w:pPr>
    </w:p>
    <w:p w14:paraId="43D41648" w14:textId="60FE8F4D" w:rsidR="00ED3EA8" w:rsidRPr="00C917E1" w:rsidRDefault="00ED3EA8" w:rsidP="002B2E6D">
      <w:pPr>
        <w:jc w:val="both"/>
        <w:rPr>
          <w:rFonts w:asciiTheme="minorHAnsi" w:hAnsiTheme="minorHAnsi" w:cstheme="minorHAnsi"/>
        </w:rPr>
      </w:pPr>
      <w:r w:rsidRPr="00C917E1">
        <w:rPr>
          <w:rFonts w:asciiTheme="minorHAnsi" w:hAnsiTheme="minorHAnsi" w:cstheme="minorHAnsi"/>
        </w:rPr>
        <w:t xml:space="preserve">Since the previous interest rate decision, the shekel </w:t>
      </w:r>
      <w:r w:rsidR="002B2E6D" w:rsidRPr="00C917E1">
        <w:rPr>
          <w:rFonts w:asciiTheme="minorHAnsi" w:hAnsiTheme="minorHAnsi" w:cstheme="minorHAnsi"/>
        </w:rPr>
        <w:t>weakened</w:t>
      </w:r>
      <w:r w:rsidRPr="00C917E1">
        <w:rPr>
          <w:rFonts w:asciiTheme="minorHAnsi" w:hAnsiTheme="minorHAnsi" w:cstheme="minorHAnsi"/>
        </w:rPr>
        <w:t xml:space="preserve"> by </w:t>
      </w:r>
      <w:r w:rsidR="002B2E6D" w:rsidRPr="00C917E1">
        <w:rPr>
          <w:rFonts w:asciiTheme="minorHAnsi" w:hAnsiTheme="minorHAnsi" w:cstheme="minorHAnsi"/>
        </w:rPr>
        <w:t>about 0.25</w:t>
      </w:r>
      <w:r w:rsidRPr="00C917E1">
        <w:rPr>
          <w:rFonts w:asciiTheme="minorHAnsi" w:hAnsiTheme="minorHAnsi" w:cstheme="minorHAnsi"/>
        </w:rPr>
        <w:t xml:space="preserve"> percent against the US dollar,</w:t>
      </w:r>
      <w:r w:rsidR="002B2E6D" w:rsidRPr="00C917E1">
        <w:rPr>
          <w:rFonts w:asciiTheme="minorHAnsi" w:hAnsiTheme="minorHAnsi" w:cstheme="minorHAnsi"/>
        </w:rPr>
        <w:t xml:space="preserve"> with a high level of volatility, and strengthened</w:t>
      </w:r>
      <w:r w:rsidRPr="00C917E1">
        <w:rPr>
          <w:rFonts w:asciiTheme="minorHAnsi" w:hAnsiTheme="minorHAnsi" w:cstheme="minorHAnsi"/>
        </w:rPr>
        <w:t xml:space="preserve"> by </w:t>
      </w:r>
      <w:r w:rsidR="000C1D36" w:rsidRPr="00C917E1">
        <w:rPr>
          <w:rFonts w:asciiTheme="minorHAnsi" w:hAnsiTheme="minorHAnsi" w:cstheme="minorHAnsi"/>
        </w:rPr>
        <w:t>1.</w:t>
      </w:r>
      <w:r w:rsidR="002B2E6D" w:rsidRPr="00C917E1">
        <w:rPr>
          <w:rFonts w:asciiTheme="minorHAnsi" w:hAnsiTheme="minorHAnsi" w:cstheme="minorHAnsi"/>
        </w:rPr>
        <w:t>9</w:t>
      </w:r>
      <w:r w:rsidRPr="00C917E1">
        <w:rPr>
          <w:rFonts w:asciiTheme="minorHAnsi" w:hAnsiTheme="minorHAnsi" w:cstheme="minorHAnsi"/>
        </w:rPr>
        <w:t xml:space="preserve"> percent against the euro and by </w:t>
      </w:r>
      <w:r w:rsidR="002B2E6D" w:rsidRPr="00C917E1">
        <w:rPr>
          <w:rFonts w:asciiTheme="minorHAnsi" w:hAnsiTheme="minorHAnsi" w:cstheme="minorHAnsi"/>
        </w:rPr>
        <w:t>1.4</w:t>
      </w:r>
      <w:r w:rsidRPr="00C917E1">
        <w:rPr>
          <w:rFonts w:asciiTheme="minorHAnsi" w:hAnsiTheme="minorHAnsi" w:cstheme="minorHAnsi"/>
        </w:rPr>
        <w:t xml:space="preserve"> percent in terms of the nominal effective exchange rate (</w:t>
      </w:r>
      <w:r w:rsidRPr="00C917E1">
        <w:rPr>
          <w:rFonts w:asciiTheme="minorHAnsi" w:hAnsiTheme="minorHAnsi" w:cstheme="minorHAnsi"/>
          <w:b/>
          <w:bCs/>
        </w:rPr>
        <w:t>Figure 8</w:t>
      </w:r>
      <w:r w:rsidRPr="00C917E1">
        <w:rPr>
          <w:rFonts w:asciiTheme="minorHAnsi" w:hAnsiTheme="minorHAnsi" w:cstheme="minorHAnsi"/>
        </w:rPr>
        <w:t xml:space="preserve">). </w:t>
      </w:r>
    </w:p>
    <w:p w14:paraId="4B198F0E" w14:textId="77777777" w:rsidR="00ED3EA8" w:rsidRPr="00C917E1" w:rsidRDefault="00ED3EA8" w:rsidP="00ED3EA8">
      <w:pPr>
        <w:jc w:val="both"/>
        <w:rPr>
          <w:rFonts w:asciiTheme="minorHAnsi" w:hAnsiTheme="minorHAnsi" w:cstheme="minorHAnsi"/>
          <w:rtl/>
        </w:rPr>
      </w:pPr>
    </w:p>
    <w:p w14:paraId="14195CAB" w14:textId="6B62FFD6" w:rsidR="00311F59" w:rsidRPr="00C917E1" w:rsidRDefault="00311F59" w:rsidP="00311F59">
      <w:pPr>
        <w:jc w:val="both"/>
        <w:rPr>
          <w:rFonts w:asciiTheme="minorHAnsi" w:hAnsiTheme="minorHAnsi" w:cstheme="minorHAnsi"/>
        </w:rPr>
      </w:pPr>
      <w:r w:rsidRPr="00C917E1">
        <w:rPr>
          <w:rFonts w:asciiTheme="minorHAnsi" w:hAnsiTheme="minorHAnsi" w:cstheme="minorHAnsi"/>
        </w:rPr>
        <w:t>National Accounts data published by the Central Bureau of Statistics show that GDP contracted by 5.2 percent in the fourth quarter of 2023, relative to the third quarter, due to the effects of the war (seasonally adjusted), and that for the year as a whole, GDP grew by 2 percent.  The contraction of GDP in the fourth quarter was in line with forecast assessments by the Bank of Israel Research Department published at the beginning of January 2024.  The decline in GDP partly reflects sharp declines in construction activity and in private consumption, while public consumption increased in view of the war.</w:t>
      </w:r>
    </w:p>
    <w:p w14:paraId="50284EBD" w14:textId="77777777" w:rsidR="00311F59" w:rsidRPr="00C917E1" w:rsidRDefault="00311F59" w:rsidP="004A1D7D">
      <w:pPr>
        <w:jc w:val="both"/>
        <w:rPr>
          <w:rFonts w:asciiTheme="minorHAnsi" w:hAnsiTheme="minorHAnsi" w:cstheme="minorHAnsi"/>
        </w:rPr>
      </w:pPr>
    </w:p>
    <w:p w14:paraId="4407CF98" w14:textId="64F5E0A4" w:rsidR="00311F59" w:rsidRPr="00C917E1" w:rsidRDefault="00D57BF2" w:rsidP="006D4BE2">
      <w:pPr>
        <w:jc w:val="both"/>
        <w:rPr>
          <w:rFonts w:asciiTheme="minorHAnsi" w:hAnsiTheme="minorHAnsi" w:cstheme="minorHAnsi"/>
        </w:rPr>
      </w:pPr>
      <w:r w:rsidRPr="00C917E1">
        <w:rPr>
          <w:rFonts w:asciiTheme="minorHAnsi" w:hAnsiTheme="minorHAnsi" w:cstheme="minorHAnsi"/>
        </w:rPr>
        <w:t xml:space="preserve">Indicators of economic activity and the state of employment point to a gradual recovery following the sharp decline that took place with the outbreak of the war, but there is variance between industries.  </w:t>
      </w:r>
      <w:r w:rsidR="00311F59" w:rsidRPr="00C917E1">
        <w:rPr>
          <w:rFonts w:asciiTheme="minorHAnsi" w:hAnsiTheme="minorHAnsi" w:cstheme="minorHAnsi"/>
        </w:rPr>
        <w:t xml:space="preserve">The level of activity as measured on the basis of rapid indicators is lower than what it was prior to the war.  </w:t>
      </w:r>
      <w:r w:rsidR="00E16439" w:rsidRPr="00C917E1">
        <w:rPr>
          <w:rFonts w:asciiTheme="minorHAnsi" w:hAnsiTheme="minorHAnsi" w:cstheme="minorHAnsi"/>
        </w:rPr>
        <w:t xml:space="preserve">The aggregate </w:t>
      </w:r>
      <w:r w:rsidR="008278C6" w:rsidRPr="00C917E1">
        <w:rPr>
          <w:rFonts w:asciiTheme="minorHAnsi" w:hAnsiTheme="minorHAnsi" w:cstheme="minorHAnsi"/>
        </w:rPr>
        <w:t xml:space="preserve">balance of the Central Bureau of Statistics Business Tendency Survey </w:t>
      </w:r>
      <w:r w:rsidR="0052048D" w:rsidRPr="00C917E1">
        <w:rPr>
          <w:rFonts w:asciiTheme="minorHAnsi" w:hAnsiTheme="minorHAnsi" w:cstheme="minorHAnsi"/>
        </w:rPr>
        <w:t xml:space="preserve">for </w:t>
      </w:r>
      <w:r w:rsidR="00311F59" w:rsidRPr="00C917E1">
        <w:rPr>
          <w:rFonts w:asciiTheme="minorHAnsi" w:hAnsiTheme="minorHAnsi" w:cstheme="minorHAnsi"/>
        </w:rPr>
        <w:t>January</w:t>
      </w:r>
      <w:r w:rsidR="0052048D" w:rsidRPr="00C917E1">
        <w:rPr>
          <w:rFonts w:asciiTheme="minorHAnsi" w:hAnsiTheme="minorHAnsi" w:cstheme="minorHAnsi"/>
        </w:rPr>
        <w:t xml:space="preserve"> </w:t>
      </w:r>
      <w:r w:rsidR="00311F59" w:rsidRPr="00C917E1">
        <w:rPr>
          <w:rFonts w:asciiTheme="minorHAnsi" w:hAnsiTheme="minorHAnsi" w:cstheme="minorHAnsi"/>
        </w:rPr>
        <w:t>continued to indicate recovery</w:t>
      </w:r>
      <w:r w:rsidR="0052048D" w:rsidRPr="00C917E1">
        <w:rPr>
          <w:rFonts w:asciiTheme="minorHAnsi" w:hAnsiTheme="minorHAnsi" w:cstheme="minorHAnsi"/>
        </w:rPr>
        <w:t xml:space="preserve">, and </w:t>
      </w:r>
      <w:r w:rsidR="00311F59" w:rsidRPr="00C917E1">
        <w:rPr>
          <w:rFonts w:asciiTheme="minorHAnsi" w:hAnsiTheme="minorHAnsi" w:cstheme="minorHAnsi"/>
        </w:rPr>
        <w:t>while</w:t>
      </w:r>
      <w:r w:rsidR="0052048D" w:rsidRPr="00C917E1">
        <w:rPr>
          <w:rFonts w:asciiTheme="minorHAnsi" w:hAnsiTheme="minorHAnsi" w:cstheme="minorHAnsi"/>
        </w:rPr>
        <w:t xml:space="preserve"> </w:t>
      </w:r>
      <w:r w:rsidR="008278C6" w:rsidRPr="00C917E1">
        <w:rPr>
          <w:rFonts w:asciiTheme="minorHAnsi" w:hAnsiTheme="minorHAnsi" w:cstheme="minorHAnsi"/>
        </w:rPr>
        <w:t xml:space="preserve">businesses’ assessments of their </w:t>
      </w:r>
      <w:r w:rsidR="003D0C09" w:rsidRPr="00C917E1">
        <w:rPr>
          <w:rFonts w:asciiTheme="minorHAnsi" w:hAnsiTheme="minorHAnsi" w:cstheme="minorHAnsi"/>
        </w:rPr>
        <w:lastRenderedPageBreak/>
        <w:t>situation</w:t>
      </w:r>
      <w:r w:rsidR="00311F59" w:rsidRPr="00C917E1">
        <w:rPr>
          <w:rFonts w:asciiTheme="minorHAnsi" w:hAnsiTheme="minorHAnsi" w:cstheme="minorHAnsi"/>
        </w:rPr>
        <w:t xml:space="preserve"> returned to positive outlooks, they are lower than they were prior to the war (</w:t>
      </w:r>
      <w:r w:rsidR="006D4BE2" w:rsidRPr="00C917E1">
        <w:rPr>
          <w:rFonts w:asciiTheme="minorHAnsi" w:hAnsiTheme="minorHAnsi" w:cstheme="minorHAnsi"/>
          <w:b/>
          <w:bCs/>
        </w:rPr>
        <w:t>Figure 17</w:t>
      </w:r>
      <w:r w:rsidR="00311F59" w:rsidRPr="00C917E1">
        <w:rPr>
          <w:rFonts w:asciiTheme="minorHAnsi" w:hAnsiTheme="minorHAnsi" w:cstheme="minorHAnsi"/>
        </w:rPr>
        <w:t>)</w:t>
      </w:r>
      <w:r w:rsidR="008278C6" w:rsidRPr="00C917E1">
        <w:rPr>
          <w:rFonts w:asciiTheme="minorHAnsi" w:hAnsiTheme="minorHAnsi" w:cstheme="minorHAnsi"/>
        </w:rPr>
        <w:t>.</w:t>
      </w:r>
    </w:p>
    <w:p w14:paraId="6208BC08" w14:textId="77777777" w:rsidR="00311F59" w:rsidRPr="00C917E1" w:rsidRDefault="00311F59" w:rsidP="00311F59">
      <w:pPr>
        <w:jc w:val="both"/>
        <w:rPr>
          <w:rFonts w:asciiTheme="minorHAnsi" w:hAnsiTheme="minorHAnsi" w:cstheme="minorHAnsi"/>
        </w:rPr>
      </w:pPr>
    </w:p>
    <w:p w14:paraId="44DD4561" w14:textId="3D888FC8" w:rsidR="00311F59" w:rsidRPr="00C917E1" w:rsidRDefault="00311F59" w:rsidP="005E14FE">
      <w:pPr>
        <w:jc w:val="both"/>
        <w:rPr>
          <w:rFonts w:asciiTheme="minorHAnsi" w:hAnsiTheme="minorHAnsi" w:cstheme="minorHAnsi"/>
        </w:rPr>
      </w:pPr>
      <w:r w:rsidRPr="00C917E1">
        <w:rPr>
          <w:rFonts w:asciiTheme="minorHAnsi" w:hAnsiTheme="minorHAnsi" w:cstheme="minorHAnsi"/>
        </w:rPr>
        <w:t xml:space="preserve">An analysis of the constraints on industry activity as reported in the </w:t>
      </w:r>
      <w:r w:rsidR="00247CB6" w:rsidRPr="00C917E1">
        <w:rPr>
          <w:rFonts w:asciiTheme="minorHAnsi" w:hAnsiTheme="minorHAnsi" w:cstheme="minorHAnsi"/>
        </w:rPr>
        <w:t xml:space="preserve">Central Bureau of Statistics </w:t>
      </w:r>
      <w:r w:rsidRPr="00C917E1">
        <w:rPr>
          <w:rFonts w:asciiTheme="minorHAnsi" w:hAnsiTheme="minorHAnsi" w:cstheme="minorHAnsi"/>
        </w:rPr>
        <w:t xml:space="preserve">Business Tendency Survey shows that the seriousness of the constraints on the demand side is moderating, after </w:t>
      </w:r>
      <w:r w:rsidR="005E14FE" w:rsidRPr="00C917E1">
        <w:rPr>
          <w:rFonts w:asciiTheme="minorHAnsi" w:hAnsiTheme="minorHAnsi" w:cstheme="minorHAnsi"/>
        </w:rPr>
        <w:t>increasing</w:t>
      </w:r>
      <w:r w:rsidRPr="00C917E1">
        <w:rPr>
          <w:rFonts w:asciiTheme="minorHAnsi" w:hAnsiTheme="minorHAnsi" w:cstheme="minorHAnsi"/>
        </w:rPr>
        <w:t xml:space="preserve"> with the outbreak of the war.  In contrast, there is no marked improvement in the constraints on the supply side.  The rate of companies reporting a moderate or serious constraint in the volume of orders in the manufacturing and services industries moderated, mainly with regard to orders for the domestic market.  However, the rate of companies in the construction and manufacturing industries that reported a moderate or serious constraint in equipment and raw materials increased in October, and remained high in </w:t>
      </w:r>
      <w:r w:rsidR="0052048D" w:rsidRPr="00C917E1">
        <w:rPr>
          <w:rFonts w:asciiTheme="minorHAnsi" w:hAnsiTheme="minorHAnsi" w:cstheme="minorHAnsi"/>
        </w:rPr>
        <w:t>November</w:t>
      </w:r>
      <w:r w:rsidR="00D843F1" w:rsidRPr="00C917E1">
        <w:rPr>
          <w:rFonts w:asciiTheme="minorHAnsi" w:hAnsiTheme="minorHAnsi" w:cstheme="minorHAnsi"/>
        </w:rPr>
        <w:t xml:space="preserve"> and December</w:t>
      </w:r>
      <w:r w:rsidRPr="00C917E1">
        <w:rPr>
          <w:rFonts w:asciiTheme="minorHAnsi" w:hAnsiTheme="minorHAnsi" w:cstheme="minorHAnsi"/>
        </w:rPr>
        <w:t>.  A shortage of workers was reported as a significant constraint mainly in the construction industry.</w:t>
      </w:r>
    </w:p>
    <w:p w14:paraId="5D8308DA" w14:textId="77777777" w:rsidR="00311F59" w:rsidRPr="00C917E1" w:rsidRDefault="00311F59" w:rsidP="00311F59">
      <w:pPr>
        <w:jc w:val="both"/>
        <w:rPr>
          <w:rFonts w:asciiTheme="minorHAnsi" w:hAnsiTheme="minorHAnsi" w:cstheme="minorHAnsi"/>
        </w:rPr>
      </w:pPr>
    </w:p>
    <w:p w14:paraId="328130AE" w14:textId="309C20F9" w:rsidR="004F3A38" w:rsidRPr="00C917E1" w:rsidRDefault="004B45B9" w:rsidP="006D4BE2">
      <w:pPr>
        <w:jc w:val="both"/>
        <w:rPr>
          <w:rFonts w:asciiTheme="minorHAnsi" w:hAnsiTheme="minorHAnsi" w:cstheme="minorHAnsi"/>
        </w:rPr>
      </w:pPr>
      <w:r w:rsidRPr="00C917E1">
        <w:rPr>
          <w:rFonts w:asciiTheme="minorHAnsi" w:hAnsiTheme="minorHAnsi" w:cstheme="minorHAnsi"/>
        </w:rPr>
        <w:t>T</w:t>
      </w:r>
      <w:r w:rsidR="00D843F1" w:rsidRPr="00C917E1">
        <w:rPr>
          <w:rFonts w:asciiTheme="minorHAnsi" w:hAnsiTheme="minorHAnsi" w:cstheme="minorHAnsi"/>
        </w:rPr>
        <w:t>he recovery in the volume of credit card transactions</w:t>
      </w:r>
      <w:r w:rsidRPr="00C917E1">
        <w:rPr>
          <w:rFonts w:asciiTheme="minorHAnsi" w:hAnsiTheme="minorHAnsi" w:cstheme="minorHAnsi"/>
        </w:rPr>
        <w:t xml:space="preserve"> continued in February</w:t>
      </w:r>
      <w:r w:rsidR="00D843F1" w:rsidRPr="00C917E1">
        <w:rPr>
          <w:rFonts w:asciiTheme="minorHAnsi" w:hAnsiTheme="minorHAnsi" w:cstheme="minorHAnsi"/>
        </w:rPr>
        <w:t xml:space="preserve">, </w:t>
      </w:r>
      <w:r w:rsidRPr="00C917E1">
        <w:rPr>
          <w:rFonts w:asciiTheme="minorHAnsi" w:hAnsiTheme="minorHAnsi" w:cstheme="minorHAnsi"/>
        </w:rPr>
        <w:t>and</w:t>
      </w:r>
      <w:r w:rsidR="00D843F1" w:rsidRPr="00C917E1">
        <w:rPr>
          <w:rFonts w:asciiTheme="minorHAnsi" w:hAnsiTheme="minorHAnsi" w:cstheme="minorHAnsi"/>
        </w:rPr>
        <w:t xml:space="preserve"> total purchases </w:t>
      </w:r>
      <w:r w:rsidRPr="00C917E1">
        <w:rPr>
          <w:rFonts w:asciiTheme="minorHAnsi" w:hAnsiTheme="minorHAnsi" w:cstheme="minorHAnsi"/>
        </w:rPr>
        <w:t>even slightly exceeded the 2023 prewar average.</w:t>
      </w:r>
      <w:r w:rsidR="00D843F1" w:rsidRPr="00C917E1">
        <w:rPr>
          <w:rFonts w:asciiTheme="minorHAnsi" w:hAnsiTheme="minorHAnsi" w:cstheme="minorHAnsi"/>
        </w:rPr>
        <w:t xml:space="preserve"> </w:t>
      </w:r>
      <w:r w:rsidRPr="00C917E1">
        <w:rPr>
          <w:rFonts w:asciiTheme="minorHAnsi" w:hAnsiTheme="minorHAnsi" w:cstheme="minorHAnsi"/>
        </w:rPr>
        <w:t>However,</w:t>
      </w:r>
      <w:r w:rsidR="00D843F1" w:rsidRPr="00C917E1">
        <w:rPr>
          <w:rFonts w:asciiTheme="minorHAnsi" w:hAnsiTheme="minorHAnsi" w:cstheme="minorHAnsi"/>
        </w:rPr>
        <w:t xml:space="preserve"> there is variance between industries.  </w:t>
      </w:r>
      <w:r w:rsidRPr="00C917E1">
        <w:rPr>
          <w:rFonts w:asciiTheme="minorHAnsi" w:hAnsiTheme="minorHAnsi" w:cstheme="minorHAnsi"/>
        </w:rPr>
        <w:t xml:space="preserve">The Composite State of the Economy Index for January increased by 0.3 percent, further reflecting the gradual recovery of the economy.  </w:t>
      </w:r>
      <w:r w:rsidR="00247CB6" w:rsidRPr="00C917E1">
        <w:rPr>
          <w:rFonts w:asciiTheme="minorHAnsi" w:hAnsiTheme="minorHAnsi" w:cstheme="minorHAnsi"/>
        </w:rPr>
        <w:t>Following a decline in maritime traffic to Israel at the start of the war, there has been some recovery (</w:t>
      </w:r>
      <w:r w:rsidR="00247CB6" w:rsidRPr="00C917E1">
        <w:rPr>
          <w:rFonts w:asciiTheme="minorHAnsi" w:hAnsiTheme="minorHAnsi" w:cstheme="minorHAnsi"/>
          <w:b/>
          <w:bCs/>
        </w:rPr>
        <w:t xml:space="preserve">Figure </w:t>
      </w:r>
      <w:r w:rsidR="006D4BE2" w:rsidRPr="00C917E1">
        <w:rPr>
          <w:rFonts w:asciiTheme="minorHAnsi" w:hAnsiTheme="minorHAnsi" w:cstheme="minorHAnsi"/>
          <w:b/>
          <w:bCs/>
        </w:rPr>
        <w:t>23</w:t>
      </w:r>
      <w:r w:rsidR="00247CB6" w:rsidRPr="00C917E1">
        <w:rPr>
          <w:rFonts w:asciiTheme="minorHAnsi" w:hAnsiTheme="minorHAnsi" w:cstheme="minorHAnsi"/>
        </w:rPr>
        <w:t>).</w:t>
      </w:r>
      <w:r w:rsidRPr="00C917E1">
        <w:rPr>
          <w:rFonts w:asciiTheme="minorHAnsi" w:hAnsiTheme="minorHAnsi" w:cstheme="minorHAnsi"/>
        </w:rPr>
        <w:t xml:space="preserve">  </w:t>
      </w:r>
      <w:r w:rsidR="00247CB6" w:rsidRPr="00C917E1">
        <w:rPr>
          <w:rFonts w:asciiTheme="minorHAnsi" w:hAnsiTheme="minorHAnsi" w:cstheme="minorHAnsi"/>
        </w:rPr>
        <w:t>G</w:t>
      </w:r>
      <w:r w:rsidRPr="00C917E1">
        <w:rPr>
          <w:rFonts w:asciiTheme="minorHAnsi" w:hAnsiTheme="minorHAnsi" w:cstheme="minorHAnsi"/>
        </w:rPr>
        <w:t xml:space="preserve">oods exports remained stable in January, after </w:t>
      </w:r>
      <w:r w:rsidR="00247CB6" w:rsidRPr="00C917E1">
        <w:rPr>
          <w:rFonts w:asciiTheme="minorHAnsi" w:hAnsiTheme="minorHAnsi" w:cstheme="minorHAnsi"/>
        </w:rPr>
        <w:t>increasing</w:t>
      </w:r>
      <w:r w:rsidRPr="00C917E1">
        <w:rPr>
          <w:rFonts w:asciiTheme="minorHAnsi" w:hAnsiTheme="minorHAnsi" w:cstheme="minorHAnsi"/>
        </w:rPr>
        <w:t xml:space="preserve"> sharply in December</w:t>
      </w:r>
      <w:r w:rsidR="00247CB6" w:rsidRPr="00C917E1">
        <w:rPr>
          <w:rFonts w:asciiTheme="minorHAnsi" w:hAnsiTheme="minorHAnsi" w:cstheme="minorHAnsi"/>
        </w:rPr>
        <w:t>,</w:t>
      </w:r>
      <w:r w:rsidRPr="00C917E1">
        <w:rPr>
          <w:rFonts w:asciiTheme="minorHAnsi" w:hAnsiTheme="minorHAnsi" w:cstheme="minorHAnsi"/>
        </w:rPr>
        <w:t xml:space="preserve"> </w:t>
      </w:r>
      <w:r w:rsidR="00247CB6" w:rsidRPr="00C917E1">
        <w:rPr>
          <w:rFonts w:asciiTheme="minorHAnsi" w:hAnsiTheme="minorHAnsi" w:cstheme="minorHAnsi"/>
        </w:rPr>
        <w:t>and</w:t>
      </w:r>
      <w:r w:rsidRPr="00C917E1">
        <w:rPr>
          <w:rFonts w:asciiTheme="minorHAnsi" w:hAnsiTheme="minorHAnsi" w:cstheme="minorHAnsi"/>
        </w:rPr>
        <w:t xml:space="preserve"> </w:t>
      </w:r>
      <w:r w:rsidR="00247CB6" w:rsidRPr="00C917E1">
        <w:rPr>
          <w:rFonts w:asciiTheme="minorHAnsi" w:hAnsiTheme="minorHAnsi" w:cstheme="minorHAnsi"/>
        </w:rPr>
        <w:t>s</w:t>
      </w:r>
      <w:r w:rsidRPr="00C917E1">
        <w:rPr>
          <w:rFonts w:asciiTheme="minorHAnsi" w:hAnsiTheme="minorHAnsi" w:cstheme="minorHAnsi"/>
        </w:rPr>
        <w:t>ervices exports declined in December (</w:t>
      </w:r>
      <w:r w:rsidRPr="00C917E1">
        <w:rPr>
          <w:rFonts w:asciiTheme="minorHAnsi" w:hAnsiTheme="minorHAnsi" w:cstheme="minorHAnsi"/>
          <w:b/>
          <w:bCs/>
        </w:rPr>
        <w:t>Figure 2</w:t>
      </w:r>
      <w:r w:rsidR="006D4BE2" w:rsidRPr="00C917E1">
        <w:rPr>
          <w:rFonts w:asciiTheme="minorHAnsi" w:hAnsiTheme="minorHAnsi" w:cstheme="minorHAnsi"/>
          <w:b/>
          <w:bCs/>
        </w:rPr>
        <w:t>5</w:t>
      </w:r>
      <w:r w:rsidRPr="00C917E1">
        <w:rPr>
          <w:rFonts w:asciiTheme="minorHAnsi" w:hAnsiTheme="minorHAnsi" w:cstheme="minorHAnsi"/>
        </w:rPr>
        <w:t xml:space="preserve">). Goods imports continued to decline in January, further to the downward trend that deepened in recent months </w:t>
      </w:r>
      <w:r w:rsidR="004F3A38" w:rsidRPr="00C917E1">
        <w:rPr>
          <w:rFonts w:asciiTheme="minorHAnsi" w:hAnsiTheme="minorHAnsi" w:cstheme="minorHAnsi"/>
        </w:rPr>
        <w:t>(</w:t>
      </w:r>
      <w:r w:rsidR="004F3A38" w:rsidRPr="00C917E1">
        <w:rPr>
          <w:rFonts w:asciiTheme="minorHAnsi" w:hAnsiTheme="minorHAnsi" w:cstheme="minorHAnsi"/>
          <w:b/>
          <w:bCs/>
        </w:rPr>
        <w:t>Figure 2</w:t>
      </w:r>
      <w:r w:rsidR="006D4BE2" w:rsidRPr="00C917E1">
        <w:rPr>
          <w:rFonts w:asciiTheme="minorHAnsi" w:hAnsiTheme="minorHAnsi" w:cstheme="minorHAnsi"/>
          <w:b/>
          <w:bCs/>
        </w:rPr>
        <w:t>6</w:t>
      </w:r>
      <w:r w:rsidR="004F3A38" w:rsidRPr="00C917E1">
        <w:rPr>
          <w:rFonts w:asciiTheme="minorHAnsi" w:hAnsiTheme="minorHAnsi" w:cstheme="minorHAnsi"/>
        </w:rPr>
        <w:t>).</w:t>
      </w:r>
      <w:r w:rsidR="0041770E" w:rsidRPr="00C917E1">
        <w:rPr>
          <w:rFonts w:asciiTheme="minorHAnsi" w:hAnsiTheme="minorHAnsi" w:cstheme="minorHAnsi"/>
        </w:rPr>
        <w:t xml:space="preserve"> </w:t>
      </w:r>
      <w:r w:rsidRPr="00C917E1">
        <w:rPr>
          <w:rFonts w:asciiTheme="minorHAnsi" w:hAnsiTheme="minorHAnsi" w:cstheme="minorHAnsi"/>
        </w:rPr>
        <w:t xml:space="preserve">The cumulative deficit in the past 12 months continued to increased, to 4.8 percent of GDP.  The budget that was approved includes a deficit forecast of about 6.6 percent of GDP, and is expected to lead to a debt to GDP ratio of about 67 percent at the end of the year. </w:t>
      </w:r>
      <w:r w:rsidR="00D843F1" w:rsidRPr="00C917E1">
        <w:rPr>
          <w:rFonts w:asciiTheme="minorHAnsi" w:hAnsiTheme="minorHAnsi" w:cstheme="minorHAnsi"/>
        </w:rPr>
        <w:t xml:space="preserve">Alongside these, tax revenue in </w:t>
      </w:r>
      <w:r w:rsidRPr="00C917E1">
        <w:rPr>
          <w:rFonts w:asciiTheme="minorHAnsi" w:hAnsiTheme="minorHAnsi" w:cstheme="minorHAnsi"/>
        </w:rPr>
        <w:t>January</w:t>
      </w:r>
      <w:r w:rsidR="00D843F1" w:rsidRPr="00C917E1">
        <w:rPr>
          <w:rFonts w:asciiTheme="minorHAnsi" w:hAnsiTheme="minorHAnsi" w:cstheme="minorHAnsi"/>
        </w:rPr>
        <w:t xml:space="preserve"> was about </w:t>
      </w:r>
      <w:r w:rsidRPr="00C917E1">
        <w:rPr>
          <w:rFonts w:asciiTheme="minorHAnsi" w:hAnsiTheme="minorHAnsi" w:cstheme="minorHAnsi"/>
        </w:rPr>
        <w:t>4</w:t>
      </w:r>
      <w:r w:rsidR="00D843F1" w:rsidRPr="00C917E1">
        <w:rPr>
          <w:rFonts w:asciiTheme="minorHAnsi" w:hAnsiTheme="minorHAnsi" w:cstheme="minorHAnsi"/>
        </w:rPr>
        <w:t xml:space="preserve"> percent lower in real terms than in the same period last year</w:t>
      </w:r>
      <w:r w:rsidRPr="00C917E1">
        <w:rPr>
          <w:rFonts w:asciiTheme="minorHAnsi" w:hAnsiTheme="minorHAnsi" w:cstheme="minorHAnsi"/>
        </w:rPr>
        <w:t>, representing some improvement over previous months</w:t>
      </w:r>
      <w:r w:rsidR="00D843F1" w:rsidRPr="00C917E1">
        <w:rPr>
          <w:rFonts w:asciiTheme="minorHAnsi" w:hAnsiTheme="minorHAnsi" w:cstheme="minorHAnsi"/>
        </w:rPr>
        <w:t>.</w:t>
      </w:r>
    </w:p>
    <w:p w14:paraId="326B07B2" w14:textId="2135648C" w:rsidR="00633738" w:rsidRPr="00C917E1" w:rsidRDefault="004F3A38" w:rsidP="004F3A38">
      <w:pPr>
        <w:jc w:val="both"/>
        <w:rPr>
          <w:rFonts w:asciiTheme="minorHAnsi" w:hAnsiTheme="minorHAnsi" w:cstheme="minorHAnsi"/>
        </w:rPr>
      </w:pPr>
      <w:r w:rsidRPr="00C917E1">
        <w:rPr>
          <w:rFonts w:asciiTheme="minorHAnsi" w:hAnsiTheme="minorHAnsi" w:cstheme="minorHAnsi"/>
        </w:rPr>
        <w:t xml:space="preserve"> </w:t>
      </w:r>
    </w:p>
    <w:p w14:paraId="38210D10" w14:textId="255832A9" w:rsidR="009665AD" w:rsidRPr="00C917E1" w:rsidRDefault="00822A08" w:rsidP="006D4BE2">
      <w:pPr>
        <w:jc w:val="both"/>
        <w:rPr>
          <w:rFonts w:asciiTheme="minorHAnsi" w:hAnsiTheme="minorHAnsi" w:cstheme="minorHAnsi"/>
        </w:rPr>
      </w:pPr>
      <w:r w:rsidRPr="00C917E1">
        <w:rPr>
          <w:rFonts w:asciiTheme="minorHAnsi" w:hAnsiTheme="minorHAnsi" w:cstheme="minorHAnsi"/>
        </w:rPr>
        <w:t xml:space="preserve">The labor market </w:t>
      </w:r>
      <w:r w:rsidR="004B45B9" w:rsidRPr="00C917E1">
        <w:rPr>
          <w:rFonts w:asciiTheme="minorHAnsi" w:hAnsiTheme="minorHAnsi" w:cstheme="minorHAnsi"/>
        </w:rPr>
        <w:t>continued to recover in view of the increase in demand for workers and stability in the labor supply. T</w:t>
      </w:r>
      <w:r w:rsidR="0052048D" w:rsidRPr="00C917E1">
        <w:rPr>
          <w:rFonts w:asciiTheme="minorHAnsi" w:hAnsiTheme="minorHAnsi" w:cstheme="minorHAnsi"/>
        </w:rPr>
        <w:t xml:space="preserve">he broad </w:t>
      </w:r>
      <w:r w:rsidR="00514240" w:rsidRPr="00C917E1">
        <w:rPr>
          <w:rFonts w:asciiTheme="minorHAnsi" w:hAnsiTheme="minorHAnsi" w:cstheme="minorHAnsi"/>
        </w:rPr>
        <w:t>unemployment rate</w:t>
      </w:r>
      <w:r w:rsidR="00D843F1" w:rsidRPr="00C917E1">
        <w:rPr>
          <w:rStyle w:val="af2"/>
          <w:rFonts w:asciiTheme="minorHAnsi" w:hAnsiTheme="minorHAnsi" w:cstheme="minorHAnsi"/>
        </w:rPr>
        <w:footnoteReference w:id="1"/>
      </w:r>
      <w:r w:rsidR="0052048D" w:rsidRPr="00C917E1">
        <w:rPr>
          <w:rFonts w:asciiTheme="minorHAnsi" w:hAnsiTheme="minorHAnsi" w:cstheme="minorHAnsi"/>
        </w:rPr>
        <w:t xml:space="preserve"> </w:t>
      </w:r>
      <w:r w:rsidR="004B45B9" w:rsidRPr="00C917E1">
        <w:rPr>
          <w:rFonts w:asciiTheme="minorHAnsi" w:hAnsiTheme="minorHAnsi" w:cstheme="minorHAnsi"/>
        </w:rPr>
        <w:t>continued to moderate in January, to 4.8 percent compared with 6.1 percent in December</w:t>
      </w:r>
      <w:r w:rsidR="00D843F1" w:rsidRPr="00C917E1">
        <w:rPr>
          <w:rFonts w:asciiTheme="minorHAnsi" w:hAnsiTheme="minorHAnsi" w:cstheme="minorHAnsi"/>
        </w:rPr>
        <w:t>.</w:t>
      </w:r>
      <w:r w:rsidR="004B45B9" w:rsidRPr="00C917E1">
        <w:rPr>
          <w:rFonts w:asciiTheme="minorHAnsi" w:hAnsiTheme="minorHAnsi" w:cstheme="minorHAnsi"/>
        </w:rPr>
        <w:t xml:space="preserve">  The decline is mainly due to a decline in the number of employees temporarily absent for economic reasons.</w:t>
      </w:r>
      <w:r w:rsidR="00A05A01" w:rsidRPr="00C917E1">
        <w:rPr>
          <w:rFonts w:asciiTheme="minorHAnsi" w:hAnsiTheme="minorHAnsi" w:cstheme="minorHAnsi"/>
        </w:rPr>
        <w:t xml:space="preserve">  The rate of employees absent from their jobs for noneconomic reasons also moderated, and now reflects almost solely those performing reserve duty, after most workers who were absent for other reasons </w:t>
      </w:r>
      <w:r w:rsidR="005E14FE" w:rsidRPr="00C917E1">
        <w:rPr>
          <w:rFonts w:asciiTheme="minorHAnsi" w:hAnsiTheme="minorHAnsi" w:cstheme="minorHAnsi"/>
        </w:rPr>
        <w:t xml:space="preserve">(such as school closures) </w:t>
      </w:r>
      <w:r w:rsidR="00A05A01" w:rsidRPr="00C917E1">
        <w:rPr>
          <w:rFonts w:asciiTheme="minorHAnsi" w:hAnsiTheme="minorHAnsi" w:cstheme="minorHAnsi"/>
        </w:rPr>
        <w:t>returned to work in November.</w:t>
      </w:r>
      <w:r w:rsidR="00D843F1" w:rsidRPr="00C917E1">
        <w:rPr>
          <w:rFonts w:asciiTheme="minorHAnsi" w:hAnsiTheme="minorHAnsi" w:cstheme="minorHAnsi"/>
        </w:rPr>
        <w:t xml:space="preserve"> </w:t>
      </w:r>
      <w:r w:rsidR="00A05A01" w:rsidRPr="00C917E1">
        <w:rPr>
          <w:rFonts w:asciiTheme="minorHAnsi" w:hAnsiTheme="minorHAnsi" w:cstheme="minorHAnsi"/>
        </w:rPr>
        <w:t>Labor input (t</w:t>
      </w:r>
      <w:r w:rsidR="00D843F1" w:rsidRPr="00C917E1">
        <w:rPr>
          <w:rFonts w:asciiTheme="minorHAnsi" w:hAnsiTheme="minorHAnsi" w:cstheme="minorHAnsi"/>
        </w:rPr>
        <w:t>he total number of work hours in the economy</w:t>
      </w:r>
      <w:r w:rsidR="00A05A01" w:rsidRPr="00C917E1">
        <w:rPr>
          <w:rFonts w:asciiTheme="minorHAnsi" w:hAnsiTheme="minorHAnsi" w:cstheme="minorHAnsi"/>
        </w:rPr>
        <w:t>) increased by about 1.7 percent in December, but its level remains low. T</w:t>
      </w:r>
      <w:r w:rsidR="00D843F1" w:rsidRPr="00C917E1">
        <w:rPr>
          <w:rFonts w:asciiTheme="minorHAnsi" w:hAnsiTheme="minorHAnsi" w:cstheme="minorHAnsi"/>
        </w:rPr>
        <w:t xml:space="preserve">he job vacancy rate </w:t>
      </w:r>
      <w:r w:rsidR="00A05A01" w:rsidRPr="00C917E1">
        <w:rPr>
          <w:rFonts w:asciiTheme="minorHAnsi" w:hAnsiTheme="minorHAnsi" w:cstheme="minorHAnsi"/>
        </w:rPr>
        <w:t>increased in January, which mainly reflects an increase in demand for workers in the construction industry and in the accommodation and food services industry</w:t>
      </w:r>
      <w:r w:rsidR="004A1D7D" w:rsidRPr="00C917E1">
        <w:rPr>
          <w:rFonts w:asciiTheme="minorHAnsi" w:hAnsiTheme="minorHAnsi" w:cstheme="minorHAnsi"/>
        </w:rPr>
        <w:t xml:space="preserve"> (</w:t>
      </w:r>
      <w:r w:rsidR="004A1D7D" w:rsidRPr="00C917E1">
        <w:rPr>
          <w:rFonts w:asciiTheme="minorHAnsi" w:hAnsiTheme="minorHAnsi" w:cstheme="minorHAnsi"/>
          <w:b/>
          <w:bCs/>
        </w:rPr>
        <w:t xml:space="preserve">Figure </w:t>
      </w:r>
      <w:r w:rsidR="006D4BE2" w:rsidRPr="00C917E1">
        <w:rPr>
          <w:rFonts w:asciiTheme="minorHAnsi" w:hAnsiTheme="minorHAnsi" w:cstheme="minorHAnsi"/>
          <w:b/>
          <w:bCs/>
        </w:rPr>
        <w:t>28</w:t>
      </w:r>
      <w:r w:rsidR="004A1D7D" w:rsidRPr="00C917E1">
        <w:rPr>
          <w:rFonts w:asciiTheme="minorHAnsi" w:hAnsiTheme="minorHAnsi" w:cstheme="minorHAnsi"/>
        </w:rPr>
        <w:t>)</w:t>
      </w:r>
      <w:r w:rsidR="00D843F1" w:rsidRPr="00C917E1">
        <w:rPr>
          <w:rFonts w:asciiTheme="minorHAnsi" w:hAnsiTheme="minorHAnsi" w:cstheme="minorHAnsi"/>
        </w:rPr>
        <w:t>.</w:t>
      </w:r>
      <w:r w:rsidR="009665AD" w:rsidRPr="00C917E1">
        <w:rPr>
          <w:rFonts w:asciiTheme="minorHAnsi" w:hAnsiTheme="minorHAnsi" w:cstheme="minorHAnsi"/>
        </w:rPr>
        <w:t xml:space="preserve"> </w:t>
      </w:r>
      <w:r w:rsidR="00D843F1" w:rsidRPr="00C917E1">
        <w:rPr>
          <w:rFonts w:asciiTheme="minorHAnsi" w:hAnsiTheme="minorHAnsi" w:cstheme="minorHAnsi"/>
        </w:rPr>
        <w:t xml:space="preserve"> </w:t>
      </w:r>
      <w:r w:rsidR="00A05A01" w:rsidRPr="00C917E1">
        <w:rPr>
          <w:rFonts w:asciiTheme="minorHAnsi" w:hAnsiTheme="minorHAnsi" w:cstheme="minorHAnsi"/>
        </w:rPr>
        <w:t>The average wage per employee post increased slightly in October, and increased significantly in November, apparently affected by the change in the composition of employees due to furloughs.  According to a flash survey for December, wages are expected to remain unchanged.</w:t>
      </w:r>
    </w:p>
    <w:p w14:paraId="278277F1" w14:textId="53402222" w:rsidR="000E6DF7" w:rsidRPr="00C917E1" w:rsidRDefault="000E6DF7" w:rsidP="000E6DF7">
      <w:pPr>
        <w:jc w:val="both"/>
        <w:rPr>
          <w:rFonts w:asciiTheme="minorHAnsi" w:hAnsiTheme="minorHAnsi" w:cstheme="minorHAnsi"/>
        </w:rPr>
      </w:pPr>
    </w:p>
    <w:p w14:paraId="68EB8E1F" w14:textId="30AB65E2" w:rsidR="002E5026" w:rsidRPr="00C917E1" w:rsidRDefault="000A57F1" w:rsidP="00B241E7">
      <w:pPr>
        <w:jc w:val="both"/>
        <w:rPr>
          <w:rFonts w:asciiTheme="minorHAnsi" w:hAnsiTheme="minorHAnsi" w:cstheme="minorHAnsi"/>
          <w:rtl/>
        </w:rPr>
      </w:pPr>
      <w:r w:rsidRPr="00C917E1">
        <w:rPr>
          <w:rFonts w:asciiTheme="minorHAnsi" w:hAnsiTheme="minorHAnsi" w:cstheme="minorHAnsi"/>
        </w:rPr>
        <w:t>A</w:t>
      </w:r>
      <w:r w:rsidR="000E6DF7" w:rsidRPr="00C917E1">
        <w:rPr>
          <w:rFonts w:asciiTheme="minorHAnsi" w:hAnsiTheme="minorHAnsi" w:cstheme="minorHAnsi"/>
        </w:rPr>
        <w:t>ctivity in the housing market continues to moderate</w:t>
      </w:r>
      <w:r w:rsidR="00A05A01" w:rsidRPr="00C917E1">
        <w:rPr>
          <w:rFonts w:asciiTheme="minorHAnsi" w:hAnsiTheme="minorHAnsi" w:cstheme="minorHAnsi"/>
        </w:rPr>
        <w:t>, despite the increase in home prices in the past month</w:t>
      </w:r>
      <w:r w:rsidR="000E6DF7" w:rsidRPr="00C917E1">
        <w:rPr>
          <w:rFonts w:asciiTheme="minorHAnsi" w:hAnsiTheme="minorHAnsi" w:cstheme="minorHAnsi"/>
        </w:rPr>
        <w:t xml:space="preserve">.  In the past 12 months, home prices declined by </w:t>
      </w:r>
      <w:r w:rsidRPr="00C917E1">
        <w:rPr>
          <w:rFonts w:asciiTheme="minorHAnsi" w:hAnsiTheme="minorHAnsi" w:cstheme="minorHAnsi"/>
        </w:rPr>
        <w:t>1.</w:t>
      </w:r>
      <w:r w:rsidR="00A05A01" w:rsidRPr="00C917E1">
        <w:rPr>
          <w:rFonts w:asciiTheme="minorHAnsi" w:hAnsiTheme="minorHAnsi" w:cstheme="minorHAnsi"/>
        </w:rPr>
        <w:t>4</w:t>
      </w:r>
      <w:r w:rsidR="000E6DF7" w:rsidRPr="00C917E1">
        <w:rPr>
          <w:rFonts w:asciiTheme="minorHAnsi" w:hAnsiTheme="minorHAnsi" w:cstheme="minorHAnsi"/>
        </w:rPr>
        <w:t xml:space="preserve"> percent (</w:t>
      </w:r>
      <w:r w:rsidR="000E6DF7" w:rsidRPr="00C917E1">
        <w:rPr>
          <w:rFonts w:asciiTheme="minorHAnsi" w:hAnsiTheme="minorHAnsi" w:cstheme="minorHAnsi"/>
          <w:b/>
          <w:bCs/>
        </w:rPr>
        <w:t>Figure 1</w:t>
      </w:r>
      <w:r w:rsidR="004A1D7D" w:rsidRPr="00C917E1">
        <w:rPr>
          <w:rFonts w:asciiTheme="minorHAnsi" w:hAnsiTheme="minorHAnsi" w:cstheme="minorHAnsi"/>
          <w:b/>
          <w:bCs/>
        </w:rPr>
        <w:t>1</w:t>
      </w:r>
      <w:r w:rsidR="000E6DF7" w:rsidRPr="00C917E1">
        <w:rPr>
          <w:rFonts w:asciiTheme="minorHAnsi" w:hAnsiTheme="minorHAnsi" w:cstheme="minorHAnsi"/>
          <w:b/>
          <w:bCs/>
        </w:rPr>
        <w:t>)</w:t>
      </w:r>
      <w:r w:rsidR="000E6DF7" w:rsidRPr="00C917E1">
        <w:rPr>
          <w:rFonts w:asciiTheme="minorHAnsi" w:hAnsiTheme="minorHAnsi" w:cstheme="minorHAnsi"/>
        </w:rPr>
        <w:t xml:space="preserve">.  </w:t>
      </w:r>
      <w:r w:rsidR="00BA1241" w:rsidRPr="00C917E1">
        <w:rPr>
          <w:rFonts w:asciiTheme="minorHAnsi" w:hAnsiTheme="minorHAnsi" w:cstheme="minorHAnsi"/>
        </w:rPr>
        <w:t xml:space="preserve">In </w:t>
      </w:r>
      <w:r w:rsidR="00A05A01" w:rsidRPr="00C917E1">
        <w:rPr>
          <w:rFonts w:asciiTheme="minorHAnsi" w:hAnsiTheme="minorHAnsi" w:cstheme="minorHAnsi"/>
        </w:rPr>
        <w:lastRenderedPageBreak/>
        <w:t>November–December</w:t>
      </w:r>
      <w:r w:rsidR="00183F6B" w:rsidRPr="00C917E1">
        <w:rPr>
          <w:rFonts w:asciiTheme="minorHAnsi" w:hAnsiTheme="minorHAnsi" w:cstheme="minorHAnsi"/>
        </w:rPr>
        <w:t xml:space="preserve"> </w:t>
      </w:r>
      <w:r w:rsidR="00BA1241" w:rsidRPr="00C917E1">
        <w:rPr>
          <w:rFonts w:asciiTheme="minorHAnsi" w:hAnsiTheme="minorHAnsi" w:cstheme="minorHAnsi"/>
        </w:rPr>
        <w:t xml:space="preserve">2023, the Index of Home Prices </w:t>
      </w:r>
      <w:r w:rsidR="00A05A01" w:rsidRPr="00C917E1">
        <w:rPr>
          <w:rFonts w:asciiTheme="minorHAnsi" w:hAnsiTheme="minorHAnsi" w:cstheme="minorHAnsi"/>
        </w:rPr>
        <w:t xml:space="preserve">increased by 0.7 percent, </w:t>
      </w:r>
      <w:r w:rsidRPr="00C917E1">
        <w:rPr>
          <w:rFonts w:asciiTheme="minorHAnsi" w:hAnsiTheme="minorHAnsi" w:cstheme="minorHAnsi"/>
        </w:rPr>
        <w:t xml:space="preserve">and new home prices </w:t>
      </w:r>
      <w:r w:rsidR="00A05A01" w:rsidRPr="00C917E1">
        <w:rPr>
          <w:rFonts w:asciiTheme="minorHAnsi" w:hAnsiTheme="minorHAnsi" w:cstheme="minorHAnsi"/>
        </w:rPr>
        <w:t>increase</w:t>
      </w:r>
      <w:r w:rsidRPr="00C917E1">
        <w:rPr>
          <w:rFonts w:asciiTheme="minorHAnsi" w:hAnsiTheme="minorHAnsi" w:cstheme="minorHAnsi"/>
        </w:rPr>
        <w:t>d by 0.</w:t>
      </w:r>
      <w:r w:rsidR="00A05A01" w:rsidRPr="00C917E1">
        <w:rPr>
          <w:rFonts w:asciiTheme="minorHAnsi" w:hAnsiTheme="minorHAnsi" w:cstheme="minorHAnsi"/>
        </w:rPr>
        <w:t>9</w:t>
      </w:r>
      <w:r w:rsidRPr="00C917E1">
        <w:rPr>
          <w:rFonts w:asciiTheme="minorHAnsi" w:hAnsiTheme="minorHAnsi" w:cstheme="minorHAnsi"/>
        </w:rPr>
        <w:t xml:space="preserve"> percent</w:t>
      </w:r>
      <w:r w:rsidR="004D12F9" w:rsidRPr="00C917E1">
        <w:rPr>
          <w:rFonts w:asciiTheme="minorHAnsi" w:hAnsiTheme="minorHAnsi" w:cstheme="minorHAnsi"/>
        </w:rPr>
        <w:t>.</w:t>
      </w:r>
      <w:r w:rsidR="0092358F" w:rsidRPr="00C917E1">
        <w:rPr>
          <w:rFonts w:asciiTheme="minorHAnsi" w:hAnsiTheme="minorHAnsi" w:cstheme="minorHAnsi"/>
        </w:rPr>
        <w:t xml:space="preserve"> </w:t>
      </w:r>
      <w:r w:rsidR="00A05A01" w:rsidRPr="00C917E1">
        <w:rPr>
          <w:rFonts w:asciiTheme="minorHAnsi" w:hAnsiTheme="minorHAnsi" w:cstheme="minorHAnsi"/>
        </w:rPr>
        <w:t>However, t</w:t>
      </w:r>
      <w:r w:rsidR="003B66C0" w:rsidRPr="00C917E1">
        <w:rPr>
          <w:rFonts w:asciiTheme="minorHAnsi" w:hAnsiTheme="minorHAnsi" w:cstheme="minorHAnsi"/>
        </w:rPr>
        <w:t>he</w:t>
      </w:r>
      <w:r w:rsidR="0092358F" w:rsidRPr="00C917E1">
        <w:rPr>
          <w:rFonts w:asciiTheme="minorHAnsi" w:hAnsiTheme="minorHAnsi" w:cstheme="minorHAnsi"/>
        </w:rPr>
        <w:t xml:space="preserve"> </w:t>
      </w:r>
      <w:r w:rsidR="00945227" w:rsidRPr="00C917E1">
        <w:rPr>
          <w:rFonts w:asciiTheme="minorHAnsi" w:hAnsiTheme="minorHAnsi" w:cstheme="minorHAnsi"/>
        </w:rPr>
        <w:t>number of housing transactions</w:t>
      </w:r>
      <w:r w:rsidR="0092358F" w:rsidRPr="00C917E1">
        <w:rPr>
          <w:rFonts w:asciiTheme="minorHAnsi" w:hAnsiTheme="minorHAnsi" w:cstheme="minorHAnsi"/>
        </w:rPr>
        <w:t xml:space="preserve"> and new mortgage</w:t>
      </w:r>
      <w:r w:rsidR="00E91AB9" w:rsidRPr="00C917E1">
        <w:rPr>
          <w:rFonts w:asciiTheme="minorHAnsi" w:hAnsiTheme="minorHAnsi" w:cstheme="minorHAnsi"/>
        </w:rPr>
        <w:t xml:space="preserve"> volume</w:t>
      </w:r>
      <w:r w:rsidR="00945227" w:rsidRPr="00C917E1">
        <w:rPr>
          <w:rFonts w:asciiTheme="minorHAnsi" w:hAnsiTheme="minorHAnsi" w:cstheme="minorHAnsi"/>
        </w:rPr>
        <w:t xml:space="preserve"> </w:t>
      </w:r>
      <w:r w:rsidR="00A05A01" w:rsidRPr="00C917E1">
        <w:rPr>
          <w:rFonts w:asciiTheme="minorHAnsi" w:hAnsiTheme="minorHAnsi" w:cstheme="minorHAnsi"/>
        </w:rPr>
        <w:t>stabilize</w:t>
      </w:r>
      <w:r w:rsidRPr="00C917E1">
        <w:rPr>
          <w:rFonts w:asciiTheme="minorHAnsi" w:hAnsiTheme="minorHAnsi" w:cstheme="minorHAnsi"/>
        </w:rPr>
        <w:t>d at levels lower than in recent years.</w:t>
      </w:r>
      <w:r w:rsidR="0092358F" w:rsidRPr="00C917E1">
        <w:rPr>
          <w:rFonts w:asciiTheme="minorHAnsi" w:hAnsiTheme="minorHAnsi" w:cstheme="minorHAnsi"/>
        </w:rPr>
        <w:t xml:space="preserve"> In </w:t>
      </w:r>
      <w:r w:rsidR="00A05A01" w:rsidRPr="00C917E1">
        <w:rPr>
          <w:rFonts w:asciiTheme="minorHAnsi" w:hAnsiTheme="minorHAnsi" w:cstheme="minorHAnsi"/>
        </w:rPr>
        <w:t>January</w:t>
      </w:r>
      <w:r w:rsidR="0092358F" w:rsidRPr="00C917E1">
        <w:rPr>
          <w:rFonts w:asciiTheme="minorHAnsi" w:hAnsiTheme="minorHAnsi" w:cstheme="minorHAnsi"/>
        </w:rPr>
        <w:t>, new</w:t>
      </w:r>
      <w:r w:rsidR="005D3750" w:rsidRPr="00C917E1">
        <w:rPr>
          <w:rFonts w:asciiTheme="minorHAnsi" w:hAnsiTheme="minorHAnsi" w:cstheme="minorHAnsi"/>
        </w:rPr>
        <w:t xml:space="preserve"> mortgage borrowing totaled NIS </w:t>
      </w:r>
      <w:r w:rsidRPr="00C917E1">
        <w:rPr>
          <w:rFonts w:asciiTheme="minorHAnsi" w:hAnsiTheme="minorHAnsi" w:cstheme="minorHAnsi"/>
        </w:rPr>
        <w:t>5</w:t>
      </w:r>
      <w:r w:rsidR="000E6DF7" w:rsidRPr="00C917E1">
        <w:rPr>
          <w:rFonts w:asciiTheme="minorHAnsi" w:hAnsiTheme="minorHAnsi" w:cstheme="minorHAnsi"/>
        </w:rPr>
        <w:t>.</w:t>
      </w:r>
      <w:r w:rsidR="00183F6B" w:rsidRPr="00C917E1">
        <w:rPr>
          <w:rFonts w:asciiTheme="minorHAnsi" w:hAnsiTheme="minorHAnsi" w:cstheme="minorHAnsi"/>
        </w:rPr>
        <w:t>5</w:t>
      </w:r>
      <w:r w:rsidR="0092358F" w:rsidRPr="00C917E1">
        <w:rPr>
          <w:rFonts w:asciiTheme="minorHAnsi" w:hAnsiTheme="minorHAnsi" w:cstheme="minorHAnsi"/>
        </w:rPr>
        <w:t xml:space="preserve"> billion</w:t>
      </w:r>
      <w:r w:rsidR="0017762C" w:rsidRPr="00C917E1">
        <w:rPr>
          <w:rFonts w:asciiTheme="minorHAnsi" w:hAnsiTheme="minorHAnsi" w:cstheme="minorHAnsi"/>
        </w:rPr>
        <w:t xml:space="preserve"> </w:t>
      </w:r>
      <w:r w:rsidR="007521B2" w:rsidRPr="00C917E1">
        <w:rPr>
          <w:rFonts w:asciiTheme="minorHAnsi" w:hAnsiTheme="minorHAnsi" w:cstheme="minorHAnsi"/>
        </w:rPr>
        <w:t>(</w:t>
      </w:r>
      <w:r w:rsidR="007521B2" w:rsidRPr="00C917E1">
        <w:rPr>
          <w:rFonts w:asciiTheme="minorHAnsi" w:hAnsiTheme="minorHAnsi" w:cstheme="minorHAnsi"/>
          <w:b/>
          <w:bCs/>
        </w:rPr>
        <w:t xml:space="preserve">Figure </w:t>
      </w:r>
      <w:r w:rsidR="00D358CE" w:rsidRPr="00C917E1">
        <w:rPr>
          <w:rFonts w:asciiTheme="minorHAnsi" w:hAnsiTheme="minorHAnsi" w:cstheme="minorHAnsi"/>
          <w:b/>
          <w:bCs/>
        </w:rPr>
        <w:t>1</w:t>
      </w:r>
      <w:r w:rsidR="004A1D7D" w:rsidRPr="00C917E1">
        <w:rPr>
          <w:rFonts w:asciiTheme="minorHAnsi" w:hAnsiTheme="minorHAnsi" w:cstheme="minorHAnsi"/>
          <w:b/>
          <w:bCs/>
        </w:rPr>
        <w:t>2</w:t>
      </w:r>
      <w:r w:rsidR="007521B2" w:rsidRPr="00C917E1">
        <w:rPr>
          <w:rFonts w:asciiTheme="minorHAnsi" w:hAnsiTheme="minorHAnsi" w:cstheme="minorHAnsi"/>
        </w:rPr>
        <w:t xml:space="preserve">). </w:t>
      </w:r>
      <w:r w:rsidR="00BA1241" w:rsidRPr="00C917E1">
        <w:rPr>
          <w:rFonts w:asciiTheme="minorHAnsi" w:hAnsiTheme="minorHAnsi" w:cstheme="minorHAnsi"/>
        </w:rPr>
        <w:t>The</w:t>
      </w:r>
      <w:r w:rsidR="00183F6B" w:rsidRPr="00C917E1">
        <w:rPr>
          <w:rFonts w:asciiTheme="minorHAnsi" w:hAnsiTheme="minorHAnsi" w:cstheme="minorHAnsi"/>
        </w:rPr>
        <w:t xml:space="preserve"> </w:t>
      </w:r>
      <w:r w:rsidR="00BA1241" w:rsidRPr="00C917E1">
        <w:rPr>
          <w:rFonts w:asciiTheme="minorHAnsi" w:hAnsiTheme="minorHAnsi" w:cstheme="minorHAnsi"/>
        </w:rPr>
        <w:t xml:space="preserve">owner-occupied housing services component </w:t>
      </w:r>
      <w:r w:rsidR="000E6DF7" w:rsidRPr="00C917E1">
        <w:rPr>
          <w:rFonts w:asciiTheme="minorHAnsi" w:hAnsiTheme="minorHAnsi" w:cstheme="minorHAnsi"/>
        </w:rPr>
        <w:t>of</w:t>
      </w:r>
      <w:r w:rsidR="00BA1241" w:rsidRPr="00C917E1">
        <w:rPr>
          <w:rFonts w:asciiTheme="minorHAnsi" w:hAnsiTheme="minorHAnsi" w:cstheme="minorHAnsi"/>
        </w:rPr>
        <w:t xml:space="preserve"> the CPI </w:t>
      </w:r>
      <w:r w:rsidR="00A05A01" w:rsidRPr="00C917E1">
        <w:rPr>
          <w:rFonts w:asciiTheme="minorHAnsi" w:hAnsiTheme="minorHAnsi" w:cstheme="minorHAnsi"/>
        </w:rPr>
        <w:t>increas</w:t>
      </w:r>
      <w:r w:rsidR="000E6DF7" w:rsidRPr="00C917E1">
        <w:rPr>
          <w:rFonts w:asciiTheme="minorHAnsi" w:hAnsiTheme="minorHAnsi" w:cstheme="minorHAnsi"/>
        </w:rPr>
        <w:t>ed by 0.</w:t>
      </w:r>
      <w:r w:rsidR="00A05A01" w:rsidRPr="00C917E1">
        <w:rPr>
          <w:rFonts w:asciiTheme="minorHAnsi" w:hAnsiTheme="minorHAnsi" w:cstheme="minorHAnsi"/>
        </w:rPr>
        <w:t>2</w:t>
      </w:r>
      <w:r w:rsidR="000E6DF7" w:rsidRPr="00C917E1">
        <w:rPr>
          <w:rFonts w:asciiTheme="minorHAnsi" w:hAnsiTheme="minorHAnsi" w:cstheme="minorHAnsi"/>
        </w:rPr>
        <w:t xml:space="preserve"> percent, and its annual rate of increase continued to moderate, to </w:t>
      </w:r>
      <w:r w:rsidRPr="00C917E1">
        <w:rPr>
          <w:rFonts w:asciiTheme="minorHAnsi" w:hAnsiTheme="minorHAnsi" w:cstheme="minorHAnsi"/>
        </w:rPr>
        <w:t>3</w:t>
      </w:r>
      <w:r w:rsidR="000E6DF7" w:rsidRPr="00C917E1">
        <w:rPr>
          <w:rFonts w:asciiTheme="minorHAnsi" w:hAnsiTheme="minorHAnsi" w:cstheme="minorHAnsi"/>
        </w:rPr>
        <w:t>.</w:t>
      </w:r>
      <w:r w:rsidR="00A05A01" w:rsidRPr="00C917E1">
        <w:rPr>
          <w:rFonts w:asciiTheme="minorHAnsi" w:hAnsiTheme="minorHAnsi" w:cstheme="minorHAnsi"/>
        </w:rPr>
        <w:t>3</w:t>
      </w:r>
      <w:r w:rsidR="000E6DF7" w:rsidRPr="00C917E1">
        <w:rPr>
          <w:rFonts w:asciiTheme="minorHAnsi" w:hAnsiTheme="minorHAnsi" w:cstheme="minorHAnsi"/>
        </w:rPr>
        <w:t xml:space="preserve"> percent.</w:t>
      </w:r>
      <w:r w:rsidR="007521B2" w:rsidRPr="00C917E1">
        <w:rPr>
          <w:rFonts w:asciiTheme="minorHAnsi" w:hAnsiTheme="minorHAnsi" w:cstheme="minorHAnsi"/>
        </w:rPr>
        <w:t xml:space="preserve"> </w:t>
      </w:r>
      <w:r w:rsidR="00A05A01" w:rsidRPr="00C917E1">
        <w:rPr>
          <w:rFonts w:asciiTheme="minorHAnsi" w:hAnsiTheme="minorHAnsi" w:cstheme="minorHAnsi"/>
        </w:rPr>
        <w:t xml:space="preserve">Alongside these figures, the shortage of workers at construction sites since the outbreak of the war led to a sharp decline in the pact of construction.  Supply constraints in the construction industry and the need for housing solutions for those evacuated from their homes due to the war </w:t>
      </w:r>
      <w:r w:rsidR="00B241E7" w:rsidRPr="00C917E1">
        <w:rPr>
          <w:rFonts w:asciiTheme="minorHAnsi" w:hAnsiTheme="minorHAnsi" w:cstheme="minorHAnsi"/>
        </w:rPr>
        <w:t>may make continued</w:t>
      </w:r>
      <w:r w:rsidR="00171A9A" w:rsidRPr="00C917E1">
        <w:rPr>
          <w:rFonts w:asciiTheme="minorHAnsi" w:hAnsiTheme="minorHAnsi" w:cstheme="minorHAnsi"/>
        </w:rPr>
        <w:t xml:space="preserve"> moderation of </w:t>
      </w:r>
      <w:r w:rsidR="00247CB6" w:rsidRPr="00C917E1">
        <w:rPr>
          <w:rFonts w:asciiTheme="minorHAnsi" w:hAnsiTheme="minorHAnsi" w:cstheme="minorHAnsi"/>
        </w:rPr>
        <w:t>housing and rental</w:t>
      </w:r>
      <w:r w:rsidR="00171A9A" w:rsidRPr="00C917E1">
        <w:rPr>
          <w:rFonts w:asciiTheme="minorHAnsi" w:hAnsiTheme="minorHAnsi" w:cstheme="minorHAnsi"/>
        </w:rPr>
        <w:t xml:space="preserve"> prices</w:t>
      </w:r>
      <w:r w:rsidR="00B241E7" w:rsidRPr="00C917E1">
        <w:rPr>
          <w:rFonts w:asciiTheme="minorHAnsi" w:hAnsiTheme="minorHAnsi" w:cstheme="minorHAnsi"/>
        </w:rPr>
        <w:t xml:space="preserve"> more difficult</w:t>
      </w:r>
      <w:r w:rsidR="00171A9A" w:rsidRPr="00C917E1">
        <w:rPr>
          <w:rFonts w:asciiTheme="minorHAnsi" w:hAnsiTheme="minorHAnsi" w:cstheme="minorHAnsi"/>
        </w:rPr>
        <w:t xml:space="preserve"> in the future. </w:t>
      </w:r>
      <w:r w:rsidRPr="00C917E1">
        <w:rPr>
          <w:rFonts w:asciiTheme="minorHAnsi" w:hAnsiTheme="minorHAnsi" w:cstheme="minorHAnsi"/>
        </w:rPr>
        <w:t xml:space="preserve">Maintaining a high construction supply over time, </w:t>
      </w:r>
      <w:r w:rsidR="003D0C09" w:rsidRPr="00C917E1">
        <w:rPr>
          <w:rFonts w:asciiTheme="minorHAnsi" w:hAnsiTheme="minorHAnsi" w:cstheme="minorHAnsi"/>
        </w:rPr>
        <w:t xml:space="preserve">and not just </w:t>
      </w:r>
      <w:r w:rsidRPr="00C917E1">
        <w:rPr>
          <w:rFonts w:asciiTheme="minorHAnsi" w:hAnsiTheme="minorHAnsi" w:cstheme="minorHAnsi"/>
        </w:rPr>
        <w:t xml:space="preserve">the need to maintain activity in the </w:t>
      </w:r>
      <w:r w:rsidR="003D0C09" w:rsidRPr="00C917E1">
        <w:rPr>
          <w:rFonts w:asciiTheme="minorHAnsi" w:hAnsiTheme="minorHAnsi" w:cstheme="minorHAnsi"/>
        </w:rPr>
        <w:t>short term</w:t>
      </w:r>
      <w:r w:rsidRPr="00C917E1">
        <w:rPr>
          <w:rFonts w:asciiTheme="minorHAnsi" w:hAnsiTheme="minorHAnsi" w:cstheme="minorHAnsi"/>
        </w:rPr>
        <w:t>, will support the stability of housing prices.</w:t>
      </w:r>
    </w:p>
    <w:p w14:paraId="5E0A5086" w14:textId="4CC01705" w:rsidR="000E6DF7" w:rsidRPr="00C917E1" w:rsidRDefault="000E6DF7" w:rsidP="000E6DF7">
      <w:pPr>
        <w:jc w:val="both"/>
        <w:rPr>
          <w:rFonts w:asciiTheme="minorHAnsi" w:hAnsiTheme="minorHAnsi" w:cstheme="minorHAnsi"/>
        </w:rPr>
      </w:pPr>
    </w:p>
    <w:p w14:paraId="003FFBB4" w14:textId="6F0BEE8E" w:rsidR="000E6DF7" w:rsidRPr="00C917E1" w:rsidRDefault="000E6DF7" w:rsidP="006D4BE2">
      <w:pPr>
        <w:jc w:val="both"/>
        <w:rPr>
          <w:rFonts w:asciiTheme="minorHAnsi" w:hAnsiTheme="minorHAnsi" w:cstheme="minorHAnsi"/>
        </w:rPr>
      </w:pPr>
      <w:r w:rsidRPr="00C917E1">
        <w:rPr>
          <w:rFonts w:asciiTheme="minorHAnsi" w:hAnsiTheme="minorHAnsi" w:cstheme="minorHAnsi"/>
        </w:rPr>
        <w:t>In the capital market, local equity indices r</w:t>
      </w:r>
      <w:r w:rsidR="000A57F1" w:rsidRPr="00C917E1">
        <w:rPr>
          <w:rFonts w:asciiTheme="minorHAnsi" w:hAnsiTheme="minorHAnsi" w:cstheme="minorHAnsi"/>
        </w:rPr>
        <w:t>ose</w:t>
      </w:r>
      <w:r w:rsidR="00171A9A" w:rsidRPr="00C917E1">
        <w:rPr>
          <w:rFonts w:asciiTheme="minorHAnsi" w:hAnsiTheme="minorHAnsi" w:cstheme="minorHAnsi"/>
        </w:rPr>
        <w:t>.</w:t>
      </w:r>
      <w:r w:rsidRPr="00C917E1">
        <w:rPr>
          <w:rFonts w:asciiTheme="minorHAnsi" w:hAnsiTheme="minorHAnsi" w:cstheme="minorHAnsi"/>
        </w:rPr>
        <w:t xml:space="preserve"> </w:t>
      </w:r>
      <w:r w:rsidR="007C0782" w:rsidRPr="00C917E1">
        <w:rPr>
          <w:rFonts w:asciiTheme="minorHAnsi" w:hAnsiTheme="minorHAnsi" w:cstheme="minorHAnsi"/>
        </w:rPr>
        <w:t xml:space="preserve">However, </w:t>
      </w:r>
      <w:r w:rsidRPr="00C917E1">
        <w:rPr>
          <w:rFonts w:asciiTheme="minorHAnsi" w:hAnsiTheme="minorHAnsi" w:cstheme="minorHAnsi"/>
        </w:rPr>
        <w:t xml:space="preserve">the underperformance </w:t>
      </w:r>
      <w:r w:rsidR="000A57F1" w:rsidRPr="00C917E1">
        <w:rPr>
          <w:rFonts w:asciiTheme="minorHAnsi" w:hAnsiTheme="minorHAnsi" w:cstheme="minorHAnsi"/>
        </w:rPr>
        <w:t xml:space="preserve">of the domestic market </w:t>
      </w:r>
      <w:r w:rsidRPr="00C917E1">
        <w:rPr>
          <w:rFonts w:asciiTheme="minorHAnsi" w:hAnsiTheme="minorHAnsi" w:cstheme="minorHAnsi"/>
        </w:rPr>
        <w:t>relative to the</w:t>
      </w:r>
      <w:r w:rsidR="000A57F1" w:rsidRPr="00C917E1">
        <w:rPr>
          <w:rFonts w:asciiTheme="minorHAnsi" w:hAnsiTheme="minorHAnsi" w:cstheme="minorHAnsi"/>
        </w:rPr>
        <w:t xml:space="preserve"> global market since</w:t>
      </w:r>
      <w:r w:rsidRPr="00C917E1">
        <w:rPr>
          <w:rFonts w:asciiTheme="minorHAnsi" w:hAnsiTheme="minorHAnsi" w:cstheme="minorHAnsi"/>
        </w:rPr>
        <w:t xml:space="preserve"> </w:t>
      </w:r>
      <w:r w:rsidR="00171A9A" w:rsidRPr="00C917E1">
        <w:rPr>
          <w:rFonts w:asciiTheme="minorHAnsi" w:hAnsiTheme="minorHAnsi" w:cstheme="minorHAnsi"/>
        </w:rPr>
        <w:t xml:space="preserve">the </w:t>
      </w:r>
      <w:r w:rsidRPr="00C917E1">
        <w:rPr>
          <w:rFonts w:asciiTheme="minorHAnsi" w:hAnsiTheme="minorHAnsi" w:cstheme="minorHAnsi"/>
        </w:rPr>
        <w:t xml:space="preserve">start of </w:t>
      </w:r>
      <w:r w:rsidR="00797A81" w:rsidRPr="00C917E1">
        <w:rPr>
          <w:rFonts w:asciiTheme="minorHAnsi" w:hAnsiTheme="minorHAnsi" w:cstheme="minorHAnsi"/>
        </w:rPr>
        <w:t>2023</w:t>
      </w:r>
      <w:r w:rsidRPr="00C917E1">
        <w:rPr>
          <w:rFonts w:asciiTheme="minorHAnsi" w:hAnsiTheme="minorHAnsi" w:cstheme="minorHAnsi"/>
        </w:rPr>
        <w:t xml:space="preserve"> remains significant</w:t>
      </w:r>
      <w:r w:rsidR="00171A9A" w:rsidRPr="00C917E1">
        <w:rPr>
          <w:rFonts w:asciiTheme="minorHAnsi" w:hAnsiTheme="minorHAnsi" w:cstheme="minorHAnsi"/>
        </w:rPr>
        <w:t>, and has continued into 2024</w:t>
      </w:r>
      <w:r w:rsidRPr="00C917E1">
        <w:rPr>
          <w:rFonts w:asciiTheme="minorHAnsi" w:hAnsiTheme="minorHAnsi" w:cstheme="minorHAnsi"/>
        </w:rPr>
        <w:t xml:space="preserve"> (</w:t>
      </w:r>
      <w:r w:rsidRPr="00C917E1">
        <w:rPr>
          <w:rFonts w:asciiTheme="minorHAnsi" w:hAnsiTheme="minorHAnsi" w:cstheme="minorHAnsi"/>
          <w:b/>
          <w:bCs/>
        </w:rPr>
        <w:t xml:space="preserve">Figure </w:t>
      </w:r>
      <w:r w:rsidR="006D4BE2" w:rsidRPr="00C917E1">
        <w:rPr>
          <w:rFonts w:asciiTheme="minorHAnsi" w:hAnsiTheme="minorHAnsi" w:cstheme="minorHAnsi"/>
          <w:b/>
          <w:bCs/>
        </w:rPr>
        <w:t>40</w:t>
      </w:r>
      <w:r w:rsidRPr="00C917E1">
        <w:rPr>
          <w:rFonts w:asciiTheme="minorHAnsi" w:hAnsiTheme="minorHAnsi" w:cstheme="minorHAnsi"/>
        </w:rPr>
        <w:t xml:space="preserve">).  Long-term government bond yields </w:t>
      </w:r>
      <w:r w:rsidR="00171A9A" w:rsidRPr="00C917E1">
        <w:rPr>
          <w:rFonts w:asciiTheme="minorHAnsi" w:hAnsiTheme="minorHAnsi" w:cstheme="minorHAnsi"/>
        </w:rPr>
        <w:t>increas</w:t>
      </w:r>
      <w:r w:rsidRPr="00C917E1">
        <w:rPr>
          <w:rFonts w:asciiTheme="minorHAnsi" w:hAnsiTheme="minorHAnsi" w:cstheme="minorHAnsi"/>
        </w:rPr>
        <w:t>ed</w:t>
      </w:r>
      <w:r w:rsidR="002629F2" w:rsidRPr="00C917E1">
        <w:rPr>
          <w:rFonts w:asciiTheme="minorHAnsi" w:hAnsiTheme="minorHAnsi" w:cstheme="minorHAnsi"/>
        </w:rPr>
        <w:t xml:space="preserve"> during the reviewed period</w:t>
      </w:r>
      <w:r w:rsidR="000A57F1" w:rsidRPr="00C917E1">
        <w:rPr>
          <w:rFonts w:asciiTheme="minorHAnsi" w:hAnsiTheme="minorHAnsi" w:cstheme="minorHAnsi"/>
        </w:rPr>
        <w:t>, similar to</w:t>
      </w:r>
      <w:r w:rsidRPr="00C917E1">
        <w:rPr>
          <w:rFonts w:asciiTheme="minorHAnsi" w:hAnsiTheme="minorHAnsi" w:cstheme="minorHAnsi"/>
        </w:rPr>
        <w:t xml:space="preserve"> the global trend,</w:t>
      </w:r>
      <w:r w:rsidR="000A57F1" w:rsidRPr="00C917E1">
        <w:rPr>
          <w:rFonts w:asciiTheme="minorHAnsi" w:hAnsiTheme="minorHAnsi" w:cstheme="minorHAnsi"/>
        </w:rPr>
        <w:t xml:space="preserve"> </w:t>
      </w:r>
      <w:r w:rsidR="00171A9A" w:rsidRPr="00C917E1">
        <w:rPr>
          <w:rFonts w:asciiTheme="minorHAnsi" w:hAnsiTheme="minorHAnsi" w:cstheme="minorHAnsi"/>
        </w:rPr>
        <w:t xml:space="preserve">but with a more moderate intensity. </w:t>
      </w:r>
      <w:r w:rsidR="000A57F1" w:rsidRPr="00C917E1">
        <w:rPr>
          <w:rFonts w:asciiTheme="minorHAnsi" w:hAnsiTheme="minorHAnsi" w:cstheme="minorHAnsi"/>
        </w:rPr>
        <w:t>C</w:t>
      </w:r>
      <w:r w:rsidRPr="00C917E1">
        <w:rPr>
          <w:rFonts w:asciiTheme="minorHAnsi" w:hAnsiTheme="minorHAnsi" w:cstheme="minorHAnsi"/>
        </w:rPr>
        <w:t>orporate bond spreads, which widened at the start of the war, returned to</w:t>
      </w:r>
      <w:r w:rsidR="003C14D6" w:rsidRPr="00C917E1">
        <w:rPr>
          <w:rFonts w:asciiTheme="minorHAnsi" w:hAnsiTheme="minorHAnsi" w:cstheme="minorHAnsi"/>
        </w:rPr>
        <w:t xml:space="preserve"> close to</w:t>
      </w:r>
      <w:r w:rsidRPr="00C917E1">
        <w:rPr>
          <w:rFonts w:asciiTheme="minorHAnsi" w:hAnsiTheme="minorHAnsi" w:cstheme="minorHAnsi"/>
        </w:rPr>
        <w:t xml:space="preserve"> their prewar levels.</w:t>
      </w:r>
      <w:r w:rsidR="00171A9A" w:rsidRPr="00C917E1">
        <w:rPr>
          <w:rFonts w:asciiTheme="minorHAnsi" w:hAnsiTheme="minorHAnsi" w:cstheme="minorHAnsi"/>
        </w:rPr>
        <w:t xml:space="preserve">  The lowering of Israel’s credit rating from A1 to A2 by Moody’s, and the change of the ratings outlook to “negative”, </w:t>
      </w:r>
      <w:r w:rsidR="002629F2" w:rsidRPr="00C917E1">
        <w:rPr>
          <w:rFonts w:asciiTheme="minorHAnsi" w:hAnsiTheme="minorHAnsi" w:cstheme="minorHAnsi"/>
        </w:rPr>
        <w:t xml:space="preserve">mainly </w:t>
      </w:r>
      <w:r w:rsidR="00171A9A" w:rsidRPr="00C917E1">
        <w:rPr>
          <w:rFonts w:asciiTheme="minorHAnsi" w:hAnsiTheme="minorHAnsi" w:cstheme="minorHAnsi"/>
        </w:rPr>
        <w:t>reflected the agency’s uncertainty regarding the economic consequences of the war, the timing and nature of the end of the war, and the change in the fiscal situation</w:t>
      </w:r>
      <w:r w:rsidR="00CC0AC5" w:rsidRPr="00C917E1">
        <w:rPr>
          <w:rFonts w:asciiTheme="minorHAnsi" w:hAnsiTheme="minorHAnsi" w:cstheme="minorHAnsi"/>
        </w:rPr>
        <w:t>, as per the agency’s explanation</w:t>
      </w:r>
      <w:r w:rsidR="00171A9A" w:rsidRPr="00C917E1">
        <w:rPr>
          <w:rFonts w:asciiTheme="minorHAnsi" w:hAnsiTheme="minorHAnsi" w:cstheme="minorHAnsi"/>
        </w:rPr>
        <w:t>.</w:t>
      </w:r>
      <w:r w:rsidR="00CC0AC5" w:rsidRPr="00C917E1">
        <w:rPr>
          <w:rFonts w:asciiTheme="minorHAnsi" w:hAnsiTheme="minorHAnsi" w:cstheme="minorHAnsi"/>
        </w:rPr>
        <w:t xml:space="preserve">  Despite the lowering of the rating and the change in the outlook, the market reacted moderately, and it is clear that these were already priced into the market.</w:t>
      </w:r>
      <w:r w:rsidRPr="00C917E1">
        <w:rPr>
          <w:rFonts w:asciiTheme="minorHAnsi" w:hAnsiTheme="minorHAnsi" w:cstheme="minorHAnsi"/>
        </w:rPr>
        <w:t xml:space="preserve">  </w:t>
      </w:r>
      <w:r w:rsidR="00CC0AC5" w:rsidRPr="00C917E1">
        <w:rPr>
          <w:rFonts w:asciiTheme="minorHAnsi" w:hAnsiTheme="minorHAnsi" w:cstheme="minorHAnsi"/>
        </w:rPr>
        <w:t>Israel’s</w:t>
      </w:r>
      <w:r w:rsidRPr="00C917E1">
        <w:rPr>
          <w:rFonts w:asciiTheme="minorHAnsi" w:hAnsiTheme="minorHAnsi" w:cstheme="minorHAnsi"/>
        </w:rPr>
        <w:t xml:space="preserve"> risk premium as measured by the CDS</w:t>
      </w:r>
      <w:r w:rsidR="00CC0AC5" w:rsidRPr="00C917E1">
        <w:rPr>
          <w:rFonts w:asciiTheme="minorHAnsi" w:hAnsiTheme="minorHAnsi" w:cstheme="minorHAnsi"/>
        </w:rPr>
        <w:t xml:space="preserve"> increased again during the reviewed period, </w:t>
      </w:r>
      <w:r w:rsidRPr="00C917E1">
        <w:rPr>
          <w:rFonts w:asciiTheme="minorHAnsi" w:hAnsiTheme="minorHAnsi" w:cstheme="minorHAnsi"/>
        </w:rPr>
        <w:t>and the spread between dollar-denominated government bonds and US Treasury bills remain</w:t>
      </w:r>
      <w:r w:rsidR="00CC0AC5" w:rsidRPr="00C917E1">
        <w:rPr>
          <w:rFonts w:asciiTheme="minorHAnsi" w:hAnsiTheme="minorHAnsi" w:cstheme="minorHAnsi"/>
        </w:rPr>
        <w:t>ed unchanged at a relatively</w:t>
      </w:r>
      <w:r w:rsidRPr="00C917E1">
        <w:rPr>
          <w:rFonts w:asciiTheme="minorHAnsi" w:hAnsiTheme="minorHAnsi" w:cstheme="minorHAnsi"/>
        </w:rPr>
        <w:t xml:space="preserve"> high</w:t>
      </w:r>
      <w:r w:rsidR="00CC0AC5" w:rsidRPr="00C917E1">
        <w:rPr>
          <w:rFonts w:asciiTheme="minorHAnsi" w:hAnsiTheme="minorHAnsi" w:cstheme="minorHAnsi"/>
        </w:rPr>
        <w:t xml:space="preserve"> level</w:t>
      </w:r>
      <w:r w:rsidRPr="00C917E1">
        <w:rPr>
          <w:rFonts w:asciiTheme="minorHAnsi" w:hAnsiTheme="minorHAnsi" w:cstheme="minorHAnsi"/>
        </w:rPr>
        <w:t>.</w:t>
      </w:r>
    </w:p>
    <w:p w14:paraId="343811AE" w14:textId="3C6BB94B" w:rsidR="00C2592B" w:rsidRPr="00C917E1" w:rsidRDefault="00C2592B" w:rsidP="00C2592B">
      <w:pPr>
        <w:jc w:val="both"/>
        <w:rPr>
          <w:rFonts w:asciiTheme="minorHAnsi" w:hAnsiTheme="minorHAnsi" w:cstheme="minorHAnsi"/>
        </w:rPr>
      </w:pPr>
    </w:p>
    <w:p w14:paraId="3D88774D" w14:textId="4F465A5B" w:rsidR="003C14D6" w:rsidRPr="00C917E1" w:rsidRDefault="007C0782" w:rsidP="006D4BE2">
      <w:pPr>
        <w:jc w:val="both"/>
        <w:rPr>
          <w:rFonts w:asciiTheme="minorHAnsi" w:hAnsiTheme="minorHAnsi" w:cstheme="minorHAnsi"/>
        </w:rPr>
      </w:pPr>
      <w:r w:rsidRPr="00C917E1">
        <w:rPr>
          <w:rFonts w:asciiTheme="minorHAnsi" w:hAnsiTheme="minorHAnsi" w:cstheme="minorHAnsi"/>
        </w:rPr>
        <w:t xml:space="preserve">In the credit market, the slowing trend of bank </w:t>
      </w:r>
      <w:r w:rsidR="00CC0AC5" w:rsidRPr="00C917E1">
        <w:rPr>
          <w:rFonts w:asciiTheme="minorHAnsi" w:hAnsiTheme="minorHAnsi" w:cstheme="minorHAnsi"/>
        </w:rPr>
        <w:t xml:space="preserve">and nonbank </w:t>
      </w:r>
      <w:r w:rsidRPr="00C917E1">
        <w:rPr>
          <w:rFonts w:asciiTheme="minorHAnsi" w:hAnsiTheme="minorHAnsi" w:cstheme="minorHAnsi"/>
        </w:rPr>
        <w:t>credit</w:t>
      </w:r>
      <w:r w:rsidR="003C14D6" w:rsidRPr="00C917E1">
        <w:rPr>
          <w:rFonts w:asciiTheme="minorHAnsi" w:hAnsiTheme="minorHAnsi" w:cstheme="minorHAnsi"/>
        </w:rPr>
        <w:t xml:space="preserve"> continue</w:t>
      </w:r>
      <w:r w:rsidR="00CC0AC5" w:rsidRPr="00C917E1">
        <w:rPr>
          <w:rFonts w:asciiTheme="minorHAnsi" w:hAnsiTheme="minorHAnsi" w:cstheme="minorHAnsi"/>
        </w:rPr>
        <w:t>d.  Credit to households and to small and micro businesses continued to decline</w:t>
      </w:r>
      <w:r w:rsidRPr="00C917E1">
        <w:rPr>
          <w:rFonts w:asciiTheme="minorHAnsi" w:hAnsiTheme="minorHAnsi" w:cstheme="minorHAnsi"/>
        </w:rPr>
        <w:t>.</w:t>
      </w:r>
      <w:r w:rsidR="00CC0AC5" w:rsidRPr="00C917E1">
        <w:rPr>
          <w:rFonts w:asciiTheme="minorHAnsi" w:hAnsiTheme="minorHAnsi" w:cstheme="minorHAnsi"/>
        </w:rPr>
        <w:t xml:space="preserve">  According to the Central Bureau of Statistics Business Tendency Survey for January, it seems that the difficulty in obtaining credit declined, and returned to its prewar level (</w:t>
      </w:r>
      <w:r w:rsidR="006D4BE2" w:rsidRPr="00C917E1">
        <w:rPr>
          <w:rFonts w:asciiTheme="minorHAnsi" w:hAnsiTheme="minorHAnsi" w:cstheme="minorHAnsi"/>
          <w:b/>
          <w:bCs/>
        </w:rPr>
        <w:t>Figure 14</w:t>
      </w:r>
      <w:r w:rsidR="00CC0AC5" w:rsidRPr="00C917E1">
        <w:rPr>
          <w:rFonts w:asciiTheme="minorHAnsi" w:hAnsiTheme="minorHAnsi" w:cstheme="minorHAnsi"/>
        </w:rPr>
        <w:t xml:space="preserve">). </w:t>
      </w:r>
      <w:r w:rsidR="00680DD3" w:rsidRPr="00C917E1">
        <w:rPr>
          <w:rFonts w:asciiTheme="minorHAnsi" w:hAnsiTheme="minorHAnsi" w:cstheme="minorHAnsi"/>
        </w:rPr>
        <w:t xml:space="preserve">The credit risk indices </w:t>
      </w:r>
      <w:r w:rsidR="00CC0AC5" w:rsidRPr="00C917E1">
        <w:rPr>
          <w:rFonts w:asciiTheme="minorHAnsi" w:hAnsiTheme="minorHAnsi" w:cstheme="minorHAnsi"/>
        </w:rPr>
        <w:t xml:space="preserve">in the various segments increased somewhat.  In addition, the deferral periods </w:t>
      </w:r>
      <w:r w:rsidR="005E14FE" w:rsidRPr="00C917E1">
        <w:rPr>
          <w:rFonts w:asciiTheme="minorHAnsi" w:hAnsiTheme="minorHAnsi" w:cstheme="minorHAnsi"/>
        </w:rPr>
        <w:t>that the banks gave in</w:t>
      </w:r>
      <w:r w:rsidR="00CC0AC5" w:rsidRPr="00C917E1">
        <w:rPr>
          <w:rFonts w:asciiTheme="minorHAnsi" w:hAnsiTheme="minorHAnsi" w:cstheme="minorHAnsi"/>
        </w:rPr>
        <w:t xml:space="preserve"> October were extended</w:t>
      </w:r>
      <w:r w:rsidR="005E14FE" w:rsidRPr="00C917E1">
        <w:rPr>
          <w:rFonts w:asciiTheme="minorHAnsi" w:hAnsiTheme="minorHAnsi" w:cstheme="minorHAnsi"/>
        </w:rPr>
        <w:t xml:space="preserve"> for some loan repayments</w:t>
      </w:r>
      <w:r w:rsidR="00CC0AC5" w:rsidRPr="00C917E1">
        <w:rPr>
          <w:rFonts w:asciiTheme="minorHAnsi" w:hAnsiTheme="minorHAnsi" w:cstheme="minorHAnsi"/>
        </w:rPr>
        <w:t>.</w:t>
      </w:r>
    </w:p>
    <w:p w14:paraId="6CD9AACA" w14:textId="77777777" w:rsidR="003C14D6" w:rsidRPr="00C917E1" w:rsidRDefault="003C14D6" w:rsidP="003C14D6">
      <w:pPr>
        <w:jc w:val="both"/>
        <w:rPr>
          <w:rFonts w:asciiTheme="minorHAnsi" w:hAnsiTheme="minorHAnsi" w:cstheme="minorHAnsi"/>
        </w:rPr>
      </w:pPr>
    </w:p>
    <w:p w14:paraId="060764E5" w14:textId="7007D3B5" w:rsidR="003C14D6" w:rsidRPr="00C917E1" w:rsidRDefault="003C14D6" w:rsidP="006D4BE2">
      <w:pPr>
        <w:jc w:val="both"/>
        <w:rPr>
          <w:rFonts w:asciiTheme="minorHAnsi" w:hAnsiTheme="minorHAnsi" w:cstheme="minorHAnsi"/>
        </w:rPr>
      </w:pPr>
      <w:r w:rsidRPr="00C917E1">
        <w:rPr>
          <w:rFonts w:asciiTheme="minorHAnsi" w:hAnsiTheme="minorHAnsi" w:cstheme="minorHAnsi"/>
        </w:rPr>
        <w:t>Economic activity in</w:t>
      </w:r>
      <w:r w:rsidR="00B21A5B" w:rsidRPr="00C917E1">
        <w:rPr>
          <w:rFonts w:asciiTheme="minorHAnsi" w:hAnsiTheme="minorHAnsi" w:cstheme="minorHAnsi"/>
        </w:rPr>
        <w:t xml:space="preserve"> most of</w:t>
      </w:r>
      <w:r w:rsidRPr="00C917E1">
        <w:rPr>
          <w:rFonts w:asciiTheme="minorHAnsi" w:hAnsiTheme="minorHAnsi" w:cstheme="minorHAnsi"/>
        </w:rPr>
        <w:t xml:space="preserve"> the major economies </w:t>
      </w:r>
      <w:r w:rsidR="00B21A5B" w:rsidRPr="00C917E1">
        <w:rPr>
          <w:rFonts w:asciiTheme="minorHAnsi" w:hAnsiTheme="minorHAnsi" w:cstheme="minorHAnsi"/>
        </w:rPr>
        <w:t>remained moderate</w:t>
      </w:r>
      <w:r w:rsidRPr="00C917E1">
        <w:rPr>
          <w:rFonts w:asciiTheme="minorHAnsi" w:hAnsiTheme="minorHAnsi" w:cstheme="minorHAnsi"/>
        </w:rPr>
        <w:t xml:space="preserve">, </w:t>
      </w:r>
      <w:r w:rsidR="003818F5" w:rsidRPr="00C917E1">
        <w:rPr>
          <w:rFonts w:asciiTheme="minorHAnsi" w:hAnsiTheme="minorHAnsi" w:cstheme="minorHAnsi"/>
        </w:rPr>
        <w:t>while the strong economic growth in the US in the fourth quarter is prominent</w:t>
      </w:r>
      <w:r w:rsidR="00B21A5B" w:rsidRPr="00C917E1">
        <w:rPr>
          <w:rFonts w:asciiTheme="minorHAnsi" w:hAnsiTheme="minorHAnsi" w:cstheme="minorHAnsi"/>
        </w:rPr>
        <w:t>.  The International Monetary Fund’s assessment is that</w:t>
      </w:r>
      <w:r w:rsidRPr="00C917E1">
        <w:rPr>
          <w:rFonts w:asciiTheme="minorHAnsi" w:hAnsiTheme="minorHAnsi" w:cstheme="minorHAnsi"/>
        </w:rPr>
        <w:t xml:space="preserve"> global</w:t>
      </w:r>
      <w:r w:rsidR="00B21A5B" w:rsidRPr="00C917E1">
        <w:rPr>
          <w:rFonts w:asciiTheme="minorHAnsi" w:hAnsiTheme="minorHAnsi" w:cstheme="minorHAnsi"/>
        </w:rPr>
        <w:t xml:space="preserve"> growth will be 3.1 percent in 2024.  The growth forecasts of the IMF and the investment houses were revised upward in view of the effect of the high growth in the US.</w:t>
      </w:r>
      <w:r w:rsidRPr="00C917E1">
        <w:rPr>
          <w:rFonts w:asciiTheme="minorHAnsi" w:hAnsiTheme="minorHAnsi" w:cstheme="minorHAnsi"/>
        </w:rPr>
        <w:t xml:space="preserve"> (</w:t>
      </w:r>
      <w:r w:rsidRPr="00C917E1">
        <w:rPr>
          <w:rFonts w:asciiTheme="minorHAnsi" w:hAnsiTheme="minorHAnsi" w:cstheme="minorHAnsi"/>
          <w:b/>
          <w:bCs/>
        </w:rPr>
        <w:t xml:space="preserve">Figure </w:t>
      </w:r>
      <w:r w:rsidR="006D4BE2" w:rsidRPr="00C917E1">
        <w:rPr>
          <w:rFonts w:asciiTheme="minorHAnsi" w:hAnsiTheme="minorHAnsi" w:cstheme="minorHAnsi"/>
          <w:b/>
          <w:bCs/>
        </w:rPr>
        <w:t>33</w:t>
      </w:r>
      <w:r w:rsidRPr="00C917E1">
        <w:rPr>
          <w:rFonts w:asciiTheme="minorHAnsi" w:hAnsiTheme="minorHAnsi" w:cstheme="minorHAnsi"/>
        </w:rPr>
        <w:t xml:space="preserve">).  The purchasing managers index for the advanced economies increased in </w:t>
      </w:r>
      <w:r w:rsidR="00B21A5B" w:rsidRPr="00C917E1">
        <w:rPr>
          <w:rFonts w:asciiTheme="minorHAnsi" w:hAnsiTheme="minorHAnsi" w:cstheme="minorHAnsi"/>
        </w:rPr>
        <w:t>January</w:t>
      </w:r>
      <w:r w:rsidRPr="00C917E1">
        <w:rPr>
          <w:rFonts w:asciiTheme="minorHAnsi" w:hAnsiTheme="minorHAnsi" w:cstheme="minorHAnsi"/>
        </w:rPr>
        <w:t xml:space="preserve">, </w:t>
      </w:r>
      <w:r w:rsidR="00B21A5B" w:rsidRPr="00C917E1">
        <w:rPr>
          <w:rFonts w:asciiTheme="minorHAnsi" w:hAnsiTheme="minorHAnsi" w:cstheme="minorHAnsi"/>
        </w:rPr>
        <w:t>and returned to</w:t>
      </w:r>
      <w:r w:rsidRPr="00C917E1">
        <w:rPr>
          <w:rFonts w:asciiTheme="minorHAnsi" w:hAnsiTheme="minorHAnsi" w:cstheme="minorHAnsi"/>
        </w:rPr>
        <w:t xml:space="preserve"> a level indicating </w:t>
      </w:r>
      <w:r w:rsidR="00B21A5B" w:rsidRPr="00C917E1">
        <w:rPr>
          <w:rFonts w:asciiTheme="minorHAnsi" w:hAnsiTheme="minorHAnsi" w:cstheme="minorHAnsi"/>
        </w:rPr>
        <w:t>an expansion of activity</w:t>
      </w:r>
      <w:r w:rsidRPr="00C917E1">
        <w:rPr>
          <w:rFonts w:asciiTheme="minorHAnsi" w:hAnsiTheme="minorHAnsi" w:cstheme="minorHAnsi"/>
        </w:rPr>
        <w:t>.</w:t>
      </w:r>
      <w:r w:rsidR="00B21A5B" w:rsidRPr="00C917E1">
        <w:rPr>
          <w:rFonts w:asciiTheme="minorHAnsi" w:hAnsiTheme="minorHAnsi" w:cstheme="minorHAnsi"/>
        </w:rPr>
        <w:t xml:space="preserve">  The same is true of the purchasing managers index for the emerging economies, which also increased and continues to indicate expansion</w:t>
      </w:r>
      <w:r w:rsidRPr="00C917E1">
        <w:rPr>
          <w:rFonts w:asciiTheme="minorHAnsi" w:hAnsiTheme="minorHAnsi" w:cstheme="minorHAnsi"/>
        </w:rPr>
        <w:t xml:space="preserve"> (</w:t>
      </w:r>
      <w:r w:rsidRPr="00C917E1">
        <w:rPr>
          <w:rFonts w:asciiTheme="minorHAnsi" w:hAnsiTheme="minorHAnsi" w:cstheme="minorHAnsi"/>
          <w:b/>
          <w:bCs/>
        </w:rPr>
        <w:t>Figure 3</w:t>
      </w:r>
      <w:r w:rsidR="006D4BE2" w:rsidRPr="00C917E1">
        <w:rPr>
          <w:rFonts w:asciiTheme="minorHAnsi" w:hAnsiTheme="minorHAnsi" w:cstheme="minorHAnsi"/>
          <w:b/>
          <w:bCs/>
        </w:rPr>
        <w:t>4</w:t>
      </w:r>
      <w:r w:rsidRPr="00C917E1">
        <w:rPr>
          <w:rFonts w:asciiTheme="minorHAnsi" w:hAnsiTheme="minorHAnsi" w:cstheme="minorHAnsi"/>
        </w:rPr>
        <w:t>).</w:t>
      </w:r>
    </w:p>
    <w:p w14:paraId="3483C690" w14:textId="3E656478" w:rsidR="00B21A5B" w:rsidRPr="00C917E1" w:rsidRDefault="00B21A5B" w:rsidP="00B21A5B">
      <w:pPr>
        <w:jc w:val="both"/>
        <w:rPr>
          <w:rFonts w:asciiTheme="minorHAnsi" w:hAnsiTheme="minorHAnsi" w:cstheme="minorHAnsi"/>
        </w:rPr>
      </w:pPr>
    </w:p>
    <w:p w14:paraId="52CC277C" w14:textId="23AF5CE8" w:rsidR="00B21A5B" w:rsidRPr="00C917E1" w:rsidRDefault="00B21A5B" w:rsidP="00B21A5B">
      <w:pPr>
        <w:jc w:val="both"/>
        <w:rPr>
          <w:rFonts w:asciiTheme="minorHAnsi" w:hAnsiTheme="minorHAnsi" w:cstheme="minorHAnsi"/>
        </w:rPr>
      </w:pPr>
      <w:r w:rsidRPr="00C917E1">
        <w:rPr>
          <w:rFonts w:asciiTheme="minorHAnsi" w:hAnsiTheme="minorHAnsi" w:cstheme="minorHAnsi"/>
        </w:rPr>
        <w:t>World trade continues to indicate weakness, but the volume of global goods trade improved in December.  Shipping prices jumped sharply in view of the tension with the Houthis in the Red Sea, but moderated slightly in the past month.  Oil prices increased, but remained lower than before the war.</w:t>
      </w:r>
    </w:p>
    <w:p w14:paraId="55DAEDBA" w14:textId="21A65B40" w:rsidR="00680DD3" w:rsidRPr="00C917E1" w:rsidRDefault="003C14D6" w:rsidP="003C14D6">
      <w:pPr>
        <w:jc w:val="both"/>
        <w:rPr>
          <w:rFonts w:asciiTheme="minorHAnsi" w:hAnsiTheme="minorHAnsi" w:cstheme="minorHAnsi"/>
        </w:rPr>
      </w:pPr>
      <w:r w:rsidRPr="00C917E1">
        <w:rPr>
          <w:rFonts w:asciiTheme="minorHAnsi" w:hAnsiTheme="minorHAnsi" w:cstheme="minorHAnsi"/>
        </w:rPr>
        <w:t xml:space="preserve"> </w:t>
      </w:r>
    </w:p>
    <w:p w14:paraId="77C24353" w14:textId="153F4E4A" w:rsidR="00466DE7" w:rsidRPr="00C917E1" w:rsidRDefault="00680DD3" w:rsidP="006D4BE2">
      <w:pPr>
        <w:jc w:val="both"/>
        <w:rPr>
          <w:rFonts w:asciiTheme="minorHAnsi" w:hAnsiTheme="minorHAnsi" w:cstheme="minorHAnsi"/>
        </w:rPr>
      </w:pPr>
      <w:r w:rsidRPr="00C917E1">
        <w:rPr>
          <w:rFonts w:asciiTheme="minorHAnsi" w:hAnsiTheme="minorHAnsi" w:cstheme="minorHAnsi"/>
        </w:rPr>
        <w:lastRenderedPageBreak/>
        <w:t>In the US,</w:t>
      </w:r>
      <w:r w:rsidR="00744864" w:rsidRPr="00C917E1">
        <w:rPr>
          <w:rFonts w:asciiTheme="minorHAnsi" w:hAnsiTheme="minorHAnsi" w:cstheme="minorHAnsi"/>
        </w:rPr>
        <w:t xml:space="preserve"> fourth quarter growth was significantly higher than previous forecasts (3.3 percent in annual terms).</w:t>
      </w:r>
      <w:r w:rsidRPr="00C917E1">
        <w:rPr>
          <w:rFonts w:asciiTheme="minorHAnsi" w:hAnsiTheme="minorHAnsi" w:cstheme="minorHAnsi"/>
        </w:rPr>
        <w:t xml:space="preserve"> </w:t>
      </w:r>
      <w:r w:rsidR="00744864" w:rsidRPr="00C917E1">
        <w:rPr>
          <w:rFonts w:asciiTheme="minorHAnsi" w:hAnsiTheme="minorHAnsi" w:cstheme="minorHAnsi"/>
        </w:rPr>
        <w:t>T</w:t>
      </w:r>
      <w:r w:rsidR="003C14D6" w:rsidRPr="00C917E1">
        <w:rPr>
          <w:rFonts w:asciiTheme="minorHAnsi" w:hAnsiTheme="minorHAnsi" w:cstheme="minorHAnsi"/>
        </w:rPr>
        <w:t>he general</w:t>
      </w:r>
      <w:r w:rsidR="00744864" w:rsidRPr="00C917E1">
        <w:rPr>
          <w:rFonts w:asciiTheme="minorHAnsi" w:hAnsiTheme="minorHAnsi" w:cstheme="minorHAnsi"/>
        </w:rPr>
        <w:t xml:space="preserve"> CPI declined in January to an annual rate of 3.1 percent, while the</w:t>
      </w:r>
      <w:r w:rsidR="003C14D6" w:rsidRPr="00C917E1">
        <w:rPr>
          <w:rFonts w:asciiTheme="minorHAnsi" w:hAnsiTheme="minorHAnsi" w:cstheme="minorHAnsi"/>
        </w:rPr>
        <w:t xml:space="preserve"> core PCE ind</w:t>
      </w:r>
      <w:r w:rsidR="00744864" w:rsidRPr="00C917E1">
        <w:rPr>
          <w:rFonts w:asciiTheme="minorHAnsi" w:hAnsiTheme="minorHAnsi" w:cstheme="minorHAnsi"/>
        </w:rPr>
        <w:t>ex</w:t>
      </w:r>
      <w:r w:rsidR="003C14D6" w:rsidRPr="00C917E1">
        <w:rPr>
          <w:rFonts w:asciiTheme="minorHAnsi" w:hAnsiTheme="minorHAnsi" w:cstheme="minorHAnsi"/>
        </w:rPr>
        <w:t xml:space="preserve"> </w:t>
      </w:r>
      <w:r w:rsidR="008148A4" w:rsidRPr="00C917E1">
        <w:rPr>
          <w:rFonts w:asciiTheme="minorHAnsi" w:hAnsiTheme="minorHAnsi" w:cstheme="minorHAnsi"/>
        </w:rPr>
        <w:t>remained at</w:t>
      </w:r>
      <w:r w:rsidR="00744864" w:rsidRPr="00C917E1">
        <w:rPr>
          <w:rFonts w:asciiTheme="minorHAnsi" w:hAnsiTheme="minorHAnsi" w:cstheme="minorHAnsi"/>
        </w:rPr>
        <w:t xml:space="preserve"> </w:t>
      </w:r>
      <w:r w:rsidR="003C14D6" w:rsidRPr="00C917E1">
        <w:rPr>
          <w:rFonts w:asciiTheme="minorHAnsi" w:hAnsiTheme="minorHAnsi" w:cstheme="minorHAnsi"/>
        </w:rPr>
        <w:t>3.</w:t>
      </w:r>
      <w:r w:rsidR="00744864" w:rsidRPr="00C917E1">
        <w:rPr>
          <w:rFonts w:asciiTheme="minorHAnsi" w:hAnsiTheme="minorHAnsi" w:cstheme="minorHAnsi"/>
        </w:rPr>
        <w:t>9</w:t>
      </w:r>
      <w:r w:rsidR="003C14D6" w:rsidRPr="00C917E1">
        <w:rPr>
          <w:rFonts w:asciiTheme="minorHAnsi" w:hAnsiTheme="minorHAnsi" w:cstheme="minorHAnsi"/>
        </w:rPr>
        <w:t xml:space="preserve"> percent.</w:t>
      </w:r>
      <w:r w:rsidR="00744864" w:rsidRPr="00C917E1">
        <w:rPr>
          <w:rFonts w:asciiTheme="minorHAnsi" w:hAnsiTheme="minorHAnsi" w:cstheme="minorHAnsi"/>
        </w:rPr>
        <w:t xml:space="preserve"> </w:t>
      </w:r>
      <w:r w:rsidR="003C14D6" w:rsidRPr="00C917E1">
        <w:rPr>
          <w:rFonts w:asciiTheme="minorHAnsi" w:hAnsiTheme="minorHAnsi" w:cstheme="minorHAnsi"/>
        </w:rPr>
        <w:t xml:space="preserve"> In the eurozone, </w:t>
      </w:r>
      <w:r w:rsidR="00744864" w:rsidRPr="00C917E1">
        <w:rPr>
          <w:rFonts w:asciiTheme="minorHAnsi" w:hAnsiTheme="minorHAnsi" w:cstheme="minorHAnsi"/>
        </w:rPr>
        <w:t>fourth quarter growth was 0 percent, and GDP has not grown at all in the past five quarters.  Inflation increased at the end of 2023, and following a slight decline in 2024, the general CPI is 2.8 percent.  Core inflation is moderating, and stands at 3.3 percent.</w:t>
      </w:r>
      <w:r w:rsidR="00B16D92" w:rsidRPr="00C917E1">
        <w:rPr>
          <w:rFonts w:asciiTheme="minorHAnsi" w:hAnsiTheme="minorHAnsi" w:cstheme="minorHAnsi"/>
        </w:rPr>
        <w:t xml:space="preserve"> </w:t>
      </w:r>
      <w:r w:rsidR="00744864" w:rsidRPr="00C917E1">
        <w:rPr>
          <w:rFonts w:asciiTheme="minorHAnsi" w:hAnsiTheme="minorHAnsi" w:cstheme="minorHAnsi"/>
        </w:rPr>
        <w:t>T</w:t>
      </w:r>
      <w:r w:rsidR="00246670" w:rsidRPr="00C917E1">
        <w:rPr>
          <w:rFonts w:asciiTheme="minorHAnsi" w:hAnsiTheme="minorHAnsi" w:cstheme="minorHAnsi"/>
        </w:rPr>
        <w:t xml:space="preserve">he inflation environment </w:t>
      </w:r>
      <w:r w:rsidR="00EC43CA" w:rsidRPr="00C917E1">
        <w:rPr>
          <w:rFonts w:asciiTheme="minorHAnsi" w:hAnsiTheme="minorHAnsi" w:cstheme="minorHAnsi"/>
        </w:rPr>
        <w:t>moderated</w:t>
      </w:r>
      <w:r w:rsidR="00996925" w:rsidRPr="00C917E1">
        <w:rPr>
          <w:rFonts w:asciiTheme="minorHAnsi" w:hAnsiTheme="minorHAnsi" w:cstheme="minorHAnsi"/>
        </w:rPr>
        <w:t xml:space="preserve"> in many countries,</w:t>
      </w:r>
      <w:r w:rsidR="00A256FF" w:rsidRPr="00C917E1">
        <w:rPr>
          <w:rFonts w:asciiTheme="minorHAnsi" w:hAnsiTheme="minorHAnsi" w:cstheme="minorHAnsi"/>
        </w:rPr>
        <w:t xml:space="preserve"> but</w:t>
      </w:r>
      <w:r w:rsidR="00996925" w:rsidRPr="00C917E1">
        <w:rPr>
          <w:rFonts w:asciiTheme="minorHAnsi" w:hAnsiTheme="minorHAnsi" w:cstheme="minorHAnsi"/>
        </w:rPr>
        <w:t xml:space="preserve"> remains above the central bank targets</w:t>
      </w:r>
      <w:r w:rsidR="00744864" w:rsidRPr="00C917E1">
        <w:rPr>
          <w:rFonts w:asciiTheme="minorHAnsi" w:hAnsiTheme="minorHAnsi" w:cstheme="minorHAnsi"/>
        </w:rPr>
        <w:t xml:space="preserve"> in most of them</w:t>
      </w:r>
      <w:r w:rsidR="00C470B8" w:rsidRPr="00C917E1">
        <w:rPr>
          <w:rFonts w:asciiTheme="minorHAnsi" w:hAnsiTheme="minorHAnsi" w:cstheme="minorHAnsi"/>
        </w:rPr>
        <w:t xml:space="preserve"> (</w:t>
      </w:r>
      <w:r w:rsidR="00C470B8" w:rsidRPr="00C917E1">
        <w:rPr>
          <w:rFonts w:asciiTheme="minorHAnsi" w:hAnsiTheme="minorHAnsi" w:cstheme="minorHAnsi"/>
          <w:b/>
          <w:bCs/>
        </w:rPr>
        <w:t xml:space="preserve">Figure </w:t>
      </w:r>
      <w:r w:rsidR="007A4A3C" w:rsidRPr="00C917E1">
        <w:rPr>
          <w:rFonts w:asciiTheme="minorHAnsi" w:hAnsiTheme="minorHAnsi" w:cstheme="minorHAnsi"/>
          <w:b/>
          <w:bCs/>
        </w:rPr>
        <w:t>3</w:t>
      </w:r>
      <w:r w:rsidR="006D4BE2" w:rsidRPr="00C917E1">
        <w:rPr>
          <w:rFonts w:asciiTheme="minorHAnsi" w:hAnsiTheme="minorHAnsi" w:cstheme="minorHAnsi"/>
          <w:b/>
          <w:bCs/>
        </w:rPr>
        <w:t>7</w:t>
      </w:r>
      <w:r w:rsidR="00C470B8" w:rsidRPr="00C917E1">
        <w:rPr>
          <w:rFonts w:asciiTheme="minorHAnsi" w:hAnsiTheme="minorHAnsi" w:cstheme="minorHAnsi"/>
        </w:rPr>
        <w:t>)</w:t>
      </w:r>
      <w:r w:rsidR="00EC43CA" w:rsidRPr="00C917E1">
        <w:rPr>
          <w:rFonts w:asciiTheme="minorHAnsi" w:hAnsiTheme="minorHAnsi" w:cstheme="minorHAnsi"/>
        </w:rPr>
        <w:t>.</w:t>
      </w:r>
      <w:r w:rsidR="00930D4A" w:rsidRPr="00C917E1">
        <w:rPr>
          <w:rFonts w:asciiTheme="minorHAnsi" w:hAnsiTheme="minorHAnsi" w:cstheme="minorHAnsi"/>
        </w:rPr>
        <w:t xml:space="preserve"> </w:t>
      </w:r>
      <w:r w:rsidR="00744864" w:rsidRPr="00C917E1">
        <w:rPr>
          <w:rFonts w:asciiTheme="minorHAnsi" w:hAnsiTheme="minorHAnsi" w:cstheme="minorHAnsi"/>
        </w:rPr>
        <w:t xml:space="preserve">Most central banks are still concerned about inflation in the price of services, which remains sticky and is making it difficult for inflation to converge to the targets. </w:t>
      </w:r>
      <w:r w:rsidR="006D0AB3" w:rsidRPr="00C917E1">
        <w:rPr>
          <w:rFonts w:asciiTheme="minorHAnsi" w:hAnsiTheme="minorHAnsi" w:cstheme="minorHAnsi"/>
        </w:rPr>
        <w:t xml:space="preserve">The Federal Reserve and the European Central Bank left their interest rates unchanged, </w:t>
      </w:r>
      <w:r w:rsidR="00744864" w:rsidRPr="00C917E1">
        <w:rPr>
          <w:rFonts w:asciiTheme="minorHAnsi" w:hAnsiTheme="minorHAnsi" w:cstheme="minorHAnsi"/>
        </w:rPr>
        <w:t xml:space="preserve">and signaled that </w:t>
      </w:r>
      <w:r w:rsidR="00B16D92" w:rsidRPr="00C917E1">
        <w:rPr>
          <w:rFonts w:asciiTheme="minorHAnsi" w:hAnsiTheme="minorHAnsi" w:cstheme="minorHAnsi"/>
        </w:rPr>
        <w:t xml:space="preserve">the interest rate </w:t>
      </w:r>
      <w:r w:rsidR="00744864" w:rsidRPr="00C917E1">
        <w:rPr>
          <w:rFonts w:asciiTheme="minorHAnsi" w:hAnsiTheme="minorHAnsi" w:cstheme="minorHAnsi"/>
        </w:rPr>
        <w:t>is not expected to decline in the coming months, which has moderated market expectations regarding the interest rate path.</w:t>
      </w:r>
    </w:p>
    <w:p w14:paraId="729DC7CD" w14:textId="77777777" w:rsidR="00AD12BC" w:rsidRPr="00C917E1" w:rsidRDefault="00AD12BC" w:rsidP="00C2592B">
      <w:pPr>
        <w:jc w:val="both"/>
        <w:rPr>
          <w:rFonts w:asciiTheme="minorHAnsi" w:hAnsiTheme="minorHAnsi" w:cstheme="minorHAnsi"/>
        </w:rPr>
      </w:pPr>
    </w:p>
    <w:p w14:paraId="2A06FF08" w14:textId="77777777" w:rsidR="00AD12BC" w:rsidRPr="00C917E1" w:rsidRDefault="00AD12BC" w:rsidP="00C2592B">
      <w:pPr>
        <w:jc w:val="both"/>
        <w:rPr>
          <w:rFonts w:asciiTheme="minorHAnsi" w:hAnsiTheme="minorHAnsi" w:cstheme="minorHAnsi"/>
        </w:rPr>
      </w:pPr>
    </w:p>
    <w:p w14:paraId="6D15635A" w14:textId="63FD5D73" w:rsidR="00D26730" w:rsidRPr="00C917E1" w:rsidRDefault="00D26730" w:rsidP="00744864">
      <w:pPr>
        <w:jc w:val="both"/>
        <w:rPr>
          <w:rFonts w:asciiTheme="minorHAnsi" w:hAnsiTheme="minorHAnsi" w:cstheme="minorHAnsi"/>
          <w:rtl/>
        </w:rPr>
      </w:pPr>
      <w:r w:rsidRPr="00C917E1">
        <w:rPr>
          <w:rFonts w:asciiTheme="minorHAnsi" w:hAnsiTheme="minorHAnsi" w:cstheme="minorHAnsi"/>
        </w:rPr>
        <w:t xml:space="preserve">The minutes of the monetary discussions prior to this interest rate decision will be published on </w:t>
      </w:r>
      <w:r w:rsidR="00744864" w:rsidRPr="00C917E1">
        <w:rPr>
          <w:rFonts w:asciiTheme="minorHAnsi" w:hAnsiTheme="minorHAnsi" w:cstheme="minorHAnsi"/>
        </w:rPr>
        <w:t>March 11</w:t>
      </w:r>
      <w:r w:rsidR="00B16D92" w:rsidRPr="00C917E1">
        <w:rPr>
          <w:rFonts w:asciiTheme="minorHAnsi" w:hAnsiTheme="minorHAnsi" w:cstheme="minorHAnsi"/>
        </w:rPr>
        <w:t>, 2024</w:t>
      </w:r>
      <w:r w:rsidRPr="00C917E1">
        <w:rPr>
          <w:rFonts w:asciiTheme="minorHAnsi" w:hAnsiTheme="minorHAnsi" w:cstheme="minorHAnsi"/>
        </w:rPr>
        <w:t xml:space="preserve">. The next decision regarding the interest rate will be published at 16:00 on </w:t>
      </w:r>
      <w:r w:rsidR="005923FA" w:rsidRPr="00C917E1">
        <w:rPr>
          <w:rFonts w:asciiTheme="minorHAnsi" w:hAnsiTheme="minorHAnsi" w:cstheme="minorHAnsi"/>
        </w:rPr>
        <w:t xml:space="preserve">Monday, </w:t>
      </w:r>
      <w:r w:rsidR="00744864" w:rsidRPr="00C917E1">
        <w:rPr>
          <w:rFonts w:asciiTheme="minorHAnsi" w:hAnsiTheme="minorHAnsi" w:cstheme="minorHAnsi"/>
        </w:rPr>
        <w:t>April 8</w:t>
      </w:r>
      <w:r w:rsidR="006D0AB3" w:rsidRPr="00C917E1">
        <w:rPr>
          <w:rFonts w:asciiTheme="minorHAnsi" w:hAnsiTheme="minorHAnsi" w:cstheme="minorHAnsi"/>
        </w:rPr>
        <w:t>, 2024</w:t>
      </w:r>
      <w:r w:rsidR="00744864" w:rsidRPr="00C917E1">
        <w:rPr>
          <w:rFonts w:asciiTheme="minorHAnsi" w:hAnsiTheme="minorHAnsi" w:cstheme="minorHAnsi"/>
        </w:rPr>
        <w:t>, and will be followed by a press briefing with the Governor</w:t>
      </w:r>
      <w:r w:rsidR="00EE2D33" w:rsidRPr="00C917E1">
        <w:rPr>
          <w:rFonts w:asciiTheme="minorHAnsi" w:hAnsiTheme="minorHAnsi" w:cstheme="minorHAnsi"/>
        </w:rPr>
        <w:t>.</w:t>
      </w:r>
    </w:p>
    <w:sectPr w:rsidR="00D26730" w:rsidRPr="00C917E1" w:rsidSect="008A464C">
      <w:headerReference w:type="first" r:id="rId9"/>
      <w:type w:val="continuous"/>
      <w:pgSz w:w="11907" w:h="16839" w:code="9"/>
      <w:pgMar w:top="1701" w:right="1134" w:bottom="1304" w:left="1418"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D27CD" w14:textId="77777777" w:rsidR="009D5DF0" w:rsidRDefault="009D5DF0" w:rsidP="006A415B">
      <w:r>
        <w:separator/>
      </w:r>
    </w:p>
  </w:endnote>
  <w:endnote w:type="continuationSeparator" w:id="0">
    <w:p w14:paraId="0368BD1D" w14:textId="77777777" w:rsidR="009D5DF0" w:rsidRDefault="009D5DF0"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BF7D8" w14:textId="77777777" w:rsidR="009D5DF0" w:rsidRDefault="009D5DF0" w:rsidP="006A415B">
      <w:r>
        <w:separator/>
      </w:r>
    </w:p>
  </w:footnote>
  <w:footnote w:type="continuationSeparator" w:id="0">
    <w:p w14:paraId="7925C842" w14:textId="77777777" w:rsidR="009D5DF0" w:rsidRDefault="009D5DF0" w:rsidP="006A415B">
      <w:r>
        <w:continuationSeparator/>
      </w:r>
    </w:p>
  </w:footnote>
  <w:footnote w:id="1">
    <w:p w14:paraId="243634B1" w14:textId="59398918" w:rsidR="00D843F1" w:rsidRDefault="00D843F1" w:rsidP="00D843F1">
      <w:pPr>
        <w:pStyle w:val="af0"/>
      </w:pPr>
      <w:r>
        <w:rPr>
          <w:rStyle w:val="af2"/>
        </w:rPr>
        <w:footnoteRef/>
      </w:r>
      <w:r>
        <w:t xml:space="preserve"> In addition to unemployed persons under the normal definition, the broad unemployment rate includes employees who are temporarily absent for economic reasons (including those put on furlough). The definition of broad unemployment does not include employees who were absent from their jobs for other reasons, such as reserve duty, caring for children in the absence of day care or educational frameworks, and others.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619" w14:textId="5C9B0715" w:rsidR="006A415B" w:rsidRDefault="006A415B" w:rsidP="006A415B">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9"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
  </w:num>
  <w:num w:numId="6">
    <w:abstractNumId w:val="9"/>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20F9E"/>
    <w:rsid w:val="000247BE"/>
    <w:rsid w:val="0002574D"/>
    <w:rsid w:val="00026557"/>
    <w:rsid w:val="00026692"/>
    <w:rsid w:val="0002762F"/>
    <w:rsid w:val="0003080D"/>
    <w:rsid w:val="00032BD5"/>
    <w:rsid w:val="00032EAA"/>
    <w:rsid w:val="00033062"/>
    <w:rsid w:val="00033326"/>
    <w:rsid w:val="000359AC"/>
    <w:rsid w:val="0003624A"/>
    <w:rsid w:val="0003644D"/>
    <w:rsid w:val="000368DE"/>
    <w:rsid w:val="0004163E"/>
    <w:rsid w:val="000416AB"/>
    <w:rsid w:val="00041B69"/>
    <w:rsid w:val="00042865"/>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61166"/>
    <w:rsid w:val="00065057"/>
    <w:rsid w:val="000651F8"/>
    <w:rsid w:val="0006540D"/>
    <w:rsid w:val="000674E1"/>
    <w:rsid w:val="000677A6"/>
    <w:rsid w:val="00070DB3"/>
    <w:rsid w:val="00070EC2"/>
    <w:rsid w:val="000717B4"/>
    <w:rsid w:val="000743A2"/>
    <w:rsid w:val="00074B82"/>
    <w:rsid w:val="000769A8"/>
    <w:rsid w:val="000819C4"/>
    <w:rsid w:val="00081DD4"/>
    <w:rsid w:val="00084BF8"/>
    <w:rsid w:val="000851CE"/>
    <w:rsid w:val="000860E5"/>
    <w:rsid w:val="00086DD2"/>
    <w:rsid w:val="00087055"/>
    <w:rsid w:val="00087A89"/>
    <w:rsid w:val="0009033A"/>
    <w:rsid w:val="00091D07"/>
    <w:rsid w:val="00093CBA"/>
    <w:rsid w:val="00093E16"/>
    <w:rsid w:val="00094DC7"/>
    <w:rsid w:val="0009726C"/>
    <w:rsid w:val="000975E0"/>
    <w:rsid w:val="000A02E0"/>
    <w:rsid w:val="000A409C"/>
    <w:rsid w:val="000A4196"/>
    <w:rsid w:val="000A50C6"/>
    <w:rsid w:val="000A577B"/>
    <w:rsid w:val="000A57F1"/>
    <w:rsid w:val="000A7183"/>
    <w:rsid w:val="000A75E1"/>
    <w:rsid w:val="000A7BAF"/>
    <w:rsid w:val="000B00F9"/>
    <w:rsid w:val="000B0812"/>
    <w:rsid w:val="000B0CA3"/>
    <w:rsid w:val="000B10F7"/>
    <w:rsid w:val="000B1666"/>
    <w:rsid w:val="000B288C"/>
    <w:rsid w:val="000B5823"/>
    <w:rsid w:val="000B7A80"/>
    <w:rsid w:val="000C0090"/>
    <w:rsid w:val="000C06F5"/>
    <w:rsid w:val="000C1CAB"/>
    <w:rsid w:val="000C1D36"/>
    <w:rsid w:val="000C23B4"/>
    <w:rsid w:val="000C3838"/>
    <w:rsid w:val="000C4DCD"/>
    <w:rsid w:val="000C5920"/>
    <w:rsid w:val="000C5AD8"/>
    <w:rsid w:val="000C5C39"/>
    <w:rsid w:val="000C6506"/>
    <w:rsid w:val="000C79A3"/>
    <w:rsid w:val="000C7D5B"/>
    <w:rsid w:val="000D1004"/>
    <w:rsid w:val="000D1F86"/>
    <w:rsid w:val="000D370E"/>
    <w:rsid w:val="000D3FD7"/>
    <w:rsid w:val="000D41A9"/>
    <w:rsid w:val="000D53EB"/>
    <w:rsid w:val="000D5687"/>
    <w:rsid w:val="000D57DF"/>
    <w:rsid w:val="000D5952"/>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74B"/>
    <w:rsid w:val="000E690F"/>
    <w:rsid w:val="000E6DF7"/>
    <w:rsid w:val="000E77BF"/>
    <w:rsid w:val="000E7C33"/>
    <w:rsid w:val="000E7F9B"/>
    <w:rsid w:val="000F069A"/>
    <w:rsid w:val="000F10CC"/>
    <w:rsid w:val="000F11D7"/>
    <w:rsid w:val="000F1564"/>
    <w:rsid w:val="000F2AC0"/>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30AB"/>
    <w:rsid w:val="0012343B"/>
    <w:rsid w:val="00123AAE"/>
    <w:rsid w:val="001246CD"/>
    <w:rsid w:val="00124898"/>
    <w:rsid w:val="00124C58"/>
    <w:rsid w:val="0012539C"/>
    <w:rsid w:val="00127542"/>
    <w:rsid w:val="0013000B"/>
    <w:rsid w:val="0013004C"/>
    <w:rsid w:val="00130AEA"/>
    <w:rsid w:val="00130B18"/>
    <w:rsid w:val="00130FDA"/>
    <w:rsid w:val="00131DB9"/>
    <w:rsid w:val="00132757"/>
    <w:rsid w:val="00133702"/>
    <w:rsid w:val="00134E52"/>
    <w:rsid w:val="00135719"/>
    <w:rsid w:val="001361C4"/>
    <w:rsid w:val="00136EA2"/>
    <w:rsid w:val="00140663"/>
    <w:rsid w:val="001406C1"/>
    <w:rsid w:val="00145881"/>
    <w:rsid w:val="00145BF6"/>
    <w:rsid w:val="00146F92"/>
    <w:rsid w:val="00151E99"/>
    <w:rsid w:val="00152120"/>
    <w:rsid w:val="001530AA"/>
    <w:rsid w:val="0015502C"/>
    <w:rsid w:val="00155630"/>
    <w:rsid w:val="00155BAE"/>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1A9A"/>
    <w:rsid w:val="00174769"/>
    <w:rsid w:val="001758BE"/>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541B"/>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71B"/>
    <w:rsid w:val="001D1BFB"/>
    <w:rsid w:val="001D3676"/>
    <w:rsid w:val="001D398C"/>
    <w:rsid w:val="001D4181"/>
    <w:rsid w:val="001D42FB"/>
    <w:rsid w:val="001D4FF1"/>
    <w:rsid w:val="001D6C29"/>
    <w:rsid w:val="001D6F20"/>
    <w:rsid w:val="001E0025"/>
    <w:rsid w:val="001E02C6"/>
    <w:rsid w:val="001E2111"/>
    <w:rsid w:val="001E2404"/>
    <w:rsid w:val="001E29C0"/>
    <w:rsid w:val="001E2CC0"/>
    <w:rsid w:val="001E34CC"/>
    <w:rsid w:val="001E389F"/>
    <w:rsid w:val="001E3D28"/>
    <w:rsid w:val="001E59FB"/>
    <w:rsid w:val="001F0639"/>
    <w:rsid w:val="001F07C0"/>
    <w:rsid w:val="001F0BF6"/>
    <w:rsid w:val="001F1315"/>
    <w:rsid w:val="001F1511"/>
    <w:rsid w:val="001F2101"/>
    <w:rsid w:val="001F2855"/>
    <w:rsid w:val="001F2882"/>
    <w:rsid w:val="001F4879"/>
    <w:rsid w:val="001F5492"/>
    <w:rsid w:val="001F579B"/>
    <w:rsid w:val="001F688C"/>
    <w:rsid w:val="00201608"/>
    <w:rsid w:val="002016D1"/>
    <w:rsid w:val="002019AB"/>
    <w:rsid w:val="0020271C"/>
    <w:rsid w:val="00203AB5"/>
    <w:rsid w:val="00204ACD"/>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452"/>
    <w:rsid w:val="00230BCF"/>
    <w:rsid w:val="00232305"/>
    <w:rsid w:val="00233242"/>
    <w:rsid w:val="00234E8D"/>
    <w:rsid w:val="00235C2C"/>
    <w:rsid w:val="00235C9A"/>
    <w:rsid w:val="002372E6"/>
    <w:rsid w:val="0024000B"/>
    <w:rsid w:val="00240CBE"/>
    <w:rsid w:val="0024158D"/>
    <w:rsid w:val="00242029"/>
    <w:rsid w:val="002427B4"/>
    <w:rsid w:val="00242EA5"/>
    <w:rsid w:val="002439C2"/>
    <w:rsid w:val="002454BD"/>
    <w:rsid w:val="00246670"/>
    <w:rsid w:val="00246A77"/>
    <w:rsid w:val="00246AB4"/>
    <w:rsid w:val="00246D60"/>
    <w:rsid w:val="00247CB6"/>
    <w:rsid w:val="00250448"/>
    <w:rsid w:val="0025090B"/>
    <w:rsid w:val="0025241A"/>
    <w:rsid w:val="002530C3"/>
    <w:rsid w:val="002547EA"/>
    <w:rsid w:val="00255F78"/>
    <w:rsid w:val="00257C4F"/>
    <w:rsid w:val="002626D3"/>
    <w:rsid w:val="002629F2"/>
    <w:rsid w:val="00262B90"/>
    <w:rsid w:val="002636AB"/>
    <w:rsid w:val="00263FA4"/>
    <w:rsid w:val="00264450"/>
    <w:rsid w:val="002650AB"/>
    <w:rsid w:val="00265177"/>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42CA"/>
    <w:rsid w:val="00286644"/>
    <w:rsid w:val="0028776B"/>
    <w:rsid w:val="0029067D"/>
    <w:rsid w:val="002910D0"/>
    <w:rsid w:val="002916FD"/>
    <w:rsid w:val="002919ED"/>
    <w:rsid w:val="00291D49"/>
    <w:rsid w:val="00292AE0"/>
    <w:rsid w:val="00293151"/>
    <w:rsid w:val="002934E4"/>
    <w:rsid w:val="00295C50"/>
    <w:rsid w:val="00295D2E"/>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2E6D"/>
    <w:rsid w:val="002B3DBC"/>
    <w:rsid w:val="002B3E40"/>
    <w:rsid w:val="002B4F55"/>
    <w:rsid w:val="002C15F3"/>
    <w:rsid w:val="002C1A7A"/>
    <w:rsid w:val="002C22A9"/>
    <w:rsid w:val="002C2763"/>
    <w:rsid w:val="002C38FD"/>
    <w:rsid w:val="002C445A"/>
    <w:rsid w:val="002C487B"/>
    <w:rsid w:val="002C4A6D"/>
    <w:rsid w:val="002C5A95"/>
    <w:rsid w:val="002C7D1A"/>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71EB"/>
    <w:rsid w:val="002E7729"/>
    <w:rsid w:val="002E7AD8"/>
    <w:rsid w:val="002E7B00"/>
    <w:rsid w:val="002E7D48"/>
    <w:rsid w:val="002F016B"/>
    <w:rsid w:val="002F096E"/>
    <w:rsid w:val="002F0E94"/>
    <w:rsid w:val="002F20BA"/>
    <w:rsid w:val="002F3163"/>
    <w:rsid w:val="002F5E59"/>
    <w:rsid w:val="002F6313"/>
    <w:rsid w:val="002F692E"/>
    <w:rsid w:val="002F753C"/>
    <w:rsid w:val="00301247"/>
    <w:rsid w:val="00302399"/>
    <w:rsid w:val="00302999"/>
    <w:rsid w:val="00303B1E"/>
    <w:rsid w:val="00303DF5"/>
    <w:rsid w:val="00304BBE"/>
    <w:rsid w:val="00304F60"/>
    <w:rsid w:val="00305AB1"/>
    <w:rsid w:val="00305F78"/>
    <w:rsid w:val="00307300"/>
    <w:rsid w:val="00307FBB"/>
    <w:rsid w:val="00311F59"/>
    <w:rsid w:val="0031243C"/>
    <w:rsid w:val="0031276F"/>
    <w:rsid w:val="003131CF"/>
    <w:rsid w:val="0031384F"/>
    <w:rsid w:val="00315ECF"/>
    <w:rsid w:val="00316005"/>
    <w:rsid w:val="00316084"/>
    <w:rsid w:val="00316F56"/>
    <w:rsid w:val="0032005A"/>
    <w:rsid w:val="0032040A"/>
    <w:rsid w:val="0033191B"/>
    <w:rsid w:val="00332296"/>
    <w:rsid w:val="00333AE6"/>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2E3F"/>
    <w:rsid w:val="00353570"/>
    <w:rsid w:val="003536F8"/>
    <w:rsid w:val="003550D6"/>
    <w:rsid w:val="00357F0C"/>
    <w:rsid w:val="00357F6D"/>
    <w:rsid w:val="0036318B"/>
    <w:rsid w:val="003631F8"/>
    <w:rsid w:val="003633EB"/>
    <w:rsid w:val="00364B44"/>
    <w:rsid w:val="00364BF6"/>
    <w:rsid w:val="00365600"/>
    <w:rsid w:val="00366EB5"/>
    <w:rsid w:val="003700BC"/>
    <w:rsid w:val="00371435"/>
    <w:rsid w:val="00373127"/>
    <w:rsid w:val="00373778"/>
    <w:rsid w:val="00375488"/>
    <w:rsid w:val="003768AB"/>
    <w:rsid w:val="003768CB"/>
    <w:rsid w:val="003768D8"/>
    <w:rsid w:val="00376B9A"/>
    <w:rsid w:val="0037798D"/>
    <w:rsid w:val="00380EDD"/>
    <w:rsid w:val="00381848"/>
    <w:rsid w:val="003818F5"/>
    <w:rsid w:val="003826AF"/>
    <w:rsid w:val="00384D6F"/>
    <w:rsid w:val="00384FC9"/>
    <w:rsid w:val="00385FA7"/>
    <w:rsid w:val="003862E1"/>
    <w:rsid w:val="0038792F"/>
    <w:rsid w:val="00390733"/>
    <w:rsid w:val="00390BF8"/>
    <w:rsid w:val="00391453"/>
    <w:rsid w:val="00392CF9"/>
    <w:rsid w:val="003934A4"/>
    <w:rsid w:val="00394043"/>
    <w:rsid w:val="0039492F"/>
    <w:rsid w:val="0039501C"/>
    <w:rsid w:val="0039541D"/>
    <w:rsid w:val="003A0BC8"/>
    <w:rsid w:val="003A0C4B"/>
    <w:rsid w:val="003A0D02"/>
    <w:rsid w:val="003A111B"/>
    <w:rsid w:val="003A1F21"/>
    <w:rsid w:val="003A24A5"/>
    <w:rsid w:val="003A2DEE"/>
    <w:rsid w:val="003A31E7"/>
    <w:rsid w:val="003A329C"/>
    <w:rsid w:val="003A5885"/>
    <w:rsid w:val="003A6413"/>
    <w:rsid w:val="003A67E8"/>
    <w:rsid w:val="003A79DF"/>
    <w:rsid w:val="003B124D"/>
    <w:rsid w:val="003B13C5"/>
    <w:rsid w:val="003B230E"/>
    <w:rsid w:val="003B4D81"/>
    <w:rsid w:val="003B66C0"/>
    <w:rsid w:val="003C11FB"/>
    <w:rsid w:val="003C14D6"/>
    <w:rsid w:val="003C2445"/>
    <w:rsid w:val="003C30FD"/>
    <w:rsid w:val="003C3233"/>
    <w:rsid w:val="003C3925"/>
    <w:rsid w:val="003C44C1"/>
    <w:rsid w:val="003C4778"/>
    <w:rsid w:val="003C58CD"/>
    <w:rsid w:val="003C5B37"/>
    <w:rsid w:val="003D0C09"/>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769A"/>
    <w:rsid w:val="003F03DD"/>
    <w:rsid w:val="003F131B"/>
    <w:rsid w:val="003F2864"/>
    <w:rsid w:val="003F30E7"/>
    <w:rsid w:val="003F4249"/>
    <w:rsid w:val="003F4673"/>
    <w:rsid w:val="003F4ABC"/>
    <w:rsid w:val="003F53EA"/>
    <w:rsid w:val="003F6AAA"/>
    <w:rsid w:val="003F749D"/>
    <w:rsid w:val="003F7641"/>
    <w:rsid w:val="003F7E41"/>
    <w:rsid w:val="0040015E"/>
    <w:rsid w:val="004039C7"/>
    <w:rsid w:val="00403F5E"/>
    <w:rsid w:val="00404947"/>
    <w:rsid w:val="00405263"/>
    <w:rsid w:val="004071C8"/>
    <w:rsid w:val="00407BA2"/>
    <w:rsid w:val="00411275"/>
    <w:rsid w:val="00411CA3"/>
    <w:rsid w:val="0041296A"/>
    <w:rsid w:val="00412F81"/>
    <w:rsid w:val="00412FED"/>
    <w:rsid w:val="00413311"/>
    <w:rsid w:val="00414BFB"/>
    <w:rsid w:val="00416B45"/>
    <w:rsid w:val="00416FEB"/>
    <w:rsid w:val="0041770E"/>
    <w:rsid w:val="0041799D"/>
    <w:rsid w:val="004211B9"/>
    <w:rsid w:val="0042192F"/>
    <w:rsid w:val="004237A9"/>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FBD"/>
    <w:rsid w:val="00447D98"/>
    <w:rsid w:val="004509EB"/>
    <w:rsid w:val="00451259"/>
    <w:rsid w:val="0045242F"/>
    <w:rsid w:val="00452FC5"/>
    <w:rsid w:val="00453F91"/>
    <w:rsid w:val="004545D6"/>
    <w:rsid w:val="00454621"/>
    <w:rsid w:val="004554B0"/>
    <w:rsid w:val="00456CD0"/>
    <w:rsid w:val="0046248B"/>
    <w:rsid w:val="00466706"/>
    <w:rsid w:val="00466DE7"/>
    <w:rsid w:val="00467791"/>
    <w:rsid w:val="00471C49"/>
    <w:rsid w:val="004720BD"/>
    <w:rsid w:val="00473DE2"/>
    <w:rsid w:val="00477B53"/>
    <w:rsid w:val="00477FA3"/>
    <w:rsid w:val="00480DE5"/>
    <w:rsid w:val="004823D2"/>
    <w:rsid w:val="004845A4"/>
    <w:rsid w:val="00485AFA"/>
    <w:rsid w:val="0048603E"/>
    <w:rsid w:val="00492335"/>
    <w:rsid w:val="00493428"/>
    <w:rsid w:val="004937CC"/>
    <w:rsid w:val="004941E7"/>
    <w:rsid w:val="004954F3"/>
    <w:rsid w:val="00495650"/>
    <w:rsid w:val="0049621A"/>
    <w:rsid w:val="00496256"/>
    <w:rsid w:val="00496E15"/>
    <w:rsid w:val="00497FEB"/>
    <w:rsid w:val="004A075E"/>
    <w:rsid w:val="004A1061"/>
    <w:rsid w:val="004A1246"/>
    <w:rsid w:val="004A1D7D"/>
    <w:rsid w:val="004A3665"/>
    <w:rsid w:val="004A3D86"/>
    <w:rsid w:val="004A438B"/>
    <w:rsid w:val="004A44BB"/>
    <w:rsid w:val="004A45B0"/>
    <w:rsid w:val="004A4F50"/>
    <w:rsid w:val="004A5CA3"/>
    <w:rsid w:val="004A6965"/>
    <w:rsid w:val="004A7BC6"/>
    <w:rsid w:val="004B3AB0"/>
    <w:rsid w:val="004B3DEE"/>
    <w:rsid w:val="004B45B9"/>
    <w:rsid w:val="004B4906"/>
    <w:rsid w:val="004B4DF5"/>
    <w:rsid w:val="004B5BEA"/>
    <w:rsid w:val="004B64E5"/>
    <w:rsid w:val="004B738F"/>
    <w:rsid w:val="004C06DE"/>
    <w:rsid w:val="004C08F2"/>
    <w:rsid w:val="004C135E"/>
    <w:rsid w:val="004C142D"/>
    <w:rsid w:val="004C15B8"/>
    <w:rsid w:val="004C207B"/>
    <w:rsid w:val="004C251C"/>
    <w:rsid w:val="004C38BF"/>
    <w:rsid w:val="004C39EA"/>
    <w:rsid w:val="004C4007"/>
    <w:rsid w:val="004C438E"/>
    <w:rsid w:val="004C5400"/>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3A38"/>
    <w:rsid w:val="004F4C8C"/>
    <w:rsid w:val="004F5E20"/>
    <w:rsid w:val="004F6212"/>
    <w:rsid w:val="004F73DF"/>
    <w:rsid w:val="00500737"/>
    <w:rsid w:val="005010B3"/>
    <w:rsid w:val="00501441"/>
    <w:rsid w:val="00502AD0"/>
    <w:rsid w:val="00503C89"/>
    <w:rsid w:val="00503D3C"/>
    <w:rsid w:val="005051A4"/>
    <w:rsid w:val="0050586D"/>
    <w:rsid w:val="0050630F"/>
    <w:rsid w:val="005102FC"/>
    <w:rsid w:val="00510833"/>
    <w:rsid w:val="005110A6"/>
    <w:rsid w:val="005138B6"/>
    <w:rsid w:val="00514240"/>
    <w:rsid w:val="0051464A"/>
    <w:rsid w:val="005150D5"/>
    <w:rsid w:val="0051551F"/>
    <w:rsid w:val="0051645D"/>
    <w:rsid w:val="00517C6A"/>
    <w:rsid w:val="00520147"/>
    <w:rsid w:val="0052048D"/>
    <w:rsid w:val="00521336"/>
    <w:rsid w:val="00521E60"/>
    <w:rsid w:val="0052292D"/>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7ED"/>
    <w:rsid w:val="00540C23"/>
    <w:rsid w:val="00542B79"/>
    <w:rsid w:val="00542C3E"/>
    <w:rsid w:val="00546183"/>
    <w:rsid w:val="00546A27"/>
    <w:rsid w:val="005471C8"/>
    <w:rsid w:val="00550BAA"/>
    <w:rsid w:val="00551BCE"/>
    <w:rsid w:val="00552983"/>
    <w:rsid w:val="0055298E"/>
    <w:rsid w:val="005529B6"/>
    <w:rsid w:val="00553766"/>
    <w:rsid w:val="0055401F"/>
    <w:rsid w:val="005544D4"/>
    <w:rsid w:val="0055453F"/>
    <w:rsid w:val="005551BD"/>
    <w:rsid w:val="00555366"/>
    <w:rsid w:val="00557817"/>
    <w:rsid w:val="00560CDB"/>
    <w:rsid w:val="00562685"/>
    <w:rsid w:val="0056369C"/>
    <w:rsid w:val="005663FF"/>
    <w:rsid w:val="0056707E"/>
    <w:rsid w:val="00567536"/>
    <w:rsid w:val="0057034B"/>
    <w:rsid w:val="00571488"/>
    <w:rsid w:val="005720F3"/>
    <w:rsid w:val="00573E1B"/>
    <w:rsid w:val="00573F41"/>
    <w:rsid w:val="00575563"/>
    <w:rsid w:val="00576274"/>
    <w:rsid w:val="00576794"/>
    <w:rsid w:val="00576C94"/>
    <w:rsid w:val="00576D35"/>
    <w:rsid w:val="00577A92"/>
    <w:rsid w:val="005804FF"/>
    <w:rsid w:val="0058128B"/>
    <w:rsid w:val="00581855"/>
    <w:rsid w:val="00581EC6"/>
    <w:rsid w:val="00582771"/>
    <w:rsid w:val="00583F50"/>
    <w:rsid w:val="00584883"/>
    <w:rsid w:val="0058494B"/>
    <w:rsid w:val="00584D01"/>
    <w:rsid w:val="0058524B"/>
    <w:rsid w:val="005855AF"/>
    <w:rsid w:val="00585AFD"/>
    <w:rsid w:val="00586B18"/>
    <w:rsid w:val="00586C4D"/>
    <w:rsid w:val="0058713A"/>
    <w:rsid w:val="005900CF"/>
    <w:rsid w:val="005901DA"/>
    <w:rsid w:val="005905BC"/>
    <w:rsid w:val="00591020"/>
    <w:rsid w:val="005922D0"/>
    <w:rsid w:val="005923FA"/>
    <w:rsid w:val="00593356"/>
    <w:rsid w:val="00593803"/>
    <w:rsid w:val="00595507"/>
    <w:rsid w:val="0059624C"/>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B96"/>
    <w:rsid w:val="005B1A5D"/>
    <w:rsid w:val="005B48AC"/>
    <w:rsid w:val="005B4F92"/>
    <w:rsid w:val="005B6E03"/>
    <w:rsid w:val="005C245E"/>
    <w:rsid w:val="005C36E7"/>
    <w:rsid w:val="005C426F"/>
    <w:rsid w:val="005C4360"/>
    <w:rsid w:val="005D07A1"/>
    <w:rsid w:val="005D0B28"/>
    <w:rsid w:val="005D1C73"/>
    <w:rsid w:val="005D1D68"/>
    <w:rsid w:val="005D257C"/>
    <w:rsid w:val="005D2B90"/>
    <w:rsid w:val="005D331D"/>
    <w:rsid w:val="005D3750"/>
    <w:rsid w:val="005D3898"/>
    <w:rsid w:val="005D50D4"/>
    <w:rsid w:val="005D57A4"/>
    <w:rsid w:val="005D6524"/>
    <w:rsid w:val="005D74FD"/>
    <w:rsid w:val="005D7745"/>
    <w:rsid w:val="005E0C50"/>
    <w:rsid w:val="005E1316"/>
    <w:rsid w:val="005E14FE"/>
    <w:rsid w:val="005E1622"/>
    <w:rsid w:val="005E1B97"/>
    <w:rsid w:val="005E40A9"/>
    <w:rsid w:val="005E5173"/>
    <w:rsid w:val="005E63F4"/>
    <w:rsid w:val="005E721B"/>
    <w:rsid w:val="005E7284"/>
    <w:rsid w:val="005F051E"/>
    <w:rsid w:val="005F0EF0"/>
    <w:rsid w:val="005F187B"/>
    <w:rsid w:val="005F3B09"/>
    <w:rsid w:val="005F5132"/>
    <w:rsid w:val="005F54EF"/>
    <w:rsid w:val="005F5E21"/>
    <w:rsid w:val="005F743B"/>
    <w:rsid w:val="00601375"/>
    <w:rsid w:val="00603B2B"/>
    <w:rsid w:val="00603C96"/>
    <w:rsid w:val="00604869"/>
    <w:rsid w:val="00605AC3"/>
    <w:rsid w:val="00607D9E"/>
    <w:rsid w:val="00611613"/>
    <w:rsid w:val="006125F0"/>
    <w:rsid w:val="00612AEA"/>
    <w:rsid w:val="00614AFC"/>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3254"/>
    <w:rsid w:val="00633683"/>
    <w:rsid w:val="00633738"/>
    <w:rsid w:val="006342C1"/>
    <w:rsid w:val="00634FD4"/>
    <w:rsid w:val="00636349"/>
    <w:rsid w:val="006374A9"/>
    <w:rsid w:val="0064051A"/>
    <w:rsid w:val="00642392"/>
    <w:rsid w:val="00642917"/>
    <w:rsid w:val="006435A0"/>
    <w:rsid w:val="00643F05"/>
    <w:rsid w:val="006453DC"/>
    <w:rsid w:val="00645835"/>
    <w:rsid w:val="00645A0E"/>
    <w:rsid w:val="00646176"/>
    <w:rsid w:val="0064690A"/>
    <w:rsid w:val="00647A20"/>
    <w:rsid w:val="00647DEE"/>
    <w:rsid w:val="0065018E"/>
    <w:rsid w:val="00650BE8"/>
    <w:rsid w:val="00650C10"/>
    <w:rsid w:val="00650CFB"/>
    <w:rsid w:val="00651B09"/>
    <w:rsid w:val="00653985"/>
    <w:rsid w:val="006564B8"/>
    <w:rsid w:val="0066010C"/>
    <w:rsid w:val="0066125E"/>
    <w:rsid w:val="00661521"/>
    <w:rsid w:val="006616A7"/>
    <w:rsid w:val="006620D9"/>
    <w:rsid w:val="00663F68"/>
    <w:rsid w:val="006661A7"/>
    <w:rsid w:val="00666482"/>
    <w:rsid w:val="006700ED"/>
    <w:rsid w:val="006704D5"/>
    <w:rsid w:val="0067190B"/>
    <w:rsid w:val="00671EDC"/>
    <w:rsid w:val="00680DD3"/>
    <w:rsid w:val="0068113A"/>
    <w:rsid w:val="00685749"/>
    <w:rsid w:val="0068610F"/>
    <w:rsid w:val="006870F5"/>
    <w:rsid w:val="00687473"/>
    <w:rsid w:val="0068764D"/>
    <w:rsid w:val="00690045"/>
    <w:rsid w:val="006900D5"/>
    <w:rsid w:val="00691041"/>
    <w:rsid w:val="0069226D"/>
    <w:rsid w:val="006922D6"/>
    <w:rsid w:val="00692C44"/>
    <w:rsid w:val="00693629"/>
    <w:rsid w:val="00694282"/>
    <w:rsid w:val="00694650"/>
    <w:rsid w:val="00694F7F"/>
    <w:rsid w:val="00695938"/>
    <w:rsid w:val="006972A6"/>
    <w:rsid w:val="00697A72"/>
    <w:rsid w:val="006A2746"/>
    <w:rsid w:val="006A3B72"/>
    <w:rsid w:val="006A415B"/>
    <w:rsid w:val="006A5916"/>
    <w:rsid w:val="006A702D"/>
    <w:rsid w:val="006A7396"/>
    <w:rsid w:val="006A7BE3"/>
    <w:rsid w:val="006B0918"/>
    <w:rsid w:val="006B0BE6"/>
    <w:rsid w:val="006B0C38"/>
    <w:rsid w:val="006B189E"/>
    <w:rsid w:val="006B1E5F"/>
    <w:rsid w:val="006B256D"/>
    <w:rsid w:val="006B2C60"/>
    <w:rsid w:val="006B2CA3"/>
    <w:rsid w:val="006B2FAE"/>
    <w:rsid w:val="006B51D0"/>
    <w:rsid w:val="006B5844"/>
    <w:rsid w:val="006B5DF4"/>
    <w:rsid w:val="006B6414"/>
    <w:rsid w:val="006B706A"/>
    <w:rsid w:val="006C0116"/>
    <w:rsid w:val="006C2728"/>
    <w:rsid w:val="006C3156"/>
    <w:rsid w:val="006C74F0"/>
    <w:rsid w:val="006D0AB3"/>
    <w:rsid w:val="006D0F2C"/>
    <w:rsid w:val="006D1284"/>
    <w:rsid w:val="006D18B5"/>
    <w:rsid w:val="006D4892"/>
    <w:rsid w:val="006D4BE2"/>
    <w:rsid w:val="006D7FC2"/>
    <w:rsid w:val="006E1084"/>
    <w:rsid w:val="006E3D57"/>
    <w:rsid w:val="006E5D42"/>
    <w:rsid w:val="006E7625"/>
    <w:rsid w:val="006F0D0B"/>
    <w:rsid w:val="006F18D3"/>
    <w:rsid w:val="006F1B26"/>
    <w:rsid w:val="006F399B"/>
    <w:rsid w:val="006F45DE"/>
    <w:rsid w:val="006F57C6"/>
    <w:rsid w:val="00700528"/>
    <w:rsid w:val="0070142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6AA8"/>
    <w:rsid w:val="0072011B"/>
    <w:rsid w:val="007205E2"/>
    <w:rsid w:val="00720C78"/>
    <w:rsid w:val="0072226A"/>
    <w:rsid w:val="00722EB7"/>
    <w:rsid w:val="0072302E"/>
    <w:rsid w:val="00724025"/>
    <w:rsid w:val="00724351"/>
    <w:rsid w:val="00725D4F"/>
    <w:rsid w:val="0073084D"/>
    <w:rsid w:val="00730D72"/>
    <w:rsid w:val="00731365"/>
    <w:rsid w:val="007328B8"/>
    <w:rsid w:val="0073301E"/>
    <w:rsid w:val="007336D4"/>
    <w:rsid w:val="007343B7"/>
    <w:rsid w:val="007420E7"/>
    <w:rsid w:val="00742C56"/>
    <w:rsid w:val="0074329C"/>
    <w:rsid w:val="00743BA3"/>
    <w:rsid w:val="007441D8"/>
    <w:rsid w:val="007445FC"/>
    <w:rsid w:val="00744864"/>
    <w:rsid w:val="00746F29"/>
    <w:rsid w:val="00747277"/>
    <w:rsid w:val="00750F77"/>
    <w:rsid w:val="00751646"/>
    <w:rsid w:val="007521B2"/>
    <w:rsid w:val="007535D6"/>
    <w:rsid w:val="0075413E"/>
    <w:rsid w:val="0075475A"/>
    <w:rsid w:val="00755CA9"/>
    <w:rsid w:val="00756D44"/>
    <w:rsid w:val="00760246"/>
    <w:rsid w:val="007610BA"/>
    <w:rsid w:val="00761407"/>
    <w:rsid w:val="007632DF"/>
    <w:rsid w:val="007649FF"/>
    <w:rsid w:val="00764D24"/>
    <w:rsid w:val="00765998"/>
    <w:rsid w:val="00766B23"/>
    <w:rsid w:val="00770194"/>
    <w:rsid w:val="00771C15"/>
    <w:rsid w:val="007724F6"/>
    <w:rsid w:val="00772CCD"/>
    <w:rsid w:val="00773125"/>
    <w:rsid w:val="00773B22"/>
    <w:rsid w:val="00773CE1"/>
    <w:rsid w:val="0077477E"/>
    <w:rsid w:val="00781B74"/>
    <w:rsid w:val="00783A4D"/>
    <w:rsid w:val="00784DC8"/>
    <w:rsid w:val="00785CA1"/>
    <w:rsid w:val="00786B8D"/>
    <w:rsid w:val="007905BF"/>
    <w:rsid w:val="00791E89"/>
    <w:rsid w:val="007924D0"/>
    <w:rsid w:val="007934C5"/>
    <w:rsid w:val="0079354A"/>
    <w:rsid w:val="007950FC"/>
    <w:rsid w:val="00795714"/>
    <w:rsid w:val="00795E82"/>
    <w:rsid w:val="00797A81"/>
    <w:rsid w:val="00797F9B"/>
    <w:rsid w:val="007A0F00"/>
    <w:rsid w:val="007A1138"/>
    <w:rsid w:val="007A25CE"/>
    <w:rsid w:val="007A3AB9"/>
    <w:rsid w:val="007A4A3C"/>
    <w:rsid w:val="007A504D"/>
    <w:rsid w:val="007A52B0"/>
    <w:rsid w:val="007A7B73"/>
    <w:rsid w:val="007B18C3"/>
    <w:rsid w:val="007B1987"/>
    <w:rsid w:val="007B4C78"/>
    <w:rsid w:val="007B5771"/>
    <w:rsid w:val="007B61AE"/>
    <w:rsid w:val="007B6F7A"/>
    <w:rsid w:val="007C0782"/>
    <w:rsid w:val="007C129F"/>
    <w:rsid w:val="007C3793"/>
    <w:rsid w:val="007C4697"/>
    <w:rsid w:val="007C4E6F"/>
    <w:rsid w:val="007C72C8"/>
    <w:rsid w:val="007D0D11"/>
    <w:rsid w:val="007D164E"/>
    <w:rsid w:val="007D3943"/>
    <w:rsid w:val="007D44E2"/>
    <w:rsid w:val="007D5000"/>
    <w:rsid w:val="007D5D5F"/>
    <w:rsid w:val="007D6A82"/>
    <w:rsid w:val="007E11A9"/>
    <w:rsid w:val="007E27C9"/>
    <w:rsid w:val="007E3E7D"/>
    <w:rsid w:val="007E50D6"/>
    <w:rsid w:val="007E5AB0"/>
    <w:rsid w:val="007E64C8"/>
    <w:rsid w:val="007E6F89"/>
    <w:rsid w:val="007E788A"/>
    <w:rsid w:val="007F036E"/>
    <w:rsid w:val="007F18F2"/>
    <w:rsid w:val="007F290D"/>
    <w:rsid w:val="007F2E58"/>
    <w:rsid w:val="007F30C5"/>
    <w:rsid w:val="007F37D0"/>
    <w:rsid w:val="007F3891"/>
    <w:rsid w:val="007F3A06"/>
    <w:rsid w:val="007F3AEE"/>
    <w:rsid w:val="007F525D"/>
    <w:rsid w:val="007F55BD"/>
    <w:rsid w:val="007F67D1"/>
    <w:rsid w:val="007F7712"/>
    <w:rsid w:val="00800AC4"/>
    <w:rsid w:val="00803140"/>
    <w:rsid w:val="00803F7D"/>
    <w:rsid w:val="008043AD"/>
    <w:rsid w:val="00806171"/>
    <w:rsid w:val="0080704C"/>
    <w:rsid w:val="00814507"/>
    <w:rsid w:val="008148A4"/>
    <w:rsid w:val="00815186"/>
    <w:rsid w:val="008155A5"/>
    <w:rsid w:val="00815B72"/>
    <w:rsid w:val="0082043A"/>
    <w:rsid w:val="0082220F"/>
    <w:rsid w:val="00822A08"/>
    <w:rsid w:val="00822A13"/>
    <w:rsid w:val="00822F9B"/>
    <w:rsid w:val="00823339"/>
    <w:rsid w:val="00825194"/>
    <w:rsid w:val="00825C42"/>
    <w:rsid w:val="00825DEC"/>
    <w:rsid w:val="00826972"/>
    <w:rsid w:val="008278C6"/>
    <w:rsid w:val="00827C7C"/>
    <w:rsid w:val="008312B2"/>
    <w:rsid w:val="00831D23"/>
    <w:rsid w:val="00833D7E"/>
    <w:rsid w:val="00833E7F"/>
    <w:rsid w:val="0083406F"/>
    <w:rsid w:val="00834534"/>
    <w:rsid w:val="00835BB5"/>
    <w:rsid w:val="008376EE"/>
    <w:rsid w:val="00841953"/>
    <w:rsid w:val="0084232C"/>
    <w:rsid w:val="0084269A"/>
    <w:rsid w:val="00842759"/>
    <w:rsid w:val="008430BB"/>
    <w:rsid w:val="0084359E"/>
    <w:rsid w:val="00843EF5"/>
    <w:rsid w:val="00843FE9"/>
    <w:rsid w:val="0084580D"/>
    <w:rsid w:val="00846AE2"/>
    <w:rsid w:val="00851499"/>
    <w:rsid w:val="00851F97"/>
    <w:rsid w:val="00853451"/>
    <w:rsid w:val="00854A5A"/>
    <w:rsid w:val="008569A1"/>
    <w:rsid w:val="00861E00"/>
    <w:rsid w:val="00862C10"/>
    <w:rsid w:val="00862E1F"/>
    <w:rsid w:val="00863182"/>
    <w:rsid w:val="008650C7"/>
    <w:rsid w:val="00866706"/>
    <w:rsid w:val="00867E0E"/>
    <w:rsid w:val="008707FF"/>
    <w:rsid w:val="00871152"/>
    <w:rsid w:val="0087128E"/>
    <w:rsid w:val="008723B2"/>
    <w:rsid w:val="00873E01"/>
    <w:rsid w:val="00873E69"/>
    <w:rsid w:val="00874916"/>
    <w:rsid w:val="008751C7"/>
    <w:rsid w:val="00877E61"/>
    <w:rsid w:val="008806BD"/>
    <w:rsid w:val="00880874"/>
    <w:rsid w:val="0088111D"/>
    <w:rsid w:val="0088184E"/>
    <w:rsid w:val="0088309B"/>
    <w:rsid w:val="00884FFA"/>
    <w:rsid w:val="0088510D"/>
    <w:rsid w:val="008871B5"/>
    <w:rsid w:val="008900D0"/>
    <w:rsid w:val="008916D5"/>
    <w:rsid w:val="008935C8"/>
    <w:rsid w:val="00893696"/>
    <w:rsid w:val="00893E32"/>
    <w:rsid w:val="0089407F"/>
    <w:rsid w:val="008A0B91"/>
    <w:rsid w:val="008A0D4B"/>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10241"/>
    <w:rsid w:val="00910993"/>
    <w:rsid w:val="00910A2C"/>
    <w:rsid w:val="00910D4E"/>
    <w:rsid w:val="00911F87"/>
    <w:rsid w:val="00912442"/>
    <w:rsid w:val="00913678"/>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D43"/>
    <w:rsid w:val="009412E7"/>
    <w:rsid w:val="00941D4D"/>
    <w:rsid w:val="00943AF1"/>
    <w:rsid w:val="00945227"/>
    <w:rsid w:val="00946D2C"/>
    <w:rsid w:val="00946DE0"/>
    <w:rsid w:val="00950DA4"/>
    <w:rsid w:val="00951119"/>
    <w:rsid w:val="00954D97"/>
    <w:rsid w:val="0095501E"/>
    <w:rsid w:val="009564F1"/>
    <w:rsid w:val="00956641"/>
    <w:rsid w:val="00963346"/>
    <w:rsid w:val="0096366A"/>
    <w:rsid w:val="0096380C"/>
    <w:rsid w:val="00965E25"/>
    <w:rsid w:val="00966233"/>
    <w:rsid w:val="00966369"/>
    <w:rsid w:val="009665AD"/>
    <w:rsid w:val="00967437"/>
    <w:rsid w:val="00967B33"/>
    <w:rsid w:val="009716C7"/>
    <w:rsid w:val="00971E10"/>
    <w:rsid w:val="00971E31"/>
    <w:rsid w:val="0097232D"/>
    <w:rsid w:val="00973E49"/>
    <w:rsid w:val="00975303"/>
    <w:rsid w:val="00975391"/>
    <w:rsid w:val="00975AC8"/>
    <w:rsid w:val="00976E9F"/>
    <w:rsid w:val="00976F6F"/>
    <w:rsid w:val="00981AE0"/>
    <w:rsid w:val="009826E2"/>
    <w:rsid w:val="00984545"/>
    <w:rsid w:val="00986174"/>
    <w:rsid w:val="009869F7"/>
    <w:rsid w:val="00987139"/>
    <w:rsid w:val="00987520"/>
    <w:rsid w:val="0099296F"/>
    <w:rsid w:val="0099673E"/>
    <w:rsid w:val="00996925"/>
    <w:rsid w:val="00997E06"/>
    <w:rsid w:val="00997E53"/>
    <w:rsid w:val="009A1677"/>
    <w:rsid w:val="009A1B5F"/>
    <w:rsid w:val="009A1E2F"/>
    <w:rsid w:val="009A1E70"/>
    <w:rsid w:val="009A6DB9"/>
    <w:rsid w:val="009A7C10"/>
    <w:rsid w:val="009B1018"/>
    <w:rsid w:val="009B1F02"/>
    <w:rsid w:val="009B28E0"/>
    <w:rsid w:val="009B3109"/>
    <w:rsid w:val="009B3484"/>
    <w:rsid w:val="009B41D5"/>
    <w:rsid w:val="009B49BA"/>
    <w:rsid w:val="009B568C"/>
    <w:rsid w:val="009B7AF1"/>
    <w:rsid w:val="009B7B44"/>
    <w:rsid w:val="009C0123"/>
    <w:rsid w:val="009C059A"/>
    <w:rsid w:val="009C0708"/>
    <w:rsid w:val="009C08CB"/>
    <w:rsid w:val="009C1610"/>
    <w:rsid w:val="009C1B47"/>
    <w:rsid w:val="009C2D55"/>
    <w:rsid w:val="009C3678"/>
    <w:rsid w:val="009C3D2E"/>
    <w:rsid w:val="009C3EB2"/>
    <w:rsid w:val="009C5D44"/>
    <w:rsid w:val="009C5E35"/>
    <w:rsid w:val="009C7283"/>
    <w:rsid w:val="009C76DD"/>
    <w:rsid w:val="009D058C"/>
    <w:rsid w:val="009D090E"/>
    <w:rsid w:val="009D0EA5"/>
    <w:rsid w:val="009D128B"/>
    <w:rsid w:val="009D2E23"/>
    <w:rsid w:val="009D5198"/>
    <w:rsid w:val="009D5DF0"/>
    <w:rsid w:val="009D7291"/>
    <w:rsid w:val="009D73AC"/>
    <w:rsid w:val="009E0C06"/>
    <w:rsid w:val="009E0D57"/>
    <w:rsid w:val="009E30C6"/>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A01"/>
    <w:rsid w:val="00A05EEA"/>
    <w:rsid w:val="00A065B6"/>
    <w:rsid w:val="00A06DD4"/>
    <w:rsid w:val="00A103CB"/>
    <w:rsid w:val="00A11981"/>
    <w:rsid w:val="00A12265"/>
    <w:rsid w:val="00A12956"/>
    <w:rsid w:val="00A14070"/>
    <w:rsid w:val="00A141C9"/>
    <w:rsid w:val="00A143B4"/>
    <w:rsid w:val="00A14502"/>
    <w:rsid w:val="00A14AFB"/>
    <w:rsid w:val="00A15401"/>
    <w:rsid w:val="00A15DB4"/>
    <w:rsid w:val="00A15E89"/>
    <w:rsid w:val="00A16834"/>
    <w:rsid w:val="00A2024E"/>
    <w:rsid w:val="00A20358"/>
    <w:rsid w:val="00A21908"/>
    <w:rsid w:val="00A21A31"/>
    <w:rsid w:val="00A256FF"/>
    <w:rsid w:val="00A25F53"/>
    <w:rsid w:val="00A2604E"/>
    <w:rsid w:val="00A275D5"/>
    <w:rsid w:val="00A30B19"/>
    <w:rsid w:val="00A30B37"/>
    <w:rsid w:val="00A30BAD"/>
    <w:rsid w:val="00A321A4"/>
    <w:rsid w:val="00A32278"/>
    <w:rsid w:val="00A3304A"/>
    <w:rsid w:val="00A40936"/>
    <w:rsid w:val="00A41536"/>
    <w:rsid w:val="00A41E8C"/>
    <w:rsid w:val="00A420A7"/>
    <w:rsid w:val="00A44016"/>
    <w:rsid w:val="00A454D7"/>
    <w:rsid w:val="00A4586D"/>
    <w:rsid w:val="00A464CA"/>
    <w:rsid w:val="00A50DC3"/>
    <w:rsid w:val="00A50E20"/>
    <w:rsid w:val="00A51ADB"/>
    <w:rsid w:val="00A5220B"/>
    <w:rsid w:val="00A52A71"/>
    <w:rsid w:val="00A53C1A"/>
    <w:rsid w:val="00A53D07"/>
    <w:rsid w:val="00A54646"/>
    <w:rsid w:val="00A56C52"/>
    <w:rsid w:val="00A57341"/>
    <w:rsid w:val="00A57563"/>
    <w:rsid w:val="00A57B74"/>
    <w:rsid w:val="00A60E11"/>
    <w:rsid w:val="00A60F36"/>
    <w:rsid w:val="00A61118"/>
    <w:rsid w:val="00A6208A"/>
    <w:rsid w:val="00A625B1"/>
    <w:rsid w:val="00A63260"/>
    <w:rsid w:val="00A634C5"/>
    <w:rsid w:val="00A70443"/>
    <w:rsid w:val="00A713DF"/>
    <w:rsid w:val="00A71F2F"/>
    <w:rsid w:val="00A72AFB"/>
    <w:rsid w:val="00A7319A"/>
    <w:rsid w:val="00A732BF"/>
    <w:rsid w:val="00A743DC"/>
    <w:rsid w:val="00A74559"/>
    <w:rsid w:val="00A7460B"/>
    <w:rsid w:val="00A75BCC"/>
    <w:rsid w:val="00A76781"/>
    <w:rsid w:val="00A77E2B"/>
    <w:rsid w:val="00A80B4F"/>
    <w:rsid w:val="00A814B5"/>
    <w:rsid w:val="00A825B6"/>
    <w:rsid w:val="00A83D9F"/>
    <w:rsid w:val="00A8685D"/>
    <w:rsid w:val="00A86CB9"/>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B0CC5"/>
    <w:rsid w:val="00AB1AB5"/>
    <w:rsid w:val="00AB23BD"/>
    <w:rsid w:val="00AB38AB"/>
    <w:rsid w:val="00AB495B"/>
    <w:rsid w:val="00AB6337"/>
    <w:rsid w:val="00AC21BC"/>
    <w:rsid w:val="00AC221E"/>
    <w:rsid w:val="00AC6C6F"/>
    <w:rsid w:val="00AC77FE"/>
    <w:rsid w:val="00AD12BC"/>
    <w:rsid w:val="00AD1880"/>
    <w:rsid w:val="00AD1B36"/>
    <w:rsid w:val="00AD223F"/>
    <w:rsid w:val="00AD2B18"/>
    <w:rsid w:val="00AD3409"/>
    <w:rsid w:val="00AD34AB"/>
    <w:rsid w:val="00AD3ED5"/>
    <w:rsid w:val="00AD431C"/>
    <w:rsid w:val="00AD5390"/>
    <w:rsid w:val="00AD692D"/>
    <w:rsid w:val="00AE0889"/>
    <w:rsid w:val="00AE08EC"/>
    <w:rsid w:val="00AE0F90"/>
    <w:rsid w:val="00AE25B5"/>
    <w:rsid w:val="00AE3BBE"/>
    <w:rsid w:val="00AE7482"/>
    <w:rsid w:val="00AE7A3F"/>
    <w:rsid w:val="00AF040C"/>
    <w:rsid w:val="00AF176C"/>
    <w:rsid w:val="00AF1AC4"/>
    <w:rsid w:val="00AF215A"/>
    <w:rsid w:val="00AF26A2"/>
    <w:rsid w:val="00AF2AC8"/>
    <w:rsid w:val="00AF6FB3"/>
    <w:rsid w:val="00AF7343"/>
    <w:rsid w:val="00AF7BDE"/>
    <w:rsid w:val="00AF7DC8"/>
    <w:rsid w:val="00AF7F04"/>
    <w:rsid w:val="00B001AB"/>
    <w:rsid w:val="00B0046F"/>
    <w:rsid w:val="00B008CC"/>
    <w:rsid w:val="00B00D0F"/>
    <w:rsid w:val="00B012AC"/>
    <w:rsid w:val="00B013D5"/>
    <w:rsid w:val="00B0166C"/>
    <w:rsid w:val="00B02C2E"/>
    <w:rsid w:val="00B0583E"/>
    <w:rsid w:val="00B06A1D"/>
    <w:rsid w:val="00B06F91"/>
    <w:rsid w:val="00B101B6"/>
    <w:rsid w:val="00B1253F"/>
    <w:rsid w:val="00B126F0"/>
    <w:rsid w:val="00B12B12"/>
    <w:rsid w:val="00B12C37"/>
    <w:rsid w:val="00B13CF3"/>
    <w:rsid w:val="00B13ED2"/>
    <w:rsid w:val="00B1477C"/>
    <w:rsid w:val="00B14B7A"/>
    <w:rsid w:val="00B14C6C"/>
    <w:rsid w:val="00B15DE6"/>
    <w:rsid w:val="00B16D92"/>
    <w:rsid w:val="00B170A1"/>
    <w:rsid w:val="00B1748B"/>
    <w:rsid w:val="00B20D7B"/>
    <w:rsid w:val="00B218DD"/>
    <w:rsid w:val="00B21A5B"/>
    <w:rsid w:val="00B23900"/>
    <w:rsid w:val="00B241E7"/>
    <w:rsid w:val="00B268A6"/>
    <w:rsid w:val="00B26F56"/>
    <w:rsid w:val="00B26FE8"/>
    <w:rsid w:val="00B27B1A"/>
    <w:rsid w:val="00B32A27"/>
    <w:rsid w:val="00B33102"/>
    <w:rsid w:val="00B34AF7"/>
    <w:rsid w:val="00B3572B"/>
    <w:rsid w:val="00B36007"/>
    <w:rsid w:val="00B375CE"/>
    <w:rsid w:val="00B4001D"/>
    <w:rsid w:val="00B41882"/>
    <w:rsid w:val="00B423C0"/>
    <w:rsid w:val="00B446F9"/>
    <w:rsid w:val="00B44C22"/>
    <w:rsid w:val="00B46F04"/>
    <w:rsid w:val="00B524A5"/>
    <w:rsid w:val="00B5256F"/>
    <w:rsid w:val="00B535E9"/>
    <w:rsid w:val="00B54222"/>
    <w:rsid w:val="00B54CF1"/>
    <w:rsid w:val="00B55414"/>
    <w:rsid w:val="00B6025D"/>
    <w:rsid w:val="00B60C62"/>
    <w:rsid w:val="00B612B3"/>
    <w:rsid w:val="00B62748"/>
    <w:rsid w:val="00B636D0"/>
    <w:rsid w:val="00B660F7"/>
    <w:rsid w:val="00B70BA0"/>
    <w:rsid w:val="00B71946"/>
    <w:rsid w:val="00B7367F"/>
    <w:rsid w:val="00B74095"/>
    <w:rsid w:val="00B74B41"/>
    <w:rsid w:val="00B74C0F"/>
    <w:rsid w:val="00B755D8"/>
    <w:rsid w:val="00B80A54"/>
    <w:rsid w:val="00B843DA"/>
    <w:rsid w:val="00B856EC"/>
    <w:rsid w:val="00B90B74"/>
    <w:rsid w:val="00B91C2A"/>
    <w:rsid w:val="00B93994"/>
    <w:rsid w:val="00B93E56"/>
    <w:rsid w:val="00B96836"/>
    <w:rsid w:val="00BA018E"/>
    <w:rsid w:val="00BA0B90"/>
    <w:rsid w:val="00BA1241"/>
    <w:rsid w:val="00BA1FB9"/>
    <w:rsid w:val="00BA24BD"/>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F25"/>
    <w:rsid w:val="00BC67CC"/>
    <w:rsid w:val="00BD008B"/>
    <w:rsid w:val="00BD0C39"/>
    <w:rsid w:val="00BD0F8E"/>
    <w:rsid w:val="00BD3656"/>
    <w:rsid w:val="00BD41D1"/>
    <w:rsid w:val="00BD71DA"/>
    <w:rsid w:val="00BD7799"/>
    <w:rsid w:val="00BD7EFB"/>
    <w:rsid w:val="00BE0D4A"/>
    <w:rsid w:val="00BE1021"/>
    <w:rsid w:val="00BE1941"/>
    <w:rsid w:val="00BE233F"/>
    <w:rsid w:val="00BE243F"/>
    <w:rsid w:val="00BE26C8"/>
    <w:rsid w:val="00BE37D7"/>
    <w:rsid w:val="00BE37EF"/>
    <w:rsid w:val="00BE4458"/>
    <w:rsid w:val="00BE61BA"/>
    <w:rsid w:val="00BE7F4C"/>
    <w:rsid w:val="00BF0761"/>
    <w:rsid w:val="00BF18F1"/>
    <w:rsid w:val="00BF1D5A"/>
    <w:rsid w:val="00BF347D"/>
    <w:rsid w:val="00BF4973"/>
    <w:rsid w:val="00BF669F"/>
    <w:rsid w:val="00BF78F9"/>
    <w:rsid w:val="00BF7CA9"/>
    <w:rsid w:val="00BF7CD8"/>
    <w:rsid w:val="00C00510"/>
    <w:rsid w:val="00C0080B"/>
    <w:rsid w:val="00C01426"/>
    <w:rsid w:val="00C02C89"/>
    <w:rsid w:val="00C03729"/>
    <w:rsid w:val="00C03917"/>
    <w:rsid w:val="00C03B5E"/>
    <w:rsid w:val="00C04309"/>
    <w:rsid w:val="00C048D3"/>
    <w:rsid w:val="00C04BCB"/>
    <w:rsid w:val="00C05010"/>
    <w:rsid w:val="00C0646B"/>
    <w:rsid w:val="00C064E6"/>
    <w:rsid w:val="00C068BC"/>
    <w:rsid w:val="00C0773C"/>
    <w:rsid w:val="00C122D0"/>
    <w:rsid w:val="00C13566"/>
    <w:rsid w:val="00C13569"/>
    <w:rsid w:val="00C1469C"/>
    <w:rsid w:val="00C146D6"/>
    <w:rsid w:val="00C155D7"/>
    <w:rsid w:val="00C15621"/>
    <w:rsid w:val="00C15BCF"/>
    <w:rsid w:val="00C15C22"/>
    <w:rsid w:val="00C1628A"/>
    <w:rsid w:val="00C16323"/>
    <w:rsid w:val="00C16BDC"/>
    <w:rsid w:val="00C16FCA"/>
    <w:rsid w:val="00C1707B"/>
    <w:rsid w:val="00C17F5D"/>
    <w:rsid w:val="00C20571"/>
    <w:rsid w:val="00C225C1"/>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40AB6"/>
    <w:rsid w:val="00C40C43"/>
    <w:rsid w:val="00C40C58"/>
    <w:rsid w:val="00C42FD3"/>
    <w:rsid w:val="00C460F1"/>
    <w:rsid w:val="00C46823"/>
    <w:rsid w:val="00C470B8"/>
    <w:rsid w:val="00C47B3A"/>
    <w:rsid w:val="00C506AD"/>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605F8"/>
    <w:rsid w:val="00C611EE"/>
    <w:rsid w:val="00C61BF8"/>
    <w:rsid w:val="00C627B2"/>
    <w:rsid w:val="00C63086"/>
    <w:rsid w:val="00C632A3"/>
    <w:rsid w:val="00C63E3E"/>
    <w:rsid w:val="00C64083"/>
    <w:rsid w:val="00C64458"/>
    <w:rsid w:val="00C65B6D"/>
    <w:rsid w:val="00C65D79"/>
    <w:rsid w:val="00C67056"/>
    <w:rsid w:val="00C67208"/>
    <w:rsid w:val="00C67DB0"/>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17E1"/>
    <w:rsid w:val="00C934C4"/>
    <w:rsid w:val="00C93E34"/>
    <w:rsid w:val="00C94B58"/>
    <w:rsid w:val="00C96E60"/>
    <w:rsid w:val="00CA1380"/>
    <w:rsid w:val="00CA1A90"/>
    <w:rsid w:val="00CA3997"/>
    <w:rsid w:val="00CA3EA8"/>
    <w:rsid w:val="00CA3ED1"/>
    <w:rsid w:val="00CA597B"/>
    <w:rsid w:val="00CA6DAA"/>
    <w:rsid w:val="00CA7BAE"/>
    <w:rsid w:val="00CB01C0"/>
    <w:rsid w:val="00CB04ED"/>
    <w:rsid w:val="00CB0688"/>
    <w:rsid w:val="00CB0786"/>
    <w:rsid w:val="00CB0A1F"/>
    <w:rsid w:val="00CB10FE"/>
    <w:rsid w:val="00CB168D"/>
    <w:rsid w:val="00CB325A"/>
    <w:rsid w:val="00CB38D1"/>
    <w:rsid w:val="00CB5669"/>
    <w:rsid w:val="00CB5CEE"/>
    <w:rsid w:val="00CB7AAA"/>
    <w:rsid w:val="00CC0780"/>
    <w:rsid w:val="00CC0AC5"/>
    <w:rsid w:val="00CC0B66"/>
    <w:rsid w:val="00CC1B10"/>
    <w:rsid w:val="00CC3A8B"/>
    <w:rsid w:val="00CC4100"/>
    <w:rsid w:val="00CC5E28"/>
    <w:rsid w:val="00CC6B2B"/>
    <w:rsid w:val="00CC7B21"/>
    <w:rsid w:val="00CC7DDF"/>
    <w:rsid w:val="00CD0A13"/>
    <w:rsid w:val="00CD0E63"/>
    <w:rsid w:val="00CD11AD"/>
    <w:rsid w:val="00CD315E"/>
    <w:rsid w:val="00CD41F4"/>
    <w:rsid w:val="00CD47FB"/>
    <w:rsid w:val="00CD4A8B"/>
    <w:rsid w:val="00CD54E1"/>
    <w:rsid w:val="00CD579F"/>
    <w:rsid w:val="00CD76C2"/>
    <w:rsid w:val="00CD7DBF"/>
    <w:rsid w:val="00CE2C39"/>
    <w:rsid w:val="00CE348F"/>
    <w:rsid w:val="00CE3F6C"/>
    <w:rsid w:val="00CE42CD"/>
    <w:rsid w:val="00CE4477"/>
    <w:rsid w:val="00CE4490"/>
    <w:rsid w:val="00CE53FE"/>
    <w:rsid w:val="00CE67A8"/>
    <w:rsid w:val="00CE7103"/>
    <w:rsid w:val="00CF1487"/>
    <w:rsid w:val="00CF3288"/>
    <w:rsid w:val="00CF35CB"/>
    <w:rsid w:val="00CF629A"/>
    <w:rsid w:val="00CF688C"/>
    <w:rsid w:val="00D00A87"/>
    <w:rsid w:val="00D010B8"/>
    <w:rsid w:val="00D01982"/>
    <w:rsid w:val="00D04EBE"/>
    <w:rsid w:val="00D063D7"/>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5441"/>
    <w:rsid w:val="00D464F5"/>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57BF2"/>
    <w:rsid w:val="00D60F28"/>
    <w:rsid w:val="00D612DA"/>
    <w:rsid w:val="00D62DB4"/>
    <w:rsid w:val="00D631B0"/>
    <w:rsid w:val="00D632DC"/>
    <w:rsid w:val="00D634C1"/>
    <w:rsid w:val="00D65B5A"/>
    <w:rsid w:val="00D70379"/>
    <w:rsid w:val="00D7159F"/>
    <w:rsid w:val="00D71FD7"/>
    <w:rsid w:val="00D73BA7"/>
    <w:rsid w:val="00D74198"/>
    <w:rsid w:val="00D7490A"/>
    <w:rsid w:val="00D74C8D"/>
    <w:rsid w:val="00D75979"/>
    <w:rsid w:val="00D7600E"/>
    <w:rsid w:val="00D76919"/>
    <w:rsid w:val="00D77B85"/>
    <w:rsid w:val="00D817D9"/>
    <w:rsid w:val="00D81CBD"/>
    <w:rsid w:val="00D838EC"/>
    <w:rsid w:val="00D83BBC"/>
    <w:rsid w:val="00D83FCE"/>
    <w:rsid w:val="00D843F1"/>
    <w:rsid w:val="00D84EE9"/>
    <w:rsid w:val="00D86422"/>
    <w:rsid w:val="00D86A07"/>
    <w:rsid w:val="00D86D7C"/>
    <w:rsid w:val="00D872F0"/>
    <w:rsid w:val="00D91A4B"/>
    <w:rsid w:val="00D91BFA"/>
    <w:rsid w:val="00D92106"/>
    <w:rsid w:val="00D92ED4"/>
    <w:rsid w:val="00D93D35"/>
    <w:rsid w:val="00D94096"/>
    <w:rsid w:val="00D96FBA"/>
    <w:rsid w:val="00D97DD2"/>
    <w:rsid w:val="00DA1A36"/>
    <w:rsid w:val="00DA1CE9"/>
    <w:rsid w:val="00DA30D0"/>
    <w:rsid w:val="00DA4482"/>
    <w:rsid w:val="00DA768C"/>
    <w:rsid w:val="00DA7D93"/>
    <w:rsid w:val="00DB01C3"/>
    <w:rsid w:val="00DB03F7"/>
    <w:rsid w:val="00DB0D4B"/>
    <w:rsid w:val="00DB116A"/>
    <w:rsid w:val="00DB372C"/>
    <w:rsid w:val="00DB494B"/>
    <w:rsid w:val="00DB5218"/>
    <w:rsid w:val="00DB5D55"/>
    <w:rsid w:val="00DB5EEC"/>
    <w:rsid w:val="00DB5EFC"/>
    <w:rsid w:val="00DB79A4"/>
    <w:rsid w:val="00DC0C36"/>
    <w:rsid w:val="00DC1A7E"/>
    <w:rsid w:val="00DC1E42"/>
    <w:rsid w:val="00DC429A"/>
    <w:rsid w:val="00DC504E"/>
    <w:rsid w:val="00DC51DA"/>
    <w:rsid w:val="00DC59DD"/>
    <w:rsid w:val="00DC6722"/>
    <w:rsid w:val="00DC7CC8"/>
    <w:rsid w:val="00DC7EEA"/>
    <w:rsid w:val="00DC7F8C"/>
    <w:rsid w:val="00DD0401"/>
    <w:rsid w:val="00DD0C09"/>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12FB"/>
    <w:rsid w:val="00DF1564"/>
    <w:rsid w:val="00DF2CCB"/>
    <w:rsid w:val="00DF3816"/>
    <w:rsid w:val="00DF3986"/>
    <w:rsid w:val="00DF3AD2"/>
    <w:rsid w:val="00DF42B7"/>
    <w:rsid w:val="00DF56EA"/>
    <w:rsid w:val="00DF61F5"/>
    <w:rsid w:val="00DF7497"/>
    <w:rsid w:val="00E002A5"/>
    <w:rsid w:val="00E0312A"/>
    <w:rsid w:val="00E04BC5"/>
    <w:rsid w:val="00E04C2A"/>
    <w:rsid w:val="00E069CE"/>
    <w:rsid w:val="00E079DC"/>
    <w:rsid w:val="00E07FB6"/>
    <w:rsid w:val="00E10420"/>
    <w:rsid w:val="00E136FD"/>
    <w:rsid w:val="00E15BC5"/>
    <w:rsid w:val="00E15CDB"/>
    <w:rsid w:val="00E16439"/>
    <w:rsid w:val="00E16589"/>
    <w:rsid w:val="00E201E3"/>
    <w:rsid w:val="00E20E0F"/>
    <w:rsid w:val="00E23622"/>
    <w:rsid w:val="00E238AC"/>
    <w:rsid w:val="00E23F0D"/>
    <w:rsid w:val="00E25CA4"/>
    <w:rsid w:val="00E2713F"/>
    <w:rsid w:val="00E276D5"/>
    <w:rsid w:val="00E278C2"/>
    <w:rsid w:val="00E31B33"/>
    <w:rsid w:val="00E32EEE"/>
    <w:rsid w:val="00E333AF"/>
    <w:rsid w:val="00E33B5B"/>
    <w:rsid w:val="00E3434F"/>
    <w:rsid w:val="00E35244"/>
    <w:rsid w:val="00E35314"/>
    <w:rsid w:val="00E35E0E"/>
    <w:rsid w:val="00E3603B"/>
    <w:rsid w:val="00E37C4C"/>
    <w:rsid w:val="00E37FEF"/>
    <w:rsid w:val="00E434E4"/>
    <w:rsid w:val="00E45BED"/>
    <w:rsid w:val="00E46037"/>
    <w:rsid w:val="00E463F9"/>
    <w:rsid w:val="00E46748"/>
    <w:rsid w:val="00E47F27"/>
    <w:rsid w:val="00E51039"/>
    <w:rsid w:val="00E53C13"/>
    <w:rsid w:val="00E5457F"/>
    <w:rsid w:val="00E55A69"/>
    <w:rsid w:val="00E5731A"/>
    <w:rsid w:val="00E57A8A"/>
    <w:rsid w:val="00E57A9E"/>
    <w:rsid w:val="00E60287"/>
    <w:rsid w:val="00E629C8"/>
    <w:rsid w:val="00E63DBF"/>
    <w:rsid w:val="00E66BD7"/>
    <w:rsid w:val="00E66DD5"/>
    <w:rsid w:val="00E679A3"/>
    <w:rsid w:val="00E710EB"/>
    <w:rsid w:val="00E719EB"/>
    <w:rsid w:val="00E72481"/>
    <w:rsid w:val="00E72923"/>
    <w:rsid w:val="00E73E6C"/>
    <w:rsid w:val="00E74B34"/>
    <w:rsid w:val="00E762F8"/>
    <w:rsid w:val="00E76692"/>
    <w:rsid w:val="00E81C62"/>
    <w:rsid w:val="00E83EC0"/>
    <w:rsid w:val="00E84B02"/>
    <w:rsid w:val="00E901FE"/>
    <w:rsid w:val="00E9188F"/>
    <w:rsid w:val="00E91AB9"/>
    <w:rsid w:val="00E936DC"/>
    <w:rsid w:val="00EA0BAE"/>
    <w:rsid w:val="00EA2B1E"/>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2606"/>
    <w:rsid w:val="00EC2AD6"/>
    <w:rsid w:val="00EC31C8"/>
    <w:rsid w:val="00EC43CA"/>
    <w:rsid w:val="00EC4B58"/>
    <w:rsid w:val="00EC5556"/>
    <w:rsid w:val="00ED1877"/>
    <w:rsid w:val="00ED3261"/>
    <w:rsid w:val="00ED3EA8"/>
    <w:rsid w:val="00ED4C18"/>
    <w:rsid w:val="00ED52E2"/>
    <w:rsid w:val="00ED5DB5"/>
    <w:rsid w:val="00ED67C8"/>
    <w:rsid w:val="00ED6CB5"/>
    <w:rsid w:val="00ED7FC6"/>
    <w:rsid w:val="00EE09FB"/>
    <w:rsid w:val="00EE12B3"/>
    <w:rsid w:val="00EE15CD"/>
    <w:rsid w:val="00EE1EC1"/>
    <w:rsid w:val="00EE2344"/>
    <w:rsid w:val="00EE2D33"/>
    <w:rsid w:val="00EE3919"/>
    <w:rsid w:val="00EE3D55"/>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20B0A"/>
    <w:rsid w:val="00F219A9"/>
    <w:rsid w:val="00F22008"/>
    <w:rsid w:val="00F221E8"/>
    <w:rsid w:val="00F23297"/>
    <w:rsid w:val="00F2678C"/>
    <w:rsid w:val="00F271F0"/>
    <w:rsid w:val="00F3026C"/>
    <w:rsid w:val="00F3028E"/>
    <w:rsid w:val="00F303E9"/>
    <w:rsid w:val="00F3046D"/>
    <w:rsid w:val="00F30946"/>
    <w:rsid w:val="00F35150"/>
    <w:rsid w:val="00F35D09"/>
    <w:rsid w:val="00F365E8"/>
    <w:rsid w:val="00F36A3E"/>
    <w:rsid w:val="00F40974"/>
    <w:rsid w:val="00F4129B"/>
    <w:rsid w:val="00F42DD6"/>
    <w:rsid w:val="00F4333E"/>
    <w:rsid w:val="00F445BB"/>
    <w:rsid w:val="00F4641A"/>
    <w:rsid w:val="00F53197"/>
    <w:rsid w:val="00F53528"/>
    <w:rsid w:val="00F53F4F"/>
    <w:rsid w:val="00F542B2"/>
    <w:rsid w:val="00F54A0F"/>
    <w:rsid w:val="00F61D9C"/>
    <w:rsid w:val="00F623FB"/>
    <w:rsid w:val="00F638B4"/>
    <w:rsid w:val="00F6429B"/>
    <w:rsid w:val="00F6454B"/>
    <w:rsid w:val="00F65803"/>
    <w:rsid w:val="00F65A44"/>
    <w:rsid w:val="00F65C5C"/>
    <w:rsid w:val="00F6659F"/>
    <w:rsid w:val="00F679AA"/>
    <w:rsid w:val="00F71C42"/>
    <w:rsid w:val="00F727F3"/>
    <w:rsid w:val="00F74EDF"/>
    <w:rsid w:val="00F75065"/>
    <w:rsid w:val="00F7647A"/>
    <w:rsid w:val="00F76D8F"/>
    <w:rsid w:val="00F76E75"/>
    <w:rsid w:val="00F77435"/>
    <w:rsid w:val="00F80349"/>
    <w:rsid w:val="00F81C3C"/>
    <w:rsid w:val="00F81F98"/>
    <w:rsid w:val="00F85B5C"/>
    <w:rsid w:val="00F866A9"/>
    <w:rsid w:val="00F9016E"/>
    <w:rsid w:val="00F903CC"/>
    <w:rsid w:val="00F907EA"/>
    <w:rsid w:val="00F90CD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14CE"/>
    <w:rsid w:val="00FB33EE"/>
    <w:rsid w:val="00FB48A8"/>
    <w:rsid w:val="00FB55F8"/>
    <w:rsid w:val="00FB5739"/>
    <w:rsid w:val="00FC0A6D"/>
    <w:rsid w:val="00FC0D24"/>
    <w:rsid w:val="00FC15BB"/>
    <w:rsid w:val="00FC1ADF"/>
    <w:rsid w:val="00FC2CA0"/>
    <w:rsid w:val="00FC33E5"/>
    <w:rsid w:val="00FC3A86"/>
    <w:rsid w:val="00FC558B"/>
    <w:rsid w:val="00FC64AD"/>
    <w:rsid w:val="00FC6682"/>
    <w:rsid w:val="00FC6ECD"/>
    <w:rsid w:val="00FC6FFC"/>
    <w:rsid w:val="00FC7165"/>
    <w:rsid w:val="00FC7A06"/>
    <w:rsid w:val="00FD0F1B"/>
    <w:rsid w:val="00FD0FDC"/>
    <w:rsid w:val="00FD1CEB"/>
    <w:rsid w:val="00FD1E13"/>
    <w:rsid w:val="00FD27E9"/>
    <w:rsid w:val="00FD36DA"/>
    <w:rsid w:val="00FD374F"/>
    <w:rsid w:val="00FD40CE"/>
    <w:rsid w:val="00FD41AF"/>
    <w:rsid w:val="00FD53E7"/>
    <w:rsid w:val="00FD58F7"/>
    <w:rsid w:val="00FD5FF6"/>
    <w:rsid w:val="00FE22B6"/>
    <w:rsid w:val="00FE27A0"/>
    <w:rsid w:val="00FE3696"/>
    <w:rsid w:val="00FE36C0"/>
    <w:rsid w:val="00FE5291"/>
    <w:rsid w:val="00FE52C4"/>
    <w:rsid w:val="00FE5AD9"/>
    <w:rsid w:val="00FE6052"/>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06BCE"/>
  <w15:docId w15:val="{8F791C12-6A68-406B-86A0-A7D22C0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iPriority w:val="99"/>
    <w:semiHidden/>
    <w:unhideWhenUsed/>
    <w:rsid w:val="00701421"/>
    <w:rPr>
      <w:sz w:val="20"/>
      <w:szCs w:val="20"/>
    </w:rPr>
  </w:style>
  <w:style w:type="character" w:customStyle="1" w:styleId="af1">
    <w:name w:val="טקסט הערת שוליים תו"/>
    <w:basedOn w:val="a0"/>
    <w:link w:val="af0"/>
    <w:uiPriority w:val="99"/>
    <w:semiHidden/>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380315-1B96-499A-98DF-4D1598BE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2326</Words>
  <Characters>11633</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לירון בן עמוס</cp:lastModifiedBy>
  <cp:revision>2</cp:revision>
  <cp:lastPrinted>2020-01-09T11:09:00Z</cp:lastPrinted>
  <dcterms:created xsi:type="dcterms:W3CDTF">2024-02-26T13:15:00Z</dcterms:created>
  <dcterms:modified xsi:type="dcterms:W3CDTF">2024-02-26T13:15:00Z</dcterms:modified>
</cp:coreProperties>
</file>