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031A9D" w:rsidRPr="005E28F6" w:rsidTr="00031A9D">
        <w:tc>
          <w:tcPr>
            <w:tcW w:w="3343"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b/>
                <w:bCs/>
                <w:rtl/>
              </w:rPr>
            </w:pPr>
            <w:r w:rsidRPr="005E28F6">
              <w:rPr>
                <w:rFonts w:asciiTheme="minorHAnsi" w:hAnsiTheme="minorHAnsi" w:cstheme="minorHAnsi"/>
                <w:b/>
                <w:bCs/>
                <w:rtl/>
              </w:rPr>
              <w:t>בנק ישראל</w:t>
            </w:r>
          </w:p>
          <w:p w:rsidR="00031A9D" w:rsidRPr="005E28F6" w:rsidRDefault="00031A9D" w:rsidP="00F2528F">
            <w:pPr>
              <w:bidi/>
              <w:spacing w:line="360" w:lineRule="auto"/>
              <w:jc w:val="center"/>
              <w:rPr>
                <w:rFonts w:asciiTheme="minorHAnsi" w:hAnsiTheme="minorHAnsi" w:cstheme="minorHAnsi"/>
                <w:b/>
                <w:bCs/>
              </w:rPr>
            </w:pPr>
            <w:r w:rsidRPr="005E28F6">
              <w:rPr>
                <w:rFonts w:asciiTheme="minorHAnsi" w:hAnsiTheme="minorHAnsi" w:cstheme="minorHAnsi"/>
                <w:rtl/>
              </w:rPr>
              <w:t>דוברות והסברה כלכלית</w:t>
            </w:r>
          </w:p>
        </w:tc>
        <w:tc>
          <w:tcPr>
            <w:tcW w:w="2596" w:type="dxa"/>
            <w:tcBorders>
              <w:top w:val="nil"/>
              <w:left w:val="nil"/>
              <w:bottom w:val="nil"/>
              <w:right w:val="nil"/>
            </w:tcBorders>
            <w:shd w:val="clear" w:color="auto" w:fill="FFFFFF"/>
          </w:tcPr>
          <w:p w:rsidR="00031A9D" w:rsidRPr="005E28F6" w:rsidRDefault="00CC57F4" w:rsidP="00F2528F">
            <w:pPr>
              <w:bidi/>
              <w:spacing w:line="360" w:lineRule="auto"/>
              <w:jc w:val="center"/>
              <w:rPr>
                <w:rFonts w:asciiTheme="minorHAnsi" w:hAnsiTheme="minorHAnsi" w:cstheme="minorHAnsi"/>
              </w:rPr>
            </w:pPr>
            <w:r>
              <w:rPr>
                <w:rFonts w:asciiTheme="minorHAnsi" w:hAnsiTheme="minorHAnsi" w:cstheme="minorHAnsi"/>
                <w:noProof/>
              </w:rPr>
              <w:drawing>
                <wp:inline distT="0" distB="0" distL="0" distR="0" wp14:anchorId="5F08C3AE">
                  <wp:extent cx="914400" cy="9144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c>
          <w:tcPr>
            <w:tcW w:w="3591"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rtl/>
              </w:rPr>
            </w:pPr>
            <w:r w:rsidRPr="005E28F6">
              <w:rPr>
                <w:rFonts w:asciiTheme="minorHAnsi" w:hAnsiTheme="minorHAnsi" w:cstheme="minorHAnsi"/>
                <w:highlight w:val="green"/>
                <w:rtl/>
              </w:rPr>
              <w:t>‏</w:t>
            </w:r>
            <w:r w:rsidRPr="005E28F6">
              <w:rPr>
                <w:rFonts w:asciiTheme="minorHAnsi" w:hAnsiTheme="minorHAnsi" w:cstheme="minorHAnsi"/>
                <w:rtl/>
              </w:rPr>
              <w:t xml:space="preserve">ירושלים, </w:t>
            </w: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 \h</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2E6CD5">
              <w:rPr>
                <w:rFonts w:asciiTheme="minorHAnsi" w:hAnsiTheme="minorHAnsi" w:cstheme="minorHAnsi"/>
                <w:noProof/>
                <w:rtl/>
              </w:rPr>
              <w:t>‏י' חשון, תשפ"ז</w:t>
            </w:r>
            <w:r w:rsidRPr="005E28F6">
              <w:rPr>
                <w:rFonts w:asciiTheme="minorHAnsi" w:hAnsiTheme="minorHAnsi" w:cstheme="minorHAnsi"/>
                <w:rtl/>
              </w:rPr>
              <w:fldChar w:fldCharType="end"/>
            </w:r>
          </w:p>
          <w:p w:rsidR="00031A9D" w:rsidRPr="005E28F6" w:rsidRDefault="00031A9D" w:rsidP="00F2528F">
            <w:pPr>
              <w:bidi/>
              <w:spacing w:line="360" w:lineRule="auto"/>
              <w:jc w:val="center"/>
              <w:rPr>
                <w:rFonts w:asciiTheme="minorHAnsi" w:hAnsiTheme="minorHAnsi" w:cstheme="minorHAnsi"/>
                <w:highlight w:val="green"/>
              </w:rPr>
            </w:pP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2E6CD5">
              <w:rPr>
                <w:rFonts w:asciiTheme="minorHAnsi" w:hAnsiTheme="minorHAnsi" w:cstheme="minorHAnsi"/>
                <w:noProof/>
                <w:rtl/>
              </w:rPr>
              <w:t>‏21 אוקטובר, 2026</w:t>
            </w:r>
            <w:r w:rsidRPr="005E28F6">
              <w:rPr>
                <w:rFonts w:asciiTheme="minorHAnsi" w:hAnsiTheme="minorHAnsi" w:cstheme="minorHAnsi"/>
                <w:rtl/>
              </w:rPr>
              <w:fldChar w:fldCharType="end"/>
            </w:r>
          </w:p>
        </w:tc>
      </w:tr>
    </w:tbl>
    <w:p w:rsidR="003E7478" w:rsidRDefault="003E7478" w:rsidP="00DD6497">
      <w:pPr>
        <w:bidi/>
        <w:spacing w:line="360" w:lineRule="auto"/>
        <w:jc w:val="center"/>
        <w:rPr>
          <w:rFonts w:asciiTheme="minorHAnsi" w:hAnsiTheme="minorHAnsi" w:cstheme="minorHAnsi"/>
          <w:sz w:val="22"/>
          <w:szCs w:val="22"/>
          <w:rtl/>
        </w:rPr>
      </w:pPr>
    </w:p>
    <w:p w:rsidR="000B589E" w:rsidRDefault="000B589E" w:rsidP="000B589E">
      <w:pPr>
        <w:bidi/>
        <w:spacing w:line="360" w:lineRule="auto"/>
        <w:rPr>
          <w:rFonts w:asciiTheme="minorHAnsi" w:hAnsiTheme="minorHAnsi" w:cstheme="minorHAnsi"/>
          <w:rtl/>
        </w:rPr>
      </w:pPr>
      <w:r w:rsidRPr="000B589E">
        <w:rPr>
          <w:rFonts w:asciiTheme="minorHAnsi" w:hAnsiTheme="minorHAnsi" w:cstheme="minorHAnsi" w:hint="cs"/>
          <w:rtl/>
        </w:rPr>
        <w:t>הודעה לעיתונו</w:t>
      </w:r>
      <w:r w:rsidRPr="000B589E">
        <w:rPr>
          <w:rFonts w:asciiTheme="minorHAnsi" w:hAnsiTheme="minorHAnsi" w:cstheme="minorHAnsi" w:hint="eastAsia"/>
          <w:rtl/>
        </w:rPr>
        <w:t>ת</w:t>
      </w:r>
      <w:r>
        <w:rPr>
          <w:rFonts w:asciiTheme="minorHAnsi" w:hAnsiTheme="minorHAnsi" w:cstheme="minorHAnsi" w:hint="cs"/>
          <w:rtl/>
        </w:rPr>
        <w:t xml:space="preserve">: </w:t>
      </w:r>
    </w:p>
    <w:p w:rsidR="002E6CD5" w:rsidRPr="002E424B" w:rsidRDefault="002E6CD5" w:rsidP="002E6CD5">
      <w:pPr>
        <w:pStyle w:val="af3"/>
        <w:bidi/>
        <w:jc w:val="center"/>
        <w:rPr>
          <w:rFonts w:ascii="Calibri" w:hAnsi="Calibri" w:cs="Calibri" w:hint="default"/>
          <w:b/>
          <w:bCs/>
          <w:sz w:val="28"/>
          <w:szCs w:val="28"/>
          <w:rtl/>
        </w:rPr>
      </w:pPr>
      <w:r w:rsidRPr="002E424B">
        <w:rPr>
          <w:rFonts w:ascii="Calibri" w:hAnsi="Calibri" w:cs="Calibri" w:hint="default"/>
          <w:b/>
          <w:bCs/>
          <w:sz w:val="28"/>
          <w:szCs w:val="28"/>
          <w:rtl/>
        </w:rPr>
        <w:t xml:space="preserve">המדד החודשי לפעילות המשק </w:t>
      </w:r>
      <w:r>
        <w:rPr>
          <w:rFonts w:ascii="Calibri" w:hAnsi="Calibri" w:cs="Calibri"/>
          <w:b/>
          <w:bCs/>
          <w:sz w:val="28"/>
          <w:szCs w:val="28"/>
          <w:rtl/>
        </w:rPr>
        <w:t xml:space="preserve">בחודש ספטמבר עלה ב- 0.3 אחוז </w:t>
      </w:r>
    </w:p>
    <w:p w:rsidR="002E6CD5" w:rsidRPr="002E424B" w:rsidRDefault="002E6CD5" w:rsidP="002E6CD5">
      <w:pPr>
        <w:bidi/>
        <w:spacing w:after="120" w:line="360" w:lineRule="auto"/>
        <w:ind w:right="-57"/>
        <w:jc w:val="both"/>
        <w:rPr>
          <w:rFonts w:ascii="Calibri" w:hAnsi="Calibri" w:cs="Calibri"/>
          <w:rtl/>
        </w:rPr>
      </w:pPr>
    </w:p>
    <w:p w:rsidR="002E6CD5" w:rsidRPr="000625CE" w:rsidRDefault="002E6CD5" w:rsidP="002E6CD5">
      <w:pPr>
        <w:bidi/>
        <w:spacing w:after="120" w:line="360" w:lineRule="auto"/>
        <w:ind w:right="-57"/>
        <w:jc w:val="both"/>
        <w:rPr>
          <w:rFonts w:ascii="Calibri" w:hAnsi="Calibri" w:cs="Calibri"/>
          <w:rtl/>
        </w:rPr>
      </w:pPr>
      <w:r w:rsidRPr="000625CE">
        <w:rPr>
          <w:rFonts w:ascii="Calibri" w:hAnsi="Calibri" w:cs="Calibri"/>
          <w:rtl/>
        </w:rPr>
        <w:t>המדד החודשי לפעילות המשק</w:t>
      </w:r>
      <w:r>
        <w:rPr>
          <w:rStyle w:val="af2"/>
          <w:rFonts w:ascii="Calibri" w:hAnsi="Calibri" w:cs="Calibri"/>
          <w:rtl/>
        </w:rPr>
        <w:footnoteReference w:id="1"/>
      </w:r>
      <w:r w:rsidRPr="000625CE">
        <w:rPr>
          <w:rFonts w:ascii="Calibri" w:hAnsi="Calibri" w:cs="Calibri"/>
          <w:rtl/>
        </w:rPr>
        <w:t xml:space="preserve"> בחודש </w:t>
      </w:r>
      <w:r>
        <w:rPr>
          <w:rFonts w:ascii="Calibri" w:hAnsi="Calibri" w:cs="Calibri"/>
          <w:rtl/>
        </w:rPr>
        <w:t xml:space="preserve">ספטמבר עלה ב-0.3 אחוז. </w:t>
      </w:r>
      <w:r w:rsidRPr="000625CE">
        <w:rPr>
          <w:rFonts w:ascii="Calibri" w:hAnsi="Calibri" w:cs="Calibri"/>
          <w:rtl/>
        </w:rPr>
        <w:t xml:space="preserve">המדד משקף </w:t>
      </w:r>
      <w:r>
        <w:rPr>
          <w:rFonts w:ascii="Calibri" w:hAnsi="Calibri" w:cs="Calibri"/>
          <w:rtl/>
        </w:rPr>
        <w:t xml:space="preserve">החודש </w:t>
      </w:r>
      <w:r w:rsidRPr="000625CE">
        <w:rPr>
          <w:rFonts w:ascii="Calibri" w:hAnsi="Calibri" w:cs="Calibri"/>
          <w:rtl/>
        </w:rPr>
        <w:t xml:space="preserve">את אומדן הצמיחה החודשית </w:t>
      </w:r>
      <w:r>
        <w:rPr>
          <w:rFonts w:ascii="Calibri" w:hAnsi="Calibri" w:cs="Calibri"/>
          <w:rtl/>
        </w:rPr>
        <w:t xml:space="preserve">הממוצעת </w:t>
      </w:r>
      <w:r w:rsidRPr="000625CE">
        <w:rPr>
          <w:rFonts w:ascii="Calibri" w:hAnsi="Calibri" w:cs="Calibri"/>
          <w:rtl/>
        </w:rPr>
        <w:t>בשל</w:t>
      </w:r>
      <w:r>
        <w:rPr>
          <w:rFonts w:ascii="Calibri" w:hAnsi="Calibri" w:cs="Calibri"/>
          <w:rtl/>
        </w:rPr>
        <w:t>ו</w:t>
      </w:r>
      <w:r w:rsidRPr="000625CE">
        <w:rPr>
          <w:rFonts w:ascii="Calibri" w:hAnsi="Calibri" w:cs="Calibri"/>
          <w:rtl/>
        </w:rPr>
        <w:t xml:space="preserve">שת החודשים </w:t>
      </w:r>
      <w:r>
        <w:rPr>
          <w:rFonts w:ascii="Calibri" w:hAnsi="Calibri" w:cs="Calibri"/>
          <w:rtl/>
        </w:rPr>
        <w:t>יולי</w:t>
      </w:r>
      <w:r w:rsidRPr="000625CE">
        <w:rPr>
          <w:rFonts w:ascii="Calibri" w:hAnsi="Calibri" w:cs="Calibri"/>
          <w:rtl/>
        </w:rPr>
        <w:t xml:space="preserve"> עד </w:t>
      </w:r>
      <w:r>
        <w:rPr>
          <w:rFonts w:ascii="Calibri" w:hAnsi="Calibri" w:cs="Calibri"/>
          <w:rtl/>
        </w:rPr>
        <w:t xml:space="preserve">ספטמבר. </w:t>
      </w:r>
      <w:r w:rsidRPr="000625CE">
        <w:rPr>
          <w:rFonts w:ascii="Calibri" w:hAnsi="Calibri" w:cs="Calibri"/>
          <w:rtl/>
        </w:rPr>
        <w:t>המדד הושפע ל</w:t>
      </w:r>
      <w:r>
        <w:rPr>
          <w:rFonts w:ascii="Calibri" w:hAnsi="Calibri" w:cs="Calibri"/>
          <w:rtl/>
        </w:rPr>
        <w:t xml:space="preserve">טובה מנתוני הרכישות בכרטיסי אשראי (בעיקר באוגוסט), מיצוא הסחורות ובפרט יצוא תעשייתי ומדדי </w:t>
      </w:r>
      <w:proofErr w:type="spellStart"/>
      <w:r>
        <w:rPr>
          <w:rFonts w:ascii="Calibri" w:hAnsi="Calibri" w:cs="Calibri"/>
          <w:rtl/>
        </w:rPr>
        <w:t>נסדאק</w:t>
      </w:r>
      <w:proofErr w:type="spellEnd"/>
      <w:r>
        <w:rPr>
          <w:rFonts w:ascii="Calibri" w:hAnsi="Calibri" w:cs="Calibri"/>
          <w:rtl/>
        </w:rPr>
        <w:t xml:space="preserve"> 100 והמדד הכללי בבורסה בת"א בחודשים אוגוסט וספטמבר, ומדד מסחר קמעונאי ותקבולים בגין יצוא שירותים אחרים בחודש אוגוסט. מנגד, נתוני המועסקים בפועל והמשרות הפנויות בחודש אוגוסט ותקבולי המיסים העקיפים בחודש ספטמבר מיתנו את העלייה במדד  </w:t>
      </w:r>
      <w:r w:rsidRPr="000625CE">
        <w:rPr>
          <w:rFonts w:ascii="Calibri" w:hAnsi="Calibri" w:cs="Calibri"/>
          <w:rtl/>
        </w:rPr>
        <w:t xml:space="preserve">(לוחות 1 ו-2). </w:t>
      </w:r>
      <w:r>
        <w:rPr>
          <w:rFonts w:ascii="Calibri" w:hAnsi="Calibri" w:cs="Calibri"/>
          <w:rtl/>
        </w:rPr>
        <w:t xml:space="preserve">  </w:t>
      </w:r>
    </w:p>
    <w:p w:rsidR="002E6CD5" w:rsidRPr="002E424B" w:rsidRDefault="002E6CD5" w:rsidP="002E6CD5">
      <w:pPr>
        <w:bidi/>
        <w:spacing w:after="120" w:line="360" w:lineRule="auto"/>
        <w:ind w:right="-57"/>
        <w:jc w:val="both"/>
        <w:rPr>
          <w:rFonts w:ascii="Calibri" w:hAnsi="Calibri" w:cs="Calibri"/>
          <w:rtl/>
        </w:rPr>
      </w:pPr>
      <w:r>
        <w:rPr>
          <w:rFonts w:ascii="Calibri" w:hAnsi="Calibri" w:cs="Calibri"/>
          <w:rtl/>
        </w:rPr>
        <w:t xml:space="preserve">קצב הגידול של המדד דומה למגמה ארוכת הטווח של הצמיחה (כ-0.3). </w:t>
      </w:r>
    </w:p>
    <w:p w:rsidR="002E6CD5" w:rsidRDefault="002E6CD5" w:rsidP="002E6CD5">
      <w:pPr>
        <w:bidi/>
        <w:spacing w:after="120" w:line="360" w:lineRule="auto"/>
        <w:ind w:right="-57"/>
        <w:jc w:val="both"/>
        <w:rPr>
          <w:rFonts w:ascii="Calibri" w:hAnsi="Calibri" w:cs="Calibri"/>
          <w:rtl/>
        </w:rPr>
      </w:pPr>
      <w:r>
        <w:rPr>
          <w:rFonts w:ascii="Calibri" w:hAnsi="Calibri" w:cs="Calibri"/>
          <w:rtl/>
        </w:rPr>
        <w:t xml:space="preserve">המדד בחודשים האחרונים עודכן כלפי מטה </w:t>
      </w:r>
      <w:r w:rsidRPr="00D838AC">
        <w:rPr>
          <w:rFonts w:ascii="Calibri" w:hAnsi="Calibri" w:cs="Calibri"/>
          <w:rtl/>
        </w:rPr>
        <w:t>בשל פרסום נתונים נוספים לחודשים הקודמים</w:t>
      </w:r>
      <w:r>
        <w:rPr>
          <w:rFonts w:ascii="Calibri" w:hAnsi="Calibri" w:cs="Calibri"/>
          <w:rtl/>
        </w:rPr>
        <w:t xml:space="preserve">. </w:t>
      </w:r>
    </w:p>
    <w:p w:rsidR="002E6CD5" w:rsidRDefault="002E6CD5" w:rsidP="002E6CD5">
      <w:pPr>
        <w:bidi/>
        <w:spacing w:after="120" w:line="360" w:lineRule="auto"/>
        <w:ind w:right="-57"/>
        <w:jc w:val="both"/>
        <w:rPr>
          <w:rFonts w:ascii="Calibri" w:hAnsi="Calibri" w:cs="Calibri"/>
          <w:rtl/>
        </w:rPr>
      </w:pPr>
      <w:r>
        <w:rPr>
          <w:rFonts w:ascii="Calibri" w:hAnsi="Calibri" w:cs="Calibri"/>
          <w:rtl/>
        </w:rPr>
        <w:t xml:space="preserve"> </w:t>
      </w:r>
      <w:r w:rsidRPr="002E424B">
        <w:rPr>
          <w:rFonts w:ascii="Calibri" w:hAnsi="Calibri" w:cs="Calibri"/>
          <w:rtl/>
        </w:rPr>
        <w:t xml:space="preserve">איור 1 מציג את נתוני המדד בשנתיים האחרונות, לוח 1 מציג את תרומת רכיבי המדד לאומדן הכולל </w:t>
      </w:r>
      <w:r>
        <w:rPr>
          <w:rFonts w:ascii="Calibri" w:hAnsi="Calibri" w:cs="Calibri"/>
          <w:rtl/>
        </w:rPr>
        <w:t>ו</w:t>
      </w:r>
      <w:r w:rsidRPr="002E424B">
        <w:rPr>
          <w:rFonts w:ascii="Calibri" w:hAnsi="Calibri" w:cs="Calibri"/>
          <w:rtl/>
        </w:rPr>
        <w:t>העדכונים לאחור במדד</w:t>
      </w:r>
      <w:r>
        <w:rPr>
          <w:rFonts w:ascii="Calibri" w:hAnsi="Calibri" w:cs="Calibri"/>
          <w:rtl/>
        </w:rPr>
        <w:t xml:space="preserve">, ולוח 2 מציג את אחוז </w:t>
      </w:r>
      <w:r w:rsidRPr="002E424B">
        <w:rPr>
          <w:rFonts w:ascii="Calibri" w:hAnsi="Calibri" w:cs="Calibri"/>
          <w:rtl/>
        </w:rPr>
        <w:t xml:space="preserve">השינוי </w:t>
      </w:r>
      <w:r>
        <w:rPr>
          <w:rFonts w:ascii="Calibri" w:hAnsi="Calibri" w:cs="Calibri"/>
          <w:rtl/>
        </w:rPr>
        <w:t xml:space="preserve">החודשי </w:t>
      </w:r>
      <w:r w:rsidRPr="002E424B">
        <w:rPr>
          <w:rFonts w:ascii="Calibri" w:hAnsi="Calibri" w:cs="Calibri"/>
          <w:rtl/>
        </w:rPr>
        <w:t>ב</w:t>
      </w:r>
      <w:r>
        <w:rPr>
          <w:rFonts w:ascii="Calibri" w:hAnsi="Calibri" w:cs="Calibri"/>
          <w:rtl/>
        </w:rPr>
        <w:t>רכיבי המדד</w:t>
      </w:r>
      <w:r w:rsidRPr="002E424B">
        <w:rPr>
          <w:rFonts w:ascii="Calibri" w:hAnsi="Calibri" w:cs="Calibri"/>
          <w:rtl/>
        </w:rPr>
        <w:t xml:space="preserve">. </w:t>
      </w:r>
    </w:p>
    <w:p w:rsidR="002E6CD5" w:rsidRDefault="002E6CD5" w:rsidP="002E6CD5">
      <w:pPr>
        <w:tabs>
          <w:tab w:val="left" w:pos="2812"/>
        </w:tabs>
        <w:bidi/>
        <w:jc w:val="center"/>
        <w:rPr>
          <w:rFonts w:ascii="Calibri" w:hAnsi="Calibri" w:cs="Calibri"/>
          <w:b/>
          <w:bCs/>
          <w:sz w:val="28"/>
          <w:szCs w:val="28"/>
          <w:rtl/>
        </w:rPr>
      </w:pPr>
    </w:p>
    <w:p w:rsidR="002E6CD5" w:rsidRDefault="002E6CD5" w:rsidP="002E6CD5">
      <w:pPr>
        <w:tabs>
          <w:tab w:val="left" w:pos="2812"/>
        </w:tabs>
        <w:bidi/>
        <w:jc w:val="center"/>
        <w:rPr>
          <w:rFonts w:ascii="Calibri" w:hAnsi="Calibri" w:cs="Calibri"/>
          <w:b/>
          <w:bCs/>
          <w:sz w:val="28"/>
          <w:szCs w:val="28"/>
          <w:rtl/>
        </w:rPr>
      </w:pPr>
    </w:p>
    <w:p w:rsidR="002E6CD5" w:rsidRDefault="002E6CD5" w:rsidP="002E6CD5">
      <w:pPr>
        <w:tabs>
          <w:tab w:val="left" w:pos="2812"/>
        </w:tabs>
        <w:bidi/>
        <w:jc w:val="center"/>
        <w:rPr>
          <w:rFonts w:ascii="Calibri" w:hAnsi="Calibri" w:cs="Calibri"/>
          <w:b/>
          <w:bCs/>
          <w:sz w:val="28"/>
          <w:szCs w:val="28"/>
          <w:rtl/>
        </w:rPr>
      </w:pPr>
    </w:p>
    <w:p w:rsidR="002E6CD5" w:rsidRDefault="002E6CD5" w:rsidP="002E6CD5">
      <w:pPr>
        <w:tabs>
          <w:tab w:val="left" w:pos="2812"/>
        </w:tabs>
        <w:bidi/>
        <w:jc w:val="center"/>
        <w:rPr>
          <w:rFonts w:ascii="Calibri" w:hAnsi="Calibri" w:cs="Calibri"/>
          <w:b/>
          <w:bCs/>
          <w:sz w:val="28"/>
          <w:szCs w:val="28"/>
          <w:rtl/>
        </w:rPr>
      </w:pPr>
    </w:p>
    <w:p w:rsidR="002E6CD5" w:rsidRDefault="002E6CD5" w:rsidP="002E6CD5">
      <w:pPr>
        <w:tabs>
          <w:tab w:val="left" w:pos="2812"/>
        </w:tabs>
        <w:bidi/>
        <w:jc w:val="center"/>
        <w:rPr>
          <w:rFonts w:ascii="Calibri" w:hAnsi="Calibri" w:cs="Calibri"/>
          <w:b/>
          <w:bCs/>
          <w:sz w:val="28"/>
          <w:szCs w:val="28"/>
          <w:rtl/>
        </w:rPr>
      </w:pPr>
    </w:p>
    <w:p w:rsidR="002E6CD5" w:rsidRDefault="002E6CD5" w:rsidP="002E6CD5">
      <w:pPr>
        <w:tabs>
          <w:tab w:val="left" w:pos="2812"/>
        </w:tabs>
        <w:bidi/>
        <w:jc w:val="center"/>
        <w:rPr>
          <w:rFonts w:ascii="Calibri" w:hAnsi="Calibri" w:cs="Calibri"/>
          <w:b/>
          <w:bCs/>
          <w:sz w:val="28"/>
          <w:szCs w:val="28"/>
          <w:rtl/>
        </w:rPr>
      </w:pPr>
    </w:p>
    <w:p w:rsidR="002E6CD5" w:rsidRDefault="002E6CD5" w:rsidP="002E6CD5">
      <w:pPr>
        <w:tabs>
          <w:tab w:val="left" w:pos="2812"/>
        </w:tabs>
        <w:bidi/>
        <w:jc w:val="center"/>
        <w:rPr>
          <w:rFonts w:ascii="Calibri" w:hAnsi="Calibri" w:cs="Calibri"/>
          <w:b/>
          <w:bCs/>
          <w:sz w:val="28"/>
          <w:szCs w:val="28"/>
          <w:rtl/>
        </w:rPr>
      </w:pPr>
    </w:p>
    <w:p w:rsidR="002E6CD5" w:rsidRDefault="002E6CD5" w:rsidP="002E6CD5">
      <w:pPr>
        <w:tabs>
          <w:tab w:val="left" w:pos="2812"/>
        </w:tabs>
        <w:bidi/>
        <w:rPr>
          <w:rFonts w:ascii="Calibri" w:hAnsi="Calibri" w:cs="Calibri"/>
          <w:b/>
          <w:bCs/>
          <w:sz w:val="28"/>
          <w:szCs w:val="28"/>
          <w:rtl/>
        </w:rPr>
      </w:pPr>
    </w:p>
    <w:p w:rsidR="002E6CD5" w:rsidRDefault="002E6CD5" w:rsidP="002E6CD5">
      <w:pPr>
        <w:tabs>
          <w:tab w:val="left" w:pos="2812"/>
        </w:tabs>
        <w:bidi/>
        <w:jc w:val="center"/>
        <w:rPr>
          <w:rFonts w:ascii="Calibri" w:hAnsi="Calibri" w:cs="Calibri"/>
          <w:b/>
          <w:bCs/>
          <w:sz w:val="28"/>
          <w:szCs w:val="28"/>
          <w:rtl/>
        </w:rPr>
      </w:pPr>
    </w:p>
    <w:p w:rsidR="002E6CD5" w:rsidRPr="001613B4" w:rsidRDefault="002E6CD5" w:rsidP="002E6CD5">
      <w:pPr>
        <w:tabs>
          <w:tab w:val="left" w:pos="2812"/>
        </w:tabs>
        <w:bidi/>
        <w:jc w:val="center"/>
        <w:rPr>
          <w:rFonts w:ascii="Calibri" w:hAnsi="Calibri" w:cs="Calibri"/>
          <w:b/>
          <w:bCs/>
          <w:sz w:val="28"/>
          <w:szCs w:val="28"/>
          <w:rtl/>
        </w:rPr>
      </w:pPr>
      <w:r w:rsidRPr="001613B4">
        <w:rPr>
          <w:rFonts w:ascii="Calibri" w:hAnsi="Calibri" w:cs="Calibri"/>
          <w:b/>
          <w:bCs/>
          <w:sz w:val="28"/>
          <w:szCs w:val="28"/>
          <w:rtl/>
        </w:rPr>
        <w:lastRenderedPageBreak/>
        <w:t>איור 1: המדד החודשי לפעילות המשק</w:t>
      </w:r>
    </w:p>
    <w:p w:rsidR="002E6CD5" w:rsidRDefault="002E6CD5" w:rsidP="002E6CD5">
      <w:pPr>
        <w:bidi/>
        <w:jc w:val="center"/>
        <w:rPr>
          <w:rFonts w:ascii="Calibri" w:hAnsi="Calibri" w:cs="Calibri"/>
          <w:b/>
          <w:bCs/>
          <w:sz w:val="28"/>
          <w:szCs w:val="28"/>
          <w:rtl/>
        </w:rPr>
      </w:pPr>
    </w:p>
    <w:p w:rsidR="002E6CD5" w:rsidRPr="002026C8" w:rsidRDefault="002E6CD5" w:rsidP="002E6CD5">
      <w:pPr>
        <w:bidi/>
        <w:jc w:val="center"/>
        <w:rPr>
          <w:rFonts w:ascii="Calibri" w:hAnsi="Calibri" w:cs="Calibri"/>
          <w:b/>
          <w:bCs/>
          <w:sz w:val="28"/>
          <w:szCs w:val="28"/>
          <w:rtl/>
        </w:rPr>
      </w:pPr>
      <w:r w:rsidRPr="00D954C8">
        <w:rPr>
          <w:rFonts w:ascii="Calibri" w:hAnsi="Calibri" w:cs="Calibri"/>
          <w:b/>
          <w:bCs/>
          <w:sz w:val="28"/>
          <w:szCs w:val="28"/>
        </w:rPr>
        <w:t xml:space="preserve"> </w:t>
      </w:r>
      <w:r w:rsidRPr="002026C8">
        <w:rPr>
          <w:rFonts w:ascii="Calibri" w:hAnsi="Calibri" w:cs="Calibri"/>
          <w:b/>
          <w:bCs/>
          <w:noProof/>
          <w:sz w:val="28"/>
          <w:szCs w:val="28"/>
        </w:rPr>
        <w:drawing>
          <wp:inline distT="0" distB="0" distL="0" distR="0" wp14:anchorId="5EA0947B" wp14:editId="516D1BBB">
            <wp:extent cx="5340096" cy="3394253"/>
            <wp:effectExtent l="0" t="0" r="13335" b="15875"/>
            <wp:docPr id="3" name="תרשים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E6CD5" w:rsidRDefault="002E6CD5" w:rsidP="002E6CD5">
      <w:pPr>
        <w:bidi/>
        <w:jc w:val="center"/>
        <w:rPr>
          <w:rFonts w:ascii="Calibri" w:hAnsi="Calibri" w:cs="Calibri"/>
          <w:b/>
          <w:bCs/>
          <w:sz w:val="28"/>
          <w:szCs w:val="28"/>
          <w:rtl/>
        </w:rPr>
      </w:pPr>
      <w:bookmarkStart w:id="0" w:name="_GoBack"/>
    </w:p>
    <w:bookmarkEnd w:id="0"/>
    <w:p w:rsidR="002E6CD5" w:rsidRPr="00CB2A2A" w:rsidRDefault="002E6CD5" w:rsidP="002E6CD5">
      <w:pPr>
        <w:bidi/>
        <w:jc w:val="center"/>
        <w:rPr>
          <w:rFonts w:ascii="Calibri" w:hAnsi="Calibri" w:cs="Calibri"/>
          <w:b/>
          <w:bCs/>
          <w:rtl/>
        </w:rPr>
      </w:pPr>
      <w:r w:rsidRPr="00A24717">
        <w:rPr>
          <w:rFonts w:ascii="Calibri" w:hAnsi="Calibri" w:cs="Calibri"/>
          <w:b/>
          <w:bCs/>
          <w:sz w:val="28"/>
          <w:szCs w:val="28"/>
          <w:rtl/>
        </w:rPr>
        <w:t xml:space="preserve">לוח </w:t>
      </w:r>
      <w:r w:rsidRPr="00CB2A2A">
        <w:rPr>
          <w:rFonts w:ascii="Calibri" w:hAnsi="Calibri" w:cs="Calibri"/>
          <w:b/>
          <w:bCs/>
          <w:rtl/>
        </w:rPr>
        <w:t>1: תרומת* רכיבי המדד לאומדן הכולל בחודשים האחרונים, לפי הקבצות</w:t>
      </w:r>
    </w:p>
    <w:p w:rsidR="002E6CD5" w:rsidRPr="00CB2A2A" w:rsidRDefault="002E6CD5" w:rsidP="002E6CD5">
      <w:pPr>
        <w:bidi/>
        <w:jc w:val="center"/>
        <w:rPr>
          <w:rFonts w:ascii="Calibri" w:hAnsi="Calibri" w:cs="Calibri"/>
          <w:b/>
          <w:bCs/>
          <w:rtl/>
        </w:rPr>
      </w:pPr>
      <w:r w:rsidRPr="00CB2A2A">
        <w:rPr>
          <w:rFonts w:ascii="Calibri" w:hAnsi="Calibri" w:cs="Calibri"/>
          <w:b/>
          <w:bCs/>
          <w:rtl/>
        </w:rPr>
        <w:t>(נקודות אחוז)</w:t>
      </w:r>
    </w:p>
    <w:p w:rsidR="002E6CD5" w:rsidRDefault="002E6CD5" w:rsidP="002E6CD5">
      <w:pPr>
        <w:autoSpaceDE w:val="0"/>
        <w:autoSpaceDN w:val="0"/>
        <w:bidi/>
        <w:adjustRightInd w:val="0"/>
        <w:jc w:val="center"/>
        <w:rPr>
          <w:rFonts w:ascii="Calibri" w:hAnsi="Calibri" w:cs="Calibri"/>
          <w:b/>
          <w:bCs/>
          <w:i/>
          <w:rtl/>
        </w:rPr>
      </w:pPr>
      <w:r w:rsidRPr="002E6CD5">
        <w:rPr>
          <w:rFonts w:asciiTheme="minorHAnsi" w:hAnsiTheme="minorHAnsi" w:cstheme="minorHAnsi"/>
          <w:noProof/>
          <w:rtl/>
        </w:rPr>
        <w:drawing>
          <wp:inline distT="0" distB="0" distL="0" distR="0" wp14:anchorId="61CDC819" wp14:editId="2E8247E4">
            <wp:extent cx="4264660" cy="2809240"/>
            <wp:effectExtent l="0" t="0" r="254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4660" cy="2809240"/>
                    </a:xfrm>
                    <a:prstGeom prst="rect">
                      <a:avLst/>
                    </a:prstGeom>
                    <a:noFill/>
                    <a:ln>
                      <a:noFill/>
                    </a:ln>
                  </pic:spPr>
                </pic:pic>
              </a:graphicData>
            </a:graphic>
          </wp:inline>
        </w:drawing>
      </w:r>
      <w:r w:rsidRPr="00616773">
        <w:rPr>
          <w:rFonts w:ascii="Calibri" w:hAnsi="Calibri" w:cs="Calibri"/>
          <w:b/>
          <w:bCs/>
          <w:i/>
          <w:rtl/>
        </w:rPr>
        <w:t xml:space="preserve"> </w:t>
      </w:r>
    </w:p>
    <w:p w:rsidR="002E6CD5" w:rsidRDefault="002E6CD5" w:rsidP="002E6CD5">
      <w:pPr>
        <w:autoSpaceDE w:val="0"/>
        <w:autoSpaceDN w:val="0"/>
        <w:bidi/>
        <w:adjustRightInd w:val="0"/>
        <w:jc w:val="center"/>
        <w:rPr>
          <w:b/>
          <w:bCs/>
          <w:i/>
          <w:rtl/>
        </w:rPr>
      </w:pPr>
    </w:p>
    <w:p w:rsidR="002E6CD5" w:rsidRPr="002E6CD5" w:rsidRDefault="002E6CD5" w:rsidP="002E6CD5">
      <w:pPr>
        <w:bidi/>
        <w:jc w:val="both"/>
        <w:rPr>
          <w:sz w:val="20"/>
          <w:szCs w:val="20"/>
          <w:rtl/>
        </w:rPr>
      </w:pPr>
      <w:r w:rsidRPr="00BD7373">
        <w:rPr>
          <w:rFonts w:ascii="Calibri" w:hAnsi="Calibri" w:cs="Calibri"/>
          <w:i/>
          <w:sz w:val="20"/>
          <w:szCs w:val="20"/>
          <w:rtl/>
        </w:rPr>
        <w:t>* הלוח מציג את התרומה של כל קבוצת רכיבים למדד החודשי, כך שהאומדן החודשי מהווה סכום של תרומת כל אחד מהרכיבים המפורטים בלוח. חלק מהנתונים הגולמיים משפיעים על האומדן החודשי בפיגור או על אומדני כמה חודשים.</w:t>
      </w:r>
    </w:p>
    <w:p w:rsidR="002E6CD5" w:rsidRPr="002E424B" w:rsidRDefault="002E6CD5" w:rsidP="002E6CD5">
      <w:pPr>
        <w:bidi/>
        <w:jc w:val="center"/>
        <w:rPr>
          <w:rFonts w:ascii="Calibri" w:hAnsi="Calibri" w:cs="Calibri"/>
          <w:b/>
          <w:bCs/>
          <w:sz w:val="28"/>
          <w:szCs w:val="28"/>
          <w:rtl/>
        </w:rPr>
      </w:pPr>
      <w:r w:rsidRPr="002E424B">
        <w:rPr>
          <w:rFonts w:ascii="Calibri" w:hAnsi="Calibri" w:cs="Calibri"/>
          <w:b/>
          <w:bCs/>
          <w:sz w:val="28"/>
          <w:szCs w:val="28"/>
          <w:rtl/>
        </w:rPr>
        <w:lastRenderedPageBreak/>
        <w:t>לוח 2: השינויים ברכיבי המדד בחודשים האחרונים</w:t>
      </w:r>
    </w:p>
    <w:p w:rsidR="002E6CD5" w:rsidRDefault="002E6CD5" w:rsidP="002E6CD5">
      <w:pPr>
        <w:autoSpaceDE w:val="0"/>
        <w:autoSpaceDN w:val="0"/>
        <w:bidi/>
        <w:adjustRightInd w:val="0"/>
        <w:jc w:val="center"/>
        <w:rPr>
          <w:rFonts w:ascii="Calibri" w:hAnsi="Calibri" w:cs="Calibri"/>
          <w:rtl/>
        </w:rPr>
      </w:pPr>
      <w:r w:rsidRPr="002E424B">
        <w:rPr>
          <w:rFonts w:ascii="Calibri" w:hAnsi="Calibri" w:cs="Calibri"/>
          <w:i/>
          <w:rtl/>
        </w:rPr>
        <w:t xml:space="preserve">(שיעורי שינוי חודשיים באחוזים, </w:t>
      </w:r>
      <w:proofErr w:type="spellStart"/>
      <w:r w:rsidRPr="002E424B">
        <w:rPr>
          <w:rFonts w:ascii="Calibri" w:hAnsi="Calibri" w:cs="Calibri"/>
          <w:i/>
          <w:rtl/>
        </w:rPr>
        <w:t>מנוכ</w:t>
      </w:r>
      <w:r>
        <w:rPr>
          <w:rFonts w:ascii="Calibri" w:hAnsi="Calibri" w:cs="Calibri"/>
          <w:i/>
          <w:rtl/>
        </w:rPr>
        <w:t>י</w:t>
      </w:r>
      <w:proofErr w:type="spellEnd"/>
      <w:r w:rsidRPr="002E424B">
        <w:rPr>
          <w:rFonts w:ascii="Calibri" w:hAnsi="Calibri" w:cs="Calibri"/>
          <w:i/>
          <w:rtl/>
        </w:rPr>
        <w:t xml:space="preserve"> עונתיות)</w:t>
      </w:r>
    </w:p>
    <w:p w:rsidR="002E6CD5" w:rsidRDefault="002E6CD5" w:rsidP="002E6CD5">
      <w:pPr>
        <w:autoSpaceDE w:val="0"/>
        <w:autoSpaceDN w:val="0"/>
        <w:bidi/>
        <w:adjustRightInd w:val="0"/>
        <w:jc w:val="center"/>
        <w:rPr>
          <w:rtl/>
        </w:rPr>
      </w:pPr>
    </w:p>
    <w:p w:rsidR="002E6CD5" w:rsidRDefault="002E6CD5" w:rsidP="002E6CD5">
      <w:pPr>
        <w:autoSpaceDE w:val="0"/>
        <w:autoSpaceDN w:val="0"/>
        <w:bidi/>
        <w:adjustRightInd w:val="0"/>
        <w:jc w:val="center"/>
        <w:rPr>
          <w:rFonts w:ascii="Calibri" w:hAnsi="Calibri" w:cs="Calibri"/>
          <w:rtl/>
        </w:rPr>
      </w:pPr>
    </w:p>
    <w:p w:rsidR="002E6CD5" w:rsidRDefault="002E6CD5" w:rsidP="002E6CD5">
      <w:pPr>
        <w:pStyle w:val="af5"/>
        <w:spacing w:after="240" w:line="276" w:lineRule="auto"/>
        <w:ind w:left="-6"/>
        <w:rPr>
          <w:rFonts w:ascii="Calibri" w:hAnsi="Calibri" w:cs="Calibri"/>
          <w:b/>
          <w:bCs/>
          <w:sz w:val="20"/>
          <w:szCs w:val="20"/>
          <w:rtl/>
        </w:rPr>
      </w:pPr>
      <w:r w:rsidRPr="00BD617F">
        <w:rPr>
          <w:noProof/>
          <w:rtl/>
        </w:rPr>
        <w:drawing>
          <wp:inline distT="0" distB="0" distL="0" distR="0" wp14:anchorId="570CC361" wp14:editId="1FB03A01">
            <wp:extent cx="5278120" cy="4117434"/>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8120" cy="4117434"/>
                    </a:xfrm>
                    <a:prstGeom prst="rect">
                      <a:avLst/>
                    </a:prstGeom>
                    <a:noFill/>
                    <a:ln>
                      <a:noFill/>
                    </a:ln>
                  </pic:spPr>
                </pic:pic>
              </a:graphicData>
            </a:graphic>
          </wp:inline>
        </w:drawing>
      </w:r>
    </w:p>
    <w:p w:rsidR="002E6CD5" w:rsidRPr="00B57576" w:rsidRDefault="002E6CD5" w:rsidP="002E6CD5">
      <w:pPr>
        <w:pStyle w:val="af5"/>
        <w:spacing w:after="240" w:line="276" w:lineRule="auto"/>
        <w:ind w:left="-6"/>
        <w:rPr>
          <w:rFonts w:ascii="Calibri" w:hAnsi="Calibri" w:cs="Calibri"/>
          <w:sz w:val="20"/>
          <w:szCs w:val="20"/>
        </w:rPr>
      </w:pPr>
      <w:r w:rsidRPr="00B57576">
        <w:rPr>
          <w:rFonts w:ascii="Calibri" w:hAnsi="Calibri" w:cs="Calibri"/>
          <w:b/>
          <w:bCs/>
          <w:sz w:val="20"/>
          <w:szCs w:val="20"/>
          <w:rtl/>
        </w:rPr>
        <w:t>המקור:</w:t>
      </w:r>
      <w:r w:rsidRPr="00B57576">
        <w:rPr>
          <w:rFonts w:ascii="Calibri" w:hAnsi="Calibri" w:cs="Calibri"/>
          <w:sz w:val="20"/>
          <w:szCs w:val="20"/>
          <w:rtl/>
        </w:rPr>
        <w:t xml:space="preserve"> הלשכה המרכזית לסטטיסטיקה, שב"א, משרד האוצר, </w:t>
      </w:r>
      <w:proofErr w:type="spellStart"/>
      <w:r w:rsidRPr="00B57576">
        <w:rPr>
          <w:rFonts w:ascii="Calibri" w:hAnsi="Calibri" w:cs="Calibri"/>
          <w:sz w:val="20"/>
          <w:szCs w:val="20"/>
          <w:rtl/>
        </w:rPr>
        <w:t>בלומברג</w:t>
      </w:r>
      <w:proofErr w:type="spellEnd"/>
      <w:r w:rsidRPr="00B57576">
        <w:rPr>
          <w:rFonts w:ascii="Calibri" w:hAnsi="Calibri" w:cs="Calibri"/>
          <w:sz w:val="20"/>
          <w:szCs w:val="20"/>
          <w:rtl/>
        </w:rPr>
        <w:t xml:space="preserve">, מנהל הדלק, נתוני בנק ישראל ועיבודי בנק ישראל. לפירוט מלא של המקור לכל סדרה – ראו את המסמך המתודולוגי </w:t>
      </w:r>
      <w:r>
        <w:rPr>
          <w:rFonts w:ascii="Calibri" w:hAnsi="Calibri" w:cs="Calibri" w:hint="cs"/>
          <w:sz w:val="20"/>
          <w:szCs w:val="20"/>
          <w:rtl/>
        </w:rPr>
        <w:t xml:space="preserve">שפורסם </w:t>
      </w:r>
      <w:r w:rsidRPr="00B57576">
        <w:rPr>
          <w:rFonts w:ascii="Calibri" w:hAnsi="Calibri" w:cs="Calibri"/>
          <w:sz w:val="20"/>
          <w:szCs w:val="20"/>
          <w:rtl/>
        </w:rPr>
        <w:t>ב</w:t>
      </w:r>
      <w:r>
        <w:rPr>
          <w:rFonts w:ascii="Calibri" w:hAnsi="Calibri" w:cs="Calibri" w:hint="cs"/>
          <w:sz w:val="20"/>
          <w:szCs w:val="20"/>
          <w:rtl/>
        </w:rPr>
        <w:t>אתר הבנק.</w:t>
      </w:r>
    </w:p>
    <w:p w:rsidR="002E6CD5" w:rsidRPr="00B57576" w:rsidRDefault="002E6CD5" w:rsidP="002E6CD5">
      <w:pPr>
        <w:autoSpaceDE w:val="0"/>
        <w:autoSpaceDN w:val="0"/>
        <w:bidi/>
        <w:adjustRightInd w:val="0"/>
        <w:jc w:val="both"/>
        <w:rPr>
          <w:rStyle w:val="af2"/>
          <w:rFonts w:ascii="Calibri" w:hAnsi="Calibri" w:cs="Calibri"/>
          <w:rtl/>
        </w:rPr>
      </w:pPr>
    </w:p>
    <w:p w:rsidR="000B589E" w:rsidRPr="000B589E" w:rsidRDefault="000B589E" w:rsidP="000B589E">
      <w:pPr>
        <w:bidi/>
        <w:spacing w:line="360" w:lineRule="auto"/>
        <w:rPr>
          <w:rFonts w:asciiTheme="minorHAnsi" w:hAnsiTheme="minorHAnsi" w:cstheme="minorHAnsi"/>
        </w:rPr>
      </w:pPr>
    </w:p>
    <w:sectPr w:rsidR="000B589E" w:rsidRPr="000B589E" w:rsidSect="00CC2499">
      <w:footerReference w:type="default" r:id="rId11"/>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BB6" w:rsidRDefault="00431BB6" w:rsidP="00E04682">
      <w:pPr>
        <w:spacing w:after="0" w:line="240" w:lineRule="auto"/>
      </w:pPr>
      <w:r>
        <w:separator/>
      </w:r>
    </w:p>
  </w:endnote>
  <w:endnote w:type="continuationSeparator" w:id="0">
    <w:p w:rsidR="00431BB6" w:rsidRDefault="00431BB6" w:rsidP="00E0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82" w:rsidRDefault="00F25BB5" w:rsidP="00F20046">
    <w:pPr>
      <w:pStyle w:val="a7"/>
      <w:rPr>
        <w:rtl/>
      </w:rPr>
    </w:pPr>
    <w:r>
      <w:rPr>
        <w:noProof/>
      </w:rPr>
      <mc:AlternateContent>
        <mc:Choice Requires="wps">
          <w:drawing>
            <wp:anchor distT="0" distB="0" distL="114300" distR="114300" simplePos="0" relativeHeight="251665408" behindDoc="0" locked="0" layoutInCell="1" allowOverlap="1" wp14:anchorId="6F2FA1B7" wp14:editId="115BEBC9">
              <wp:simplePos x="0" y="0"/>
              <wp:positionH relativeFrom="margin">
                <wp:posOffset>1590675</wp:posOffset>
              </wp:positionH>
              <wp:positionV relativeFrom="paragraph">
                <wp:posOffset>111760</wp:posOffset>
              </wp:positionV>
              <wp:extent cx="2009775" cy="361950"/>
              <wp:effectExtent l="0" t="0" r="0" b="0"/>
              <wp:wrapNone/>
              <wp:docPr id="13" name="תיבת טקסט 13"/>
              <wp:cNvGraphicFramePr/>
              <a:graphic xmlns:a="http://schemas.openxmlformats.org/drawingml/2006/main">
                <a:graphicData uri="http://schemas.microsoft.com/office/word/2010/wordprocessingShape">
                  <wps:wsp>
                    <wps:cNvSpPr txBox="1"/>
                    <wps:spPr>
                      <a:xfrm>
                        <a:off x="0" y="0"/>
                        <a:ext cx="2009775" cy="361950"/>
                      </a:xfrm>
                      <a:prstGeom prst="rect">
                        <a:avLst/>
                      </a:prstGeom>
                      <a:noFill/>
                      <a:ln w="6350">
                        <a:noFill/>
                      </a:ln>
                    </wps:spPr>
                    <wps:txb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1"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FA1B7" id="_x0000_t202" coordsize="21600,21600" o:spt="202" path="m,l,21600r21600,l21600,xe">
              <v:stroke joinstyle="miter"/>
              <v:path gradientshapeok="t" o:connecttype="rect"/>
            </v:shapetype>
            <v:shape id="תיבת טקסט 13" o:spid="_x0000_s1026" type="#_x0000_t202" style="position:absolute;margin-left:125.25pt;margin-top:8.8pt;width:158.25pt;height:2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" filled="f" stroked="f" strokeweight=".5pt">
              <v:textbo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2"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v:textbox>
              <w10:wrap anchorx="margin"/>
            </v:shape>
          </w:pict>
        </mc:Fallback>
      </mc:AlternateContent>
    </w:r>
    <w:r w:rsidR="00C10172" w:rsidRPr="00571971">
      <w:rPr>
        <w:rFonts w:cs="Calibri"/>
        <w:noProof/>
        <w:rtl/>
      </w:rPr>
      <w:drawing>
        <wp:anchor distT="0" distB="0" distL="114300" distR="114300" simplePos="0" relativeHeight="251667456" behindDoc="0" locked="0" layoutInCell="1" allowOverlap="1">
          <wp:simplePos x="0" y="0"/>
          <wp:positionH relativeFrom="margin">
            <wp:posOffset>5628736</wp:posOffset>
          </wp:positionH>
          <wp:positionV relativeFrom="paragraph">
            <wp:posOffset>-161769</wp:posOffset>
          </wp:positionV>
          <wp:extent cx="310551" cy="310551"/>
          <wp:effectExtent l="0" t="0" r="0" b="0"/>
          <wp:wrapNone/>
          <wp:docPr id="8" name="תמונה 8"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sidR="00F20046">
      <w:rPr>
        <w:noProof/>
      </w:rPr>
      <w:drawing>
        <wp:anchor distT="0" distB="0" distL="114300" distR="114300" simplePos="0" relativeHeight="251662336" behindDoc="0" locked="0" layoutInCell="1" allowOverlap="1">
          <wp:simplePos x="0" y="0"/>
          <wp:positionH relativeFrom="column">
            <wp:posOffset>4231257</wp:posOffset>
          </wp:positionH>
          <wp:positionV relativeFrom="paragraph">
            <wp:posOffset>-127468</wp:posOffset>
          </wp:positionV>
          <wp:extent cx="241539" cy="241539"/>
          <wp:effectExtent l="0" t="0" r="6350" b="635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8480" behindDoc="0" locked="0" layoutInCell="1" allowOverlap="1">
          <wp:simplePos x="0" y="0"/>
          <wp:positionH relativeFrom="column">
            <wp:posOffset>2411084</wp:posOffset>
          </wp:positionH>
          <wp:positionV relativeFrom="paragraph">
            <wp:posOffset>-135638</wp:posOffset>
          </wp:positionV>
          <wp:extent cx="266528" cy="262039"/>
          <wp:effectExtent l="0" t="0" r="635" b="5080"/>
          <wp:wrapNone/>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9504" behindDoc="0" locked="0" layoutInCell="1" allowOverlap="1">
          <wp:simplePos x="0" y="0"/>
          <wp:positionH relativeFrom="column">
            <wp:posOffset>565030</wp:posOffset>
          </wp:positionH>
          <wp:positionV relativeFrom="paragraph">
            <wp:posOffset>-118386</wp:posOffset>
          </wp:positionV>
          <wp:extent cx="329206" cy="241456"/>
          <wp:effectExtent l="0" t="0" r="0" b="6350"/>
          <wp:wrapNone/>
          <wp:docPr id="2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sidR="00F20046">
      <w:rPr>
        <w:noProof/>
      </w:rPr>
      <mc:AlternateContent>
        <mc:Choice Requires="wps">
          <w:drawing>
            <wp:anchor distT="0" distB="0" distL="114300" distR="114300" simplePos="0" relativeHeight="251671552" behindDoc="0" locked="0" layoutInCell="1" allowOverlap="1" wp14:anchorId="2A58D63D" wp14:editId="2D1F9C15">
              <wp:simplePos x="0" y="0"/>
              <wp:positionH relativeFrom="margin">
                <wp:posOffset>-292471</wp:posOffset>
              </wp:positionH>
              <wp:positionV relativeFrom="paragraph">
                <wp:posOffset>76200</wp:posOffset>
              </wp:positionV>
              <wp:extent cx="2130281" cy="621030"/>
              <wp:effectExtent l="0" t="0" r="0" b="7620"/>
              <wp:wrapNone/>
              <wp:docPr id="22" name="תיבת טקסט 2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0"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D63D" id="תיבת טקסט 22" o:spid="_x0000_s1027" type="#_x0000_t202" style="position:absolute;margin-left:-23.05pt;margin-top:6pt;width:167.75pt;height:4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w92h&#10;PUcCAABjBAAADgAAAAAAAAAAAAAAAAAuAgAAZHJzL2Uyb0RvYy54bWxQSwECLQAUAAYACAAAACEA&#10;1gzHn+EAAAAKAQAADwAAAAAAAAAAAAAAAAChBAAAZHJzL2Rvd25yZXYueG1sUEsFBgAAAAAEAAQA&#10;8wAAAK8FAAAAAA==&#10;" filled="f" stroked="f" strokeweight=".5pt">
              <v:textbo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1"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v:textbox>
              <w10:wrap anchorx="margin"/>
            </v:shape>
          </w:pict>
        </mc:Fallback>
      </mc:AlternateContent>
    </w:r>
    <w:r w:rsidR="00F20046">
      <w:rPr>
        <w:noProof/>
      </w:rPr>
      <mc:AlternateContent>
        <mc:Choice Requires="wps">
          <w:drawing>
            <wp:anchor distT="0" distB="0" distL="114300" distR="114300" simplePos="0" relativeHeight="251661312" behindDoc="0" locked="0" layoutInCell="1" allowOverlap="1" wp14:anchorId="71AF4990" wp14:editId="6CA604D5">
              <wp:simplePos x="0" y="0"/>
              <wp:positionH relativeFrom="column">
                <wp:posOffset>3257861</wp:posOffset>
              </wp:positionH>
              <wp:positionV relativeFrom="paragraph">
                <wp:posOffset>89750</wp:posOffset>
              </wp:positionV>
              <wp:extent cx="2181860" cy="45720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2" w:history="1">
                            <w:r w:rsidR="00571971" w:rsidRPr="00031A9D">
                              <w:rPr>
                                <w:rStyle w:val="Hyperlink"/>
                                <w:rFonts w:asciiTheme="minorHAnsi" w:hAnsiTheme="minorHAnsi"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AF4990" id="תיבת טקסט 9" o:spid="_x0000_s1028" type="#_x0000_t202" style="position:absolute;margin-left:256.5pt;margin-top:7.05pt;width:171.8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" filled="f" stroked="f" strokeweight=".5pt">
              <v:textbo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3" w:history="1">
                      <w:r w:rsidR="00571971" w:rsidRPr="00031A9D">
                        <w:rPr>
                          <w:rStyle w:val="Hyperlink"/>
                          <w:rFonts w:asciiTheme="minorHAnsi" w:hAnsiTheme="minorHAnsi" w:cstheme="minorHAnsi"/>
                          <w:sz w:val="14"/>
                          <w:szCs w:val="14"/>
                        </w:rPr>
                        <w:t>https://www.facebook.com/bankisraelvc</w:t>
                      </w:r>
                    </w:hyperlink>
                  </w:p>
                </w:txbxContent>
              </v:textbox>
            </v:shape>
          </w:pict>
        </mc:Fallback>
      </mc:AlternateContent>
    </w:r>
    <w:r w:rsidR="00F20046">
      <w:rPr>
        <w:noProof/>
      </w:rPr>
      <mc:AlternateContent>
        <mc:Choice Requires="wps">
          <w:drawing>
            <wp:anchor distT="0" distB="0" distL="114300" distR="114300" simplePos="0" relativeHeight="251659264" behindDoc="0" locked="0" layoutInCell="1" allowOverlap="1">
              <wp:simplePos x="0" y="0"/>
              <wp:positionH relativeFrom="column">
                <wp:posOffset>5014583</wp:posOffset>
              </wp:positionH>
              <wp:positionV relativeFrom="paragraph">
                <wp:posOffset>89164</wp:posOffset>
              </wp:positionV>
              <wp:extent cx="1535430" cy="457200"/>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7" o:spid="_x0000_s1029" type="#_x0000_t202" style="position:absolute;margin-left:394.85pt;margin-top:7pt;width:120.9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ONlrCJF&#10;AgAAYQQAAA4AAAAAAAAAAAAAAAAALgIAAGRycy9lMm9Eb2MueG1sUEsBAi0AFAAGAAgAAAAhAAvz&#10;IM/hAAAACgEAAA8AAAAAAAAAAAAAAAAAnwQAAGRycy9kb3ducmV2LnhtbFBLBQYAAAAABAAEAPMA&#10;AACtBQAAAAA=&#10;" filled="f" stroked="f" strokeweight=".5pt">
              <v:textbo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sidR="00B677DC">
      <w:rPr>
        <w:noProof/>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-223149</wp:posOffset>
              </wp:positionV>
              <wp:extent cx="6228080" cy="0"/>
              <wp:effectExtent l="0" t="0" r="20320" b="19050"/>
              <wp:wrapNone/>
              <wp:docPr id="15" name="מחבר ישר 1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AD1803" id="מחבר ישר 15" o:spid="_x0000_s1026" style="position:absolute;left:0;text-align:left;flip:x;z-index:251666432;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" strokecolor="black [3040]"/>
          </w:pict>
        </mc:Fallback>
      </mc:AlternateContent>
    </w:r>
    <w:r w:rsidR="00972198" w:rsidRPr="00571971">
      <w:rPr>
        <w:rFonts w:cs="Calibri"/>
        <w:noProof/>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BB6" w:rsidRDefault="00431BB6" w:rsidP="00E04682">
      <w:pPr>
        <w:spacing w:after="0" w:line="240" w:lineRule="auto"/>
      </w:pPr>
      <w:r>
        <w:separator/>
      </w:r>
    </w:p>
  </w:footnote>
  <w:footnote w:type="continuationSeparator" w:id="0">
    <w:p w:rsidR="00431BB6" w:rsidRDefault="00431BB6" w:rsidP="00E04682">
      <w:pPr>
        <w:spacing w:after="0" w:line="240" w:lineRule="auto"/>
      </w:pPr>
      <w:r>
        <w:continuationSeparator/>
      </w:r>
    </w:p>
  </w:footnote>
  <w:footnote w:id="1">
    <w:p w:rsidR="002E6CD5" w:rsidRPr="006E70CF" w:rsidRDefault="002E6CD5" w:rsidP="002E6CD5">
      <w:pPr>
        <w:pStyle w:val="af0"/>
        <w:rPr>
          <w:rFonts w:asciiTheme="minorHAnsi" w:hAnsiTheme="minorHAnsi" w:cstheme="minorHAnsi"/>
          <w:i/>
          <w:iCs w:val="0"/>
        </w:rPr>
      </w:pPr>
      <w:r w:rsidRPr="006E70CF">
        <w:rPr>
          <w:rStyle w:val="af2"/>
          <w:rFonts w:asciiTheme="minorHAnsi" w:hAnsiTheme="minorHAnsi" w:cstheme="minorHAnsi"/>
          <w:i/>
          <w:iCs w:val="0"/>
        </w:rPr>
        <w:footnoteRef/>
      </w:r>
      <w:r w:rsidRPr="006E70CF">
        <w:rPr>
          <w:rFonts w:asciiTheme="minorHAnsi" w:hAnsiTheme="minorHAnsi" w:cstheme="minorHAnsi"/>
          <w:i/>
          <w:iCs w:val="0"/>
          <w:rtl/>
        </w:rPr>
        <w:t xml:space="preserve"> המדד החודשי לפעילות המשק משקף את הממוצע התלת-חודשי של אומדן קצב הצמיחה החודשי בתוצר. האומדן מבוסס על מודל שפותח בבנק ישראל (</w:t>
      </w:r>
      <w:proofErr w:type="spellStart"/>
      <w:r w:rsidRPr="006E70CF">
        <w:rPr>
          <w:rFonts w:asciiTheme="minorHAnsi" w:hAnsiTheme="minorHAnsi" w:cstheme="minorHAnsi"/>
          <w:i/>
          <w:iCs w:val="0"/>
          <w:rtl/>
        </w:rPr>
        <w:t>גינקר</w:t>
      </w:r>
      <w:proofErr w:type="spellEnd"/>
      <w:r w:rsidRPr="006E70CF">
        <w:rPr>
          <w:rFonts w:asciiTheme="minorHAnsi" w:hAnsiTheme="minorHAnsi" w:cstheme="minorHAnsi"/>
          <w:i/>
          <w:iCs w:val="0"/>
          <w:rtl/>
        </w:rPr>
        <w:t xml:space="preserve"> </w:t>
      </w:r>
      <w:proofErr w:type="spellStart"/>
      <w:r w:rsidRPr="006E70CF">
        <w:rPr>
          <w:rFonts w:asciiTheme="minorHAnsi" w:hAnsiTheme="minorHAnsi" w:cstheme="minorHAnsi"/>
          <w:i/>
          <w:iCs w:val="0"/>
          <w:rtl/>
        </w:rPr>
        <w:t>וסוחוי</w:t>
      </w:r>
      <w:proofErr w:type="spellEnd"/>
      <w:r w:rsidRPr="006E70CF">
        <w:rPr>
          <w:rFonts w:asciiTheme="minorHAnsi" w:hAnsiTheme="minorHAnsi" w:cstheme="minorHAnsi"/>
          <w:i/>
          <w:iCs w:val="0"/>
          <w:rtl/>
        </w:rPr>
        <w:t>, 2021)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C6049"/>
    <w:multiLevelType w:val="hybridMultilevel"/>
    <w:tmpl w:val="3A4AADEA"/>
    <w:lvl w:ilvl="0" w:tplc="BCEC41E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1D01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3" w15:restartNumberingAfterBreak="0">
    <w:nsid w:val="3A951D18"/>
    <w:multiLevelType w:val="hybridMultilevel"/>
    <w:tmpl w:val="8D94D286"/>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10C5A"/>
    <w:multiLevelType w:val="hybridMultilevel"/>
    <w:tmpl w:val="1F0214CA"/>
    <w:lvl w:ilvl="0" w:tplc="D41CDC90">
      <w:numFmt w:val="bullet"/>
      <w:lvlText w:val=""/>
      <w:lvlJc w:val="left"/>
      <w:pPr>
        <w:ind w:left="668" w:hanging="360"/>
      </w:pPr>
      <w:rPr>
        <w:rFonts w:ascii="Symbol" w:eastAsiaTheme="minorHAnsi" w:hAnsi="Symbol" w:cs="Assistant" w:hint="default"/>
      </w:rPr>
    </w:lvl>
    <w:lvl w:ilvl="1" w:tplc="04090003">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5" w15:restartNumberingAfterBreak="0">
    <w:nsid w:val="577F64B2"/>
    <w:multiLevelType w:val="hybridMultilevel"/>
    <w:tmpl w:val="A3EC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14A7D"/>
    <w:multiLevelType w:val="hybridMultilevel"/>
    <w:tmpl w:val="CC7060DA"/>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8B7446"/>
    <w:multiLevelType w:val="hybridMultilevel"/>
    <w:tmpl w:val="EC7A8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0642CF"/>
    <w:multiLevelType w:val="hybridMultilevel"/>
    <w:tmpl w:val="917A7A3C"/>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0941A4"/>
    <w:multiLevelType w:val="hybridMultilevel"/>
    <w:tmpl w:val="D5825F84"/>
    <w:lvl w:ilvl="0" w:tplc="2C8673AE">
      <w:start w:val="1"/>
      <w:numFmt w:val="bullet"/>
      <w:lvlText w:val=""/>
      <w:lvlJc w:val="left"/>
      <w:pPr>
        <w:ind w:left="720" w:hanging="360"/>
      </w:pPr>
      <w:rPr>
        <w:rFonts w:ascii="Symbol" w:hAnsi="Symbol" w:hint="default"/>
      </w:rPr>
    </w:lvl>
    <w:lvl w:ilvl="1" w:tplc="416E8F56" w:tentative="1">
      <w:start w:val="1"/>
      <w:numFmt w:val="bullet"/>
      <w:lvlText w:val="o"/>
      <w:lvlJc w:val="left"/>
      <w:pPr>
        <w:ind w:left="1440" w:hanging="360"/>
      </w:pPr>
      <w:rPr>
        <w:rFonts w:ascii="Courier New" w:hAnsi="Courier New" w:cs="Courier New" w:hint="default"/>
      </w:rPr>
    </w:lvl>
    <w:lvl w:ilvl="2" w:tplc="392CE05C" w:tentative="1">
      <w:start w:val="1"/>
      <w:numFmt w:val="bullet"/>
      <w:lvlText w:val=""/>
      <w:lvlJc w:val="left"/>
      <w:pPr>
        <w:ind w:left="2160" w:hanging="360"/>
      </w:pPr>
      <w:rPr>
        <w:rFonts w:ascii="Wingdings" w:hAnsi="Wingdings" w:hint="default"/>
      </w:rPr>
    </w:lvl>
    <w:lvl w:ilvl="3" w:tplc="BFAEF2A0" w:tentative="1">
      <w:start w:val="1"/>
      <w:numFmt w:val="bullet"/>
      <w:lvlText w:val=""/>
      <w:lvlJc w:val="left"/>
      <w:pPr>
        <w:ind w:left="2880" w:hanging="360"/>
      </w:pPr>
      <w:rPr>
        <w:rFonts w:ascii="Symbol" w:hAnsi="Symbol" w:hint="default"/>
      </w:rPr>
    </w:lvl>
    <w:lvl w:ilvl="4" w:tplc="9F04FF50" w:tentative="1">
      <w:start w:val="1"/>
      <w:numFmt w:val="bullet"/>
      <w:lvlText w:val="o"/>
      <w:lvlJc w:val="left"/>
      <w:pPr>
        <w:ind w:left="3600" w:hanging="360"/>
      </w:pPr>
      <w:rPr>
        <w:rFonts w:ascii="Courier New" w:hAnsi="Courier New" w:cs="Courier New" w:hint="default"/>
      </w:rPr>
    </w:lvl>
    <w:lvl w:ilvl="5" w:tplc="602A822A" w:tentative="1">
      <w:start w:val="1"/>
      <w:numFmt w:val="bullet"/>
      <w:lvlText w:val=""/>
      <w:lvlJc w:val="left"/>
      <w:pPr>
        <w:ind w:left="4320" w:hanging="360"/>
      </w:pPr>
      <w:rPr>
        <w:rFonts w:ascii="Wingdings" w:hAnsi="Wingdings" w:hint="default"/>
      </w:rPr>
    </w:lvl>
    <w:lvl w:ilvl="6" w:tplc="098C949E" w:tentative="1">
      <w:start w:val="1"/>
      <w:numFmt w:val="bullet"/>
      <w:lvlText w:val=""/>
      <w:lvlJc w:val="left"/>
      <w:pPr>
        <w:ind w:left="5040" w:hanging="360"/>
      </w:pPr>
      <w:rPr>
        <w:rFonts w:ascii="Symbol" w:hAnsi="Symbol" w:hint="default"/>
      </w:rPr>
    </w:lvl>
    <w:lvl w:ilvl="7" w:tplc="E3E09A74" w:tentative="1">
      <w:start w:val="1"/>
      <w:numFmt w:val="bullet"/>
      <w:lvlText w:val="o"/>
      <w:lvlJc w:val="left"/>
      <w:pPr>
        <w:ind w:left="5760" w:hanging="360"/>
      </w:pPr>
      <w:rPr>
        <w:rFonts w:ascii="Courier New" w:hAnsi="Courier New" w:cs="Courier New" w:hint="default"/>
      </w:rPr>
    </w:lvl>
    <w:lvl w:ilvl="8" w:tplc="F7B45E2A"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1"/>
  </w:num>
  <w:num w:numId="6">
    <w:abstractNumId w:val="9"/>
  </w:num>
  <w:num w:numId="7">
    <w:abstractNumId w:val="7"/>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A"/>
    <w:rsid w:val="0000680E"/>
    <w:rsid w:val="00012503"/>
    <w:rsid w:val="00031A9D"/>
    <w:rsid w:val="00040A7F"/>
    <w:rsid w:val="00045C65"/>
    <w:rsid w:val="00055CC5"/>
    <w:rsid w:val="00065B9B"/>
    <w:rsid w:val="000727FD"/>
    <w:rsid w:val="00084B5A"/>
    <w:rsid w:val="000857B7"/>
    <w:rsid w:val="00087BB3"/>
    <w:rsid w:val="00095555"/>
    <w:rsid w:val="00096238"/>
    <w:rsid w:val="000A5329"/>
    <w:rsid w:val="000B589E"/>
    <w:rsid w:val="000C1E4D"/>
    <w:rsid w:val="000D2157"/>
    <w:rsid w:val="000D5445"/>
    <w:rsid w:val="000E7ED2"/>
    <w:rsid w:val="00100012"/>
    <w:rsid w:val="00113BC9"/>
    <w:rsid w:val="00115277"/>
    <w:rsid w:val="00115FEF"/>
    <w:rsid w:val="00127DAC"/>
    <w:rsid w:val="00151A07"/>
    <w:rsid w:val="00156135"/>
    <w:rsid w:val="00162DCC"/>
    <w:rsid w:val="00166DBC"/>
    <w:rsid w:val="001705B9"/>
    <w:rsid w:val="00170DDB"/>
    <w:rsid w:val="00184E4C"/>
    <w:rsid w:val="0019079B"/>
    <w:rsid w:val="00196785"/>
    <w:rsid w:val="001A2670"/>
    <w:rsid w:val="001A53CE"/>
    <w:rsid w:val="001B05C6"/>
    <w:rsid w:val="001B28C8"/>
    <w:rsid w:val="001B5E43"/>
    <w:rsid w:val="001C194B"/>
    <w:rsid w:val="001C7D79"/>
    <w:rsid w:val="001D5E62"/>
    <w:rsid w:val="001E0275"/>
    <w:rsid w:val="001E2886"/>
    <w:rsid w:val="001E46DB"/>
    <w:rsid w:val="001F2BE7"/>
    <w:rsid w:val="00223D37"/>
    <w:rsid w:val="00225BDF"/>
    <w:rsid w:val="00245BA3"/>
    <w:rsid w:val="00256095"/>
    <w:rsid w:val="00256D97"/>
    <w:rsid w:val="00265657"/>
    <w:rsid w:val="00274912"/>
    <w:rsid w:val="00275FE8"/>
    <w:rsid w:val="002834B6"/>
    <w:rsid w:val="00290B54"/>
    <w:rsid w:val="00297F94"/>
    <w:rsid w:val="002A2E4C"/>
    <w:rsid w:val="002A3CC4"/>
    <w:rsid w:val="002B564E"/>
    <w:rsid w:val="002B7877"/>
    <w:rsid w:val="002C05A5"/>
    <w:rsid w:val="002C754F"/>
    <w:rsid w:val="002D7AA8"/>
    <w:rsid w:val="002E330F"/>
    <w:rsid w:val="002E5F96"/>
    <w:rsid w:val="002E6CD5"/>
    <w:rsid w:val="002F62A1"/>
    <w:rsid w:val="00301F96"/>
    <w:rsid w:val="003144E6"/>
    <w:rsid w:val="00315D7C"/>
    <w:rsid w:val="00316C9F"/>
    <w:rsid w:val="0031701E"/>
    <w:rsid w:val="0032792A"/>
    <w:rsid w:val="003353C9"/>
    <w:rsid w:val="00341083"/>
    <w:rsid w:val="00352E3C"/>
    <w:rsid w:val="003552BD"/>
    <w:rsid w:val="0036030B"/>
    <w:rsid w:val="003641E2"/>
    <w:rsid w:val="00370E6F"/>
    <w:rsid w:val="0037101B"/>
    <w:rsid w:val="003730B8"/>
    <w:rsid w:val="00375149"/>
    <w:rsid w:val="003A1561"/>
    <w:rsid w:val="003C2931"/>
    <w:rsid w:val="003E7478"/>
    <w:rsid w:val="003F01E4"/>
    <w:rsid w:val="003F57B2"/>
    <w:rsid w:val="00407D90"/>
    <w:rsid w:val="00431BB6"/>
    <w:rsid w:val="00440E7F"/>
    <w:rsid w:val="004537A7"/>
    <w:rsid w:val="004561A3"/>
    <w:rsid w:val="00460DDF"/>
    <w:rsid w:val="00461C90"/>
    <w:rsid w:val="00471092"/>
    <w:rsid w:val="004A120F"/>
    <w:rsid w:val="004A32D7"/>
    <w:rsid w:val="004A6295"/>
    <w:rsid w:val="004C6182"/>
    <w:rsid w:val="004C7925"/>
    <w:rsid w:val="004F26A1"/>
    <w:rsid w:val="004F5E3C"/>
    <w:rsid w:val="00567B1A"/>
    <w:rsid w:val="00571971"/>
    <w:rsid w:val="0057422C"/>
    <w:rsid w:val="00575141"/>
    <w:rsid w:val="0059782C"/>
    <w:rsid w:val="005A52A2"/>
    <w:rsid w:val="005C5BF9"/>
    <w:rsid w:val="005D5F2B"/>
    <w:rsid w:val="005E28F6"/>
    <w:rsid w:val="00614024"/>
    <w:rsid w:val="00632CD2"/>
    <w:rsid w:val="006344CC"/>
    <w:rsid w:val="0063559D"/>
    <w:rsid w:val="0063690B"/>
    <w:rsid w:val="00640309"/>
    <w:rsid w:val="00660075"/>
    <w:rsid w:val="00660F46"/>
    <w:rsid w:val="006811C3"/>
    <w:rsid w:val="006907D5"/>
    <w:rsid w:val="0069557C"/>
    <w:rsid w:val="006C3C36"/>
    <w:rsid w:val="006C5099"/>
    <w:rsid w:val="006F0964"/>
    <w:rsid w:val="00701240"/>
    <w:rsid w:val="00715D7F"/>
    <w:rsid w:val="00716C90"/>
    <w:rsid w:val="007172E4"/>
    <w:rsid w:val="00737090"/>
    <w:rsid w:val="00780795"/>
    <w:rsid w:val="00783F55"/>
    <w:rsid w:val="007916D5"/>
    <w:rsid w:val="0079406F"/>
    <w:rsid w:val="00797111"/>
    <w:rsid w:val="007A0330"/>
    <w:rsid w:val="007A25C0"/>
    <w:rsid w:val="007A2A08"/>
    <w:rsid w:val="007B2299"/>
    <w:rsid w:val="007B2E35"/>
    <w:rsid w:val="007B64D4"/>
    <w:rsid w:val="007C40B7"/>
    <w:rsid w:val="007C41CE"/>
    <w:rsid w:val="007D028E"/>
    <w:rsid w:val="007E3CCC"/>
    <w:rsid w:val="00803D2A"/>
    <w:rsid w:val="008058DF"/>
    <w:rsid w:val="00810049"/>
    <w:rsid w:val="008137A5"/>
    <w:rsid w:val="00832597"/>
    <w:rsid w:val="008371BA"/>
    <w:rsid w:val="00844664"/>
    <w:rsid w:val="008466F0"/>
    <w:rsid w:val="008473FB"/>
    <w:rsid w:val="00850CC4"/>
    <w:rsid w:val="00886388"/>
    <w:rsid w:val="008B3199"/>
    <w:rsid w:val="008C47FB"/>
    <w:rsid w:val="008C4A46"/>
    <w:rsid w:val="008C706D"/>
    <w:rsid w:val="008D5488"/>
    <w:rsid w:val="008E2484"/>
    <w:rsid w:val="008F0B52"/>
    <w:rsid w:val="008F617A"/>
    <w:rsid w:val="00914AC1"/>
    <w:rsid w:val="00921F03"/>
    <w:rsid w:val="0095375C"/>
    <w:rsid w:val="00965C79"/>
    <w:rsid w:val="00972198"/>
    <w:rsid w:val="00984B1A"/>
    <w:rsid w:val="009851B0"/>
    <w:rsid w:val="00996DA6"/>
    <w:rsid w:val="009A089E"/>
    <w:rsid w:val="009A50FF"/>
    <w:rsid w:val="009B0FA7"/>
    <w:rsid w:val="009B2E19"/>
    <w:rsid w:val="009C6D0D"/>
    <w:rsid w:val="009E2FD2"/>
    <w:rsid w:val="00A076E6"/>
    <w:rsid w:val="00A13844"/>
    <w:rsid w:val="00A27085"/>
    <w:rsid w:val="00A344EF"/>
    <w:rsid w:val="00A41BD0"/>
    <w:rsid w:val="00A47944"/>
    <w:rsid w:val="00A61A41"/>
    <w:rsid w:val="00A6309F"/>
    <w:rsid w:val="00A678C6"/>
    <w:rsid w:val="00A71B93"/>
    <w:rsid w:val="00A730E0"/>
    <w:rsid w:val="00A8460D"/>
    <w:rsid w:val="00A92A3D"/>
    <w:rsid w:val="00AA00A5"/>
    <w:rsid w:val="00AB01E0"/>
    <w:rsid w:val="00AB1761"/>
    <w:rsid w:val="00AB37A4"/>
    <w:rsid w:val="00AC35CD"/>
    <w:rsid w:val="00AE7479"/>
    <w:rsid w:val="00AF1FA7"/>
    <w:rsid w:val="00B02A8E"/>
    <w:rsid w:val="00B071B6"/>
    <w:rsid w:val="00B13490"/>
    <w:rsid w:val="00B161CC"/>
    <w:rsid w:val="00B35876"/>
    <w:rsid w:val="00B569FD"/>
    <w:rsid w:val="00B63A33"/>
    <w:rsid w:val="00B677DC"/>
    <w:rsid w:val="00B70E6F"/>
    <w:rsid w:val="00B91BF0"/>
    <w:rsid w:val="00B955C2"/>
    <w:rsid w:val="00BA0282"/>
    <w:rsid w:val="00BB6985"/>
    <w:rsid w:val="00BD0783"/>
    <w:rsid w:val="00BD17EF"/>
    <w:rsid w:val="00BD7743"/>
    <w:rsid w:val="00BE729B"/>
    <w:rsid w:val="00BF4F97"/>
    <w:rsid w:val="00BF5589"/>
    <w:rsid w:val="00C0095C"/>
    <w:rsid w:val="00C02512"/>
    <w:rsid w:val="00C10172"/>
    <w:rsid w:val="00C25C86"/>
    <w:rsid w:val="00C36D00"/>
    <w:rsid w:val="00C42A4B"/>
    <w:rsid w:val="00C463C1"/>
    <w:rsid w:val="00C46931"/>
    <w:rsid w:val="00C47A89"/>
    <w:rsid w:val="00C73E6B"/>
    <w:rsid w:val="00C85D4E"/>
    <w:rsid w:val="00C86CFC"/>
    <w:rsid w:val="00C9088B"/>
    <w:rsid w:val="00C91BA8"/>
    <w:rsid w:val="00C94FDB"/>
    <w:rsid w:val="00CA2ACF"/>
    <w:rsid w:val="00CB5C9F"/>
    <w:rsid w:val="00CB5CD9"/>
    <w:rsid w:val="00CB74C6"/>
    <w:rsid w:val="00CC2499"/>
    <w:rsid w:val="00CC57F4"/>
    <w:rsid w:val="00CC73CB"/>
    <w:rsid w:val="00CD11DB"/>
    <w:rsid w:val="00CD2037"/>
    <w:rsid w:val="00CD2A65"/>
    <w:rsid w:val="00CE2F8B"/>
    <w:rsid w:val="00D004D1"/>
    <w:rsid w:val="00D02324"/>
    <w:rsid w:val="00D06884"/>
    <w:rsid w:val="00D15579"/>
    <w:rsid w:val="00D45541"/>
    <w:rsid w:val="00D53BFE"/>
    <w:rsid w:val="00D73D49"/>
    <w:rsid w:val="00D747A1"/>
    <w:rsid w:val="00D85F94"/>
    <w:rsid w:val="00D878DF"/>
    <w:rsid w:val="00DB09F3"/>
    <w:rsid w:val="00DC23E1"/>
    <w:rsid w:val="00DC727C"/>
    <w:rsid w:val="00DD2E1F"/>
    <w:rsid w:val="00DD6497"/>
    <w:rsid w:val="00DE140A"/>
    <w:rsid w:val="00DF4B57"/>
    <w:rsid w:val="00E04682"/>
    <w:rsid w:val="00E20D4C"/>
    <w:rsid w:val="00E22BAA"/>
    <w:rsid w:val="00E44A34"/>
    <w:rsid w:val="00E52D98"/>
    <w:rsid w:val="00E52DAA"/>
    <w:rsid w:val="00E566ED"/>
    <w:rsid w:val="00E728E5"/>
    <w:rsid w:val="00E731F0"/>
    <w:rsid w:val="00E80E0F"/>
    <w:rsid w:val="00E84228"/>
    <w:rsid w:val="00EC51AC"/>
    <w:rsid w:val="00ED67BE"/>
    <w:rsid w:val="00EE07B1"/>
    <w:rsid w:val="00EF41BE"/>
    <w:rsid w:val="00F11065"/>
    <w:rsid w:val="00F20046"/>
    <w:rsid w:val="00F2528F"/>
    <w:rsid w:val="00F25BB5"/>
    <w:rsid w:val="00F40307"/>
    <w:rsid w:val="00F571F9"/>
    <w:rsid w:val="00F655AC"/>
    <w:rsid w:val="00F8256F"/>
    <w:rsid w:val="00F95970"/>
    <w:rsid w:val="00FB1B10"/>
    <w:rsid w:val="00FB278F"/>
    <w:rsid w:val="00FB3D7B"/>
    <w:rsid w:val="00FB6F6A"/>
    <w:rsid w:val="00FC67CB"/>
    <w:rsid w:val="00FD61EB"/>
    <w:rsid w:val="00FE245D"/>
    <w:rsid w:val="00FE3344"/>
    <w:rsid w:val="00FE77A7"/>
    <w:rsid w:val="00FF5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3DEC8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A9D"/>
    <w:pPr>
      <w:spacing w:after="160" w:line="259"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75141"/>
    <w:rPr>
      <w:color w:val="0000FF"/>
      <w:u w:val="single"/>
    </w:rPr>
  </w:style>
  <w:style w:type="paragraph" w:styleId="a3">
    <w:name w:val="Balloon Text"/>
    <w:basedOn w:val="a"/>
    <w:link w:val="a4"/>
    <w:uiPriority w:val="99"/>
    <w:semiHidden/>
    <w:unhideWhenUsed/>
    <w:rsid w:val="007B64D4"/>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7B64D4"/>
    <w:rPr>
      <w:rFonts w:ascii="Tahoma" w:hAnsi="Tahoma" w:cs="Tahoma"/>
      <w:sz w:val="18"/>
      <w:szCs w:val="18"/>
    </w:rPr>
  </w:style>
  <w:style w:type="paragraph" w:styleId="a5">
    <w:name w:val="header"/>
    <w:basedOn w:val="a"/>
    <w:link w:val="a6"/>
    <w:uiPriority w:val="99"/>
    <w:unhideWhenUsed/>
    <w:rsid w:val="00E04682"/>
    <w:pPr>
      <w:tabs>
        <w:tab w:val="center" w:pos="4153"/>
        <w:tab w:val="right" w:pos="8306"/>
      </w:tabs>
      <w:spacing w:after="0" w:line="240" w:lineRule="auto"/>
    </w:pPr>
  </w:style>
  <w:style w:type="character" w:customStyle="1" w:styleId="a6">
    <w:name w:val="כותרת עליונה תו"/>
    <w:basedOn w:val="a0"/>
    <w:link w:val="a5"/>
    <w:uiPriority w:val="99"/>
    <w:rsid w:val="00E04682"/>
  </w:style>
  <w:style w:type="paragraph" w:styleId="a7">
    <w:name w:val="footer"/>
    <w:basedOn w:val="a"/>
    <w:link w:val="a8"/>
    <w:uiPriority w:val="99"/>
    <w:unhideWhenUsed/>
    <w:rsid w:val="00E04682"/>
    <w:pPr>
      <w:tabs>
        <w:tab w:val="center" w:pos="4153"/>
        <w:tab w:val="right" w:pos="8306"/>
      </w:tabs>
      <w:spacing w:after="0" w:line="240" w:lineRule="auto"/>
    </w:pPr>
  </w:style>
  <w:style w:type="character" w:customStyle="1" w:styleId="a8">
    <w:name w:val="כותרת תחתונה תו"/>
    <w:basedOn w:val="a0"/>
    <w:link w:val="a7"/>
    <w:uiPriority w:val="99"/>
    <w:rsid w:val="00E04682"/>
  </w:style>
  <w:style w:type="paragraph" w:styleId="a9">
    <w:name w:val="List Paragraph"/>
    <w:aliases w:val="פיסקת רשימה12,פיסקת רשימה121,פיסקת רשימה2,פיסקת רשימה11"/>
    <w:basedOn w:val="a"/>
    <w:link w:val="aa"/>
    <w:uiPriority w:val="34"/>
    <w:qFormat/>
    <w:rsid w:val="00CD2A65"/>
    <w:pPr>
      <w:ind w:left="720"/>
      <w:contextualSpacing/>
    </w:pPr>
  </w:style>
  <w:style w:type="character" w:styleId="ab">
    <w:name w:val="annotation reference"/>
    <w:basedOn w:val="a0"/>
    <w:uiPriority w:val="99"/>
    <w:semiHidden/>
    <w:unhideWhenUsed/>
    <w:rsid w:val="004F26A1"/>
    <w:rPr>
      <w:sz w:val="16"/>
      <w:szCs w:val="16"/>
    </w:rPr>
  </w:style>
  <w:style w:type="paragraph" w:styleId="ac">
    <w:name w:val="annotation text"/>
    <w:basedOn w:val="a"/>
    <w:link w:val="ad"/>
    <w:uiPriority w:val="99"/>
    <w:semiHidden/>
    <w:unhideWhenUsed/>
    <w:rsid w:val="004F26A1"/>
    <w:pPr>
      <w:spacing w:line="240" w:lineRule="auto"/>
    </w:pPr>
    <w:rPr>
      <w:sz w:val="20"/>
      <w:szCs w:val="20"/>
    </w:rPr>
  </w:style>
  <w:style w:type="character" w:customStyle="1" w:styleId="ad">
    <w:name w:val="טקסט הערה תו"/>
    <w:basedOn w:val="a0"/>
    <w:link w:val="ac"/>
    <w:uiPriority w:val="99"/>
    <w:semiHidden/>
    <w:rsid w:val="004F26A1"/>
    <w:rPr>
      <w:sz w:val="20"/>
      <w:szCs w:val="20"/>
    </w:rPr>
  </w:style>
  <w:style w:type="paragraph" w:styleId="ae">
    <w:name w:val="annotation subject"/>
    <w:basedOn w:val="ac"/>
    <w:next w:val="ac"/>
    <w:link w:val="af"/>
    <w:uiPriority w:val="99"/>
    <w:semiHidden/>
    <w:unhideWhenUsed/>
    <w:rsid w:val="004F26A1"/>
    <w:rPr>
      <w:b/>
      <w:bCs/>
    </w:rPr>
  </w:style>
  <w:style w:type="character" w:customStyle="1" w:styleId="af">
    <w:name w:val="נושא הערה תו"/>
    <w:basedOn w:val="ad"/>
    <w:link w:val="ae"/>
    <w:uiPriority w:val="99"/>
    <w:semiHidden/>
    <w:rsid w:val="004F26A1"/>
    <w:rPr>
      <w:b/>
      <w:bCs/>
      <w:sz w:val="20"/>
      <w:szCs w:val="20"/>
    </w:rPr>
  </w:style>
  <w:style w:type="character" w:styleId="FollowedHyperlink">
    <w:name w:val="FollowedHyperlink"/>
    <w:basedOn w:val="a0"/>
    <w:uiPriority w:val="99"/>
    <w:semiHidden/>
    <w:unhideWhenUsed/>
    <w:rsid w:val="00B569FD"/>
    <w:rPr>
      <w:color w:val="800080" w:themeColor="followedHyperlink"/>
      <w:u w:val="single"/>
    </w:rPr>
  </w:style>
  <w:style w:type="character" w:customStyle="1" w:styleId="aa">
    <w:name w:val="פיסקת רשימה תו"/>
    <w:aliases w:val="פיסקת רשימה12 תו,פיסקת רשימה121 תו,פיסקת רשימה2 תו,פיסקת רשימה11 תו"/>
    <w:basedOn w:val="a0"/>
    <w:link w:val="a9"/>
    <w:uiPriority w:val="34"/>
    <w:rsid w:val="00031A9D"/>
  </w:style>
  <w:style w:type="paragraph" w:styleId="af0">
    <w:name w:val="footnote text"/>
    <w:basedOn w:val="a"/>
    <w:link w:val="af1"/>
    <w:semiHidden/>
    <w:rsid w:val="002E6CD5"/>
    <w:pPr>
      <w:bidi/>
      <w:spacing w:after="120" w:line="320" w:lineRule="exact"/>
      <w:ind w:left="-57" w:firstLine="283"/>
      <w:jc w:val="both"/>
    </w:pPr>
    <w:rPr>
      <w:rFonts w:ascii="Times New Roman" w:eastAsia="Times New Roman" w:hAnsi="Times New Roman"/>
      <w:iCs/>
      <w:sz w:val="20"/>
      <w:szCs w:val="20"/>
      <w:lang w:eastAsia="he-IL"/>
    </w:rPr>
  </w:style>
  <w:style w:type="character" w:customStyle="1" w:styleId="af1">
    <w:name w:val="טקסט הערת שוליים תו"/>
    <w:basedOn w:val="a0"/>
    <w:link w:val="af0"/>
    <w:semiHidden/>
    <w:rsid w:val="002E6CD5"/>
    <w:rPr>
      <w:rFonts w:ascii="Times New Roman" w:eastAsia="Times New Roman" w:hAnsi="Times New Roman" w:cs="David"/>
      <w:iCs/>
      <w:sz w:val="20"/>
      <w:szCs w:val="20"/>
      <w:lang w:eastAsia="he-IL"/>
    </w:rPr>
  </w:style>
  <w:style w:type="character" w:styleId="af2">
    <w:name w:val="footnote reference"/>
    <w:semiHidden/>
    <w:rsid w:val="002E6CD5"/>
    <w:rPr>
      <w:vertAlign w:val="superscript"/>
    </w:rPr>
  </w:style>
  <w:style w:type="paragraph" w:styleId="af3">
    <w:name w:val="Title"/>
    <w:basedOn w:val="a"/>
    <w:next w:val="a"/>
    <w:link w:val="af4"/>
    <w:qFormat/>
    <w:rsid w:val="002E6CD5"/>
    <w:pPr>
      <w:spacing w:after="0" w:line="240" w:lineRule="auto"/>
      <w:contextualSpacing/>
    </w:pPr>
    <w:rPr>
      <w:rFonts w:asciiTheme="majorHAnsi" w:eastAsiaTheme="majorEastAsia" w:hAnsiTheme="majorHAnsi" w:cstheme="majorBidi" w:hint="cs"/>
      <w:spacing w:val="-10"/>
      <w:kern w:val="28"/>
      <w:sz w:val="56"/>
      <w:szCs w:val="56"/>
      <w:lang w:eastAsia="he-IL"/>
    </w:rPr>
  </w:style>
  <w:style w:type="character" w:customStyle="1" w:styleId="af4">
    <w:name w:val="כותרת טקסט תו"/>
    <w:basedOn w:val="a0"/>
    <w:link w:val="af3"/>
    <w:rsid w:val="002E6CD5"/>
    <w:rPr>
      <w:rFonts w:asciiTheme="majorHAnsi" w:eastAsiaTheme="majorEastAsia" w:hAnsiTheme="majorHAnsi" w:cstheme="majorBidi"/>
      <w:spacing w:val="-10"/>
      <w:kern w:val="28"/>
      <w:sz w:val="56"/>
      <w:szCs w:val="56"/>
      <w:lang w:eastAsia="he-IL"/>
    </w:rPr>
  </w:style>
  <w:style w:type="paragraph" w:customStyle="1" w:styleId="af5">
    <w:name w:val="טקסט רץ"/>
    <w:basedOn w:val="a9"/>
    <w:qFormat/>
    <w:rsid w:val="002E6CD5"/>
    <w:pPr>
      <w:bidi/>
      <w:spacing w:after="0" w:line="240" w:lineRule="auto"/>
      <w:ind w:left="-7"/>
      <w:jc w:val="both"/>
    </w:pPr>
    <w:rPr>
      <w:rFonts w:ascii="Assistant" w:eastAsia="Times New Roman" w:hAnsi="Assistant" w:cs="Assistan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134256">
      <w:bodyDiv w:val="1"/>
      <w:marLeft w:val="0"/>
      <w:marRight w:val="0"/>
      <w:marTop w:val="0"/>
      <w:marBottom w:val="0"/>
      <w:divBdr>
        <w:top w:val="none" w:sz="0" w:space="0" w:color="auto"/>
        <w:left w:val="none" w:sz="0" w:space="0" w:color="auto"/>
        <w:bottom w:val="none" w:sz="0" w:space="0" w:color="auto"/>
        <w:right w:val="none" w:sz="0" w:space="0" w:color="auto"/>
      </w:divBdr>
    </w:div>
    <w:div w:id="872764382">
      <w:bodyDiv w:val="1"/>
      <w:marLeft w:val="0"/>
      <w:marRight w:val="0"/>
      <w:marTop w:val="0"/>
      <w:marBottom w:val="0"/>
      <w:divBdr>
        <w:top w:val="none" w:sz="0" w:space="0" w:color="auto"/>
        <w:left w:val="none" w:sz="0" w:space="0" w:color="auto"/>
        <w:bottom w:val="none" w:sz="0" w:space="0" w:color="auto"/>
        <w:right w:val="none" w:sz="0" w:space="0" w:color="auto"/>
      </w:divBdr>
    </w:div>
    <w:div w:id="1112937149">
      <w:bodyDiv w:val="1"/>
      <w:marLeft w:val="0"/>
      <w:marRight w:val="0"/>
      <w:marTop w:val="0"/>
      <w:marBottom w:val="0"/>
      <w:divBdr>
        <w:top w:val="none" w:sz="0" w:space="0" w:color="auto"/>
        <w:left w:val="none" w:sz="0" w:space="0" w:color="auto"/>
        <w:bottom w:val="none" w:sz="0" w:space="0" w:color="auto"/>
        <w:right w:val="none" w:sz="0" w:space="0" w:color="auto"/>
      </w:divBdr>
    </w:div>
    <w:div w:id="1557356728">
      <w:bodyDiv w:val="1"/>
      <w:marLeft w:val="0"/>
      <w:marRight w:val="0"/>
      <w:marTop w:val="0"/>
      <w:marBottom w:val="0"/>
      <w:divBdr>
        <w:top w:val="none" w:sz="0" w:space="0" w:color="auto"/>
        <w:left w:val="none" w:sz="0" w:space="0" w:color="auto"/>
        <w:bottom w:val="none" w:sz="0" w:space="0" w:color="auto"/>
        <w:right w:val="none" w:sz="0" w:space="0" w:color="auto"/>
      </w:divBdr>
    </w:div>
    <w:div w:id="1963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s>
</file>

<file path=word/_rels/footer1.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facebook.com/bankisraelvc" TargetMode="External"/><Relationship Id="rId3" Type="http://schemas.openxmlformats.org/officeDocument/2006/relationships/image" Target="media/image4.png"/><Relationship Id="rId7" Type="http://schemas.microsoft.com/office/2007/relationships/hdphoto" Target="media/hdphoto2.wdp"/><Relationship Id="rId12" Type="http://schemas.openxmlformats.org/officeDocument/2006/relationships/hyperlink" Target="https://www.facebook.com/bankisraelvc" TargetMode="External"/><Relationship Id="rId2" Type="http://schemas.openxmlformats.org/officeDocument/2006/relationships/hyperlink" Target="https://www.boi.org.il/bank-of-israel/boi-podcast/" TargetMode="External"/><Relationship Id="rId1" Type="http://schemas.openxmlformats.org/officeDocument/2006/relationships/hyperlink" Target="https://www.boi.org.il/bank-of-israel/boi-podcast/" TargetMode="External"/><Relationship Id="rId6" Type="http://schemas.openxmlformats.org/officeDocument/2006/relationships/image" Target="media/image6.png"/><Relationship Id="rId11" Type="http://schemas.openxmlformats.org/officeDocument/2006/relationships/hyperlink" Target="https://www.youtube.com/user/thebankofisrael" TargetMode="External"/><Relationship Id="rId5" Type="http://schemas.microsoft.com/office/2007/relationships/hdphoto" Target="media/hdphoto1.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5.png"/><Relationship Id="rId9" Type="http://schemas.microsoft.com/office/2007/relationships/hdphoto" Target="media/hdphoto3.wdp"/><Relationship Id="rId14" Type="http://schemas.openxmlformats.org/officeDocument/2006/relationships/hyperlink" Target="https://www.boi.org.i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mvsrvmmh\vmmh\ISD\&#1508;&#1512;&#1493;&#1497;&#1511;&#1496;&#1497;&#1501;%20&#1502;&#1513;&#1493;&#1514;&#1508;&#1497;&#1501;%20-%207\&#1505;&#1511;&#1512;%20&#1511;&#1510;&#1497;&#1504;&#1497;%20&#1488;&#1513;&#1512;&#1488;&#1497;\TETA\&#1492;&#1491;&#1493;&#1495;%20&#1492;&#1495;&#1493;&#1491;&#1513;&#1497;\chartbook_TETA.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89577069149881E-2"/>
          <c:y val="0.11676550506753407"/>
          <c:w val="0.86707789878755581"/>
          <c:h val="0.65486670157235194"/>
        </c:manualLayout>
      </c:layout>
      <c:barChart>
        <c:barDir val="col"/>
        <c:grouping val="clustered"/>
        <c:varyColors val="0"/>
        <c:ser>
          <c:idx val="6"/>
          <c:order val="0"/>
          <c:tx>
            <c:strRef>
              <c:f>[chartbook_TETA.xlsm]data_119!$B$5</c:f>
              <c:strCache>
                <c:ptCount val="1"/>
                <c:pt idx="0">
                  <c:v>אומדן המדד החודשי</c:v>
                </c:pt>
              </c:strCache>
            </c:strRef>
          </c:tx>
          <c:spPr>
            <a:solidFill>
              <a:srgbClr val="008DA3"/>
            </a:solidFill>
            <a:ln>
              <a:solidFill>
                <a:srgbClr val="357C32"/>
              </a:solidFill>
            </a:ln>
            <a:effectLst/>
          </c:spPr>
          <c:invertIfNegative val="0"/>
          <c:cat>
            <c:numRef>
              <c:f>[chartbook_TETA.xlsm]data_119!$A$6:$A$30</c:f>
              <c:numCache>
                <c:formatCode>m/d/yyyy</c:formatCode>
                <c:ptCount val="25"/>
                <c:pt idx="0">
                  <c:v>45565</c:v>
                </c:pt>
                <c:pt idx="1">
                  <c:v>45596</c:v>
                </c:pt>
                <c:pt idx="2">
                  <c:v>45626</c:v>
                </c:pt>
                <c:pt idx="3">
                  <c:v>45657</c:v>
                </c:pt>
                <c:pt idx="4">
                  <c:v>45688</c:v>
                </c:pt>
                <c:pt idx="5">
                  <c:v>45716</c:v>
                </c:pt>
                <c:pt idx="6">
                  <c:v>45747</c:v>
                </c:pt>
                <c:pt idx="7">
                  <c:v>45777</c:v>
                </c:pt>
                <c:pt idx="8">
                  <c:v>45808</c:v>
                </c:pt>
                <c:pt idx="9">
                  <c:v>45838</c:v>
                </c:pt>
                <c:pt idx="10">
                  <c:v>45869</c:v>
                </c:pt>
                <c:pt idx="11">
                  <c:v>45900</c:v>
                </c:pt>
                <c:pt idx="12">
                  <c:v>45930</c:v>
                </c:pt>
                <c:pt idx="13">
                  <c:v>45961</c:v>
                </c:pt>
                <c:pt idx="14">
                  <c:v>45991</c:v>
                </c:pt>
                <c:pt idx="15">
                  <c:v>46022</c:v>
                </c:pt>
                <c:pt idx="16">
                  <c:v>46053</c:v>
                </c:pt>
                <c:pt idx="17">
                  <c:v>46081</c:v>
                </c:pt>
                <c:pt idx="18">
                  <c:v>46112</c:v>
                </c:pt>
                <c:pt idx="19">
                  <c:v>46142</c:v>
                </c:pt>
                <c:pt idx="20">
                  <c:v>46173</c:v>
                </c:pt>
                <c:pt idx="21">
                  <c:v>46203</c:v>
                </c:pt>
                <c:pt idx="22">
                  <c:v>46234</c:v>
                </c:pt>
                <c:pt idx="23">
                  <c:v>46265</c:v>
                </c:pt>
                <c:pt idx="24">
                  <c:v>46295</c:v>
                </c:pt>
              </c:numCache>
            </c:numRef>
          </c:cat>
          <c:val>
            <c:numRef>
              <c:f>[chartbook_TETA.xlsm]data_119!$B$6:$B$30</c:f>
              <c:numCache>
                <c:formatCode>General</c:formatCode>
                <c:ptCount val="25"/>
                <c:pt idx="0">
                  <c:v>0.47699999999999998</c:v>
                </c:pt>
                <c:pt idx="1">
                  <c:v>-0.25600000000000001</c:v>
                </c:pt>
                <c:pt idx="2">
                  <c:v>-0.11700000000000001</c:v>
                </c:pt>
                <c:pt idx="3">
                  <c:v>0.55900000000000005</c:v>
                </c:pt>
                <c:pt idx="4">
                  <c:v>0.30399999999999999</c:v>
                </c:pt>
                <c:pt idx="5">
                  <c:v>0.89100000000000001</c:v>
                </c:pt>
                <c:pt idx="6">
                  <c:v>0.41799999999999998</c:v>
                </c:pt>
                <c:pt idx="7">
                  <c:v>0.48499999999999999</c:v>
                </c:pt>
                <c:pt idx="8">
                  <c:v>0.17899999999999999</c:v>
                </c:pt>
                <c:pt idx="9">
                  <c:v>-1.724</c:v>
                </c:pt>
                <c:pt idx="10">
                  <c:v>0.97</c:v>
                </c:pt>
                <c:pt idx="11">
                  <c:v>0.218</c:v>
                </c:pt>
                <c:pt idx="12">
                  <c:v>2.1019999999999999</c:v>
                </c:pt>
                <c:pt idx="13">
                  <c:v>-0.25600000000000001</c:v>
                </c:pt>
                <c:pt idx="14">
                  <c:v>0.76100000000000001</c:v>
                </c:pt>
                <c:pt idx="15">
                  <c:v>0.27600000000000002</c:v>
                </c:pt>
                <c:pt idx="16">
                  <c:v>0.72799999999999998</c:v>
                </c:pt>
                <c:pt idx="17">
                  <c:v>0.376</c:v>
                </c:pt>
                <c:pt idx="18">
                  <c:v>-1.478</c:v>
                </c:pt>
                <c:pt idx="19">
                  <c:v>0.219</c:v>
                </c:pt>
                <c:pt idx="20">
                  <c:v>0.57599999999999996</c:v>
                </c:pt>
                <c:pt idx="21">
                  <c:v>2.7810000000000001</c:v>
                </c:pt>
                <c:pt idx="22">
                  <c:v>0.38300000000000001</c:v>
                </c:pt>
                <c:pt idx="23">
                  <c:v>0.35599999999999998</c:v>
                </c:pt>
                <c:pt idx="24">
                  <c:v>0.33900000000000002</c:v>
                </c:pt>
              </c:numCache>
            </c:numRef>
          </c:val>
          <c:extLst xmlns:c15="http://schemas.microsoft.com/office/drawing/2012/chart" xmlns:m="http://schemas.openxmlformats.org/officeDocument/2006/math" xmlns:w="http://schemas.openxmlformats.org/wordprocessingml/2006/main" xmlns:wp="http://schemas.openxmlformats.org/drawingml/2006/wordprocessingDrawing" xmlns:a14="http://schemas.microsoft.com/office/drawing/2010/main">
            <c:ext xmlns:c16="http://schemas.microsoft.com/office/drawing/2014/chart" uri="{C3380CC4-5D6E-409C-BE32-E72D297353CC}">
              <c16:uniqueId val="{00000000-DCFE-4A6C-88E1-D510962A1E45}"/>
            </c:ext>
          </c:extLst>
        </c:ser>
        <c:dLbls>
          <c:showLegendKey val="0"/>
          <c:showVal val="0"/>
          <c:showCatName val="0"/>
          <c:showSerName val="0"/>
          <c:showPercent val="0"/>
          <c:showBubbleSize val="0"/>
        </c:dLbls>
        <c:gapWidth val="10"/>
        <c:axId val="673828768"/>
        <c:axId val="673807552"/>
      </c:barChart>
      <c:lineChart>
        <c:grouping val="standard"/>
        <c:varyColors val="0"/>
        <c:ser>
          <c:idx val="0"/>
          <c:order val="1"/>
          <c:tx>
            <c:strRef>
              <c:f>[chartbook_TETA.xlsm]data_119!$C$5</c:f>
              <c:strCache>
                <c:ptCount val="1"/>
                <c:pt idx="0">
                  <c:v>אומדן קודם</c:v>
                </c:pt>
              </c:strCache>
            </c:strRef>
          </c:tx>
          <c:spPr>
            <a:ln w="31750" cap="rnd">
              <a:noFill/>
              <a:round/>
            </a:ln>
            <a:effectLst/>
          </c:spPr>
          <c:marker>
            <c:symbol val="circle"/>
            <c:size val="6"/>
            <c:spPr>
              <a:solidFill>
                <a:srgbClr val="357C32"/>
              </a:solidFill>
              <a:ln w="22225">
                <a:noFill/>
                <a:round/>
              </a:ln>
              <a:effectLst/>
            </c:spPr>
          </c:marker>
          <c:cat>
            <c:numRef>
              <c:f>[chartbook_TETA.xlsm]data_119!$A$6:$A$30</c:f>
              <c:numCache>
                <c:formatCode>m/d/yyyy</c:formatCode>
                <c:ptCount val="25"/>
                <c:pt idx="0">
                  <c:v>45565</c:v>
                </c:pt>
                <c:pt idx="1">
                  <c:v>45596</c:v>
                </c:pt>
                <c:pt idx="2">
                  <c:v>45626</c:v>
                </c:pt>
                <c:pt idx="3">
                  <c:v>45657</c:v>
                </c:pt>
                <c:pt idx="4">
                  <c:v>45688</c:v>
                </c:pt>
                <c:pt idx="5">
                  <c:v>45716</c:v>
                </c:pt>
                <c:pt idx="6">
                  <c:v>45747</c:v>
                </c:pt>
                <c:pt idx="7">
                  <c:v>45777</c:v>
                </c:pt>
                <c:pt idx="8">
                  <c:v>45808</c:v>
                </c:pt>
                <c:pt idx="9">
                  <c:v>45838</c:v>
                </c:pt>
                <c:pt idx="10">
                  <c:v>45869</c:v>
                </c:pt>
                <c:pt idx="11">
                  <c:v>45900</c:v>
                </c:pt>
                <c:pt idx="12">
                  <c:v>45930</c:v>
                </c:pt>
                <c:pt idx="13">
                  <c:v>45961</c:v>
                </c:pt>
                <c:pt idx="14">
                  <c:v>45991</c:v>
                </c:pt>
                <c:pt idx="15">
                  <c:v>46022</c:v>
                </c:pt>
                <c:pt idx="16">
                  <c:v>46053</c:v>
                </c:pt>
                <c:pt idx="17">
                  <c:v>46081</c:v>
                </c:pt>
                <c:pt idx="18">
                  <c:v>46112</c:v>
                </c:pt>
                <c:pt idx="19">
                  <c:v>46142</c:v>
                </c:pt>
                <c:pt idx="20">
                  <c:v>46173</c:v>
                </c:pt>
                <c:pt idx="21">
                  <c:v>46203</c:v>
                </c:pt>
                <c:pt idx="22">
                  <c:v>46234</c:v>
                </c:pt>
                <c:pt idx="23">
                  <c:v>46265</c:v>
                </c:pt>
                <c:pt idx="24">
                  <c:v>46295</c:v>
                </c:pt>
              </c:numCache>
            </c:numRef>
          </c:cat>
          <c:val>
            <c:numRef>
              <c:f>[chartbook_TETA.xlsm]data_119!$C$6:$C$30</c:f>
              <c:numCache>
                <c:formatCode>General</c:formatCode>
                <c:ptCount val="25"/>
                <c:pt idx="0">
                  <c:v>0.47199999999999998</c:v>
                </c:pt>
                <c:pt idx="1">
                  <c:v>-0.23100000000000001</c:v>
                </c:pt>
                <c:pt idx="2">
                  <c:v>-0.13600000000000001</c:v>
                </c:pt>
                <c:pt idx="3">
                  <c:v>0.56000000000000005</c:v>
                </c:pt>
                <c:pt idx="4">
                  <c:v>0.32500000000000001</c:v>
                </c:pt>
                <c:pt idx="5">
                  <c:v>0.92400000000000004</c:v>
                </c:pt>
                <c:pt idx="6">
                  <c:v>0.43</c:v>
                </c:pt>
                <c:pt idx="7">
                  <c:v>0.47599999999999998</c:v>
                </c:pt>
                <c:pt idx="8">
                  <c:v>0.16300000000000001</c:v>
                </c:pt>
                <c:pt idx="9">
                  <c:v>-1.744</c:v>
                </c:pt>
                <c:pt idx="10">
                  <c:v>0.92300000000000004</c:v>
                </c:pt>
                <c:pt idx="11">
                  <c:v>0.23400000000000001</c:v>
                </c:pt>
                <c:pt idx="12">
                  <c:v>2.125</c:v>
                </c:pt>
                <c:pt idx="13">
                  <c:v>-0.221</c:v>
                </c:pt>
                <c:pt idx="14">
                  <c:v>0.71699999999999997</c:v>
                </c:pt>
                <c:pt idx="15">
                  <c:v>0.21199999999999999</c:v>
                </c:pt>
                <c:pt idx="16">
                  <c:v>0.65400000000000003</c:v>
                </c:pt>
                <c:pt idx="17">
                  <c:v>0.313</c:v>
                </c:pt>
                <c:pt idx="18">
                  <c:v>-1.532</c:v>
                </c:pt>
                <c:pt idx="19">
                  <c:v>0.20699999999999999</c:v>
                </c:pt>
                <c:pt idx="20">
                  <c:v>0.56100000000000005</c:v>
                </c:pt>
                <c:pt idx="21">
                  <c:v>2.8039999999999998</c:v>
                </c:pt>
                <c:pt idx="22">
                  <c:v>0.49199999999999999</c:v>
                </c:pt>
                <c:pt idx="23">
                  <c:v>0.36599999999999999</c:v>
                </c:pt>
              </c:numCache>
            </c:numRef>
          </c:val>
          <c:smooth val="0"/>
          <c:extLst xmlns:c15="http://schemas.microsoft.com/office/drawing/2012/chart">
            <c:ext xmlns:c16="http://schemas.microsoft.com/office/drawing/2014/chart" uri="{C3380CC4-5D6E-409C-BE32-E72D297353CC}">
              <c16:uniqueId val="{00000001-DCFE-4A6C-88E1-D510962A1E45}"/>
            </c:ext>
          </c:extLst>
        </c:ser>
        <c:ser>
          <c:idx val="1"/>
          <c:order val="2"/>
          <c:tx>
            <c:strRef>
              <c:f>[chartbook_TETA.xlsm]data_119!$D$5</c:f>
              <c:strCache>
                <c:ptCount val="1"/>
                <c:pt idx="0">
                  <c:v>ממוצע ארוך טווח</c:v>
                </c:pt>
              </c:strCache>
            </c:strRef>
          </c:tx>
          <c:spPr>
            <a:ln w="22225" cap="rnd">
              <a:solidFill>
                <a:srgbClr val="DA8F32"/>
              </a:solidFill>
              <a:prstDash val="solid"/>
              <a:round/>
            </a:ln>
            <a:effectLst/>
          </c:spPr>
          <c:marker>
            <c:symbol val="none"/>
          </c:marker>
          <c:cat>
            <c:numRef>
              <c:f>[chartbook_TETA.xlsm]data_119!$A$6:$A$30</c:f>
              <c:numCache>
                <c:formatCode>m/d/yyyy</c:formatCode>
                <c:ptCount val="25"/>
                <c:pt idx="0">
                  <c:v>45565</c:v>
                </c:pt>
                <c:pt idx="1">
                  <c:v>45596</c:v>
                </c:pt>
                <c:pt idx="2">
                  <c:v>45626</c:v>
                </c:pt>
                <c:pt idx="3">
                  <c:v>45657</c:v>
                </c:pt>
                <c:pt idx="4">
                  <c:v>45688</c:v>
                </c:pt>
                <c:pt idx="5">
                  <c:v>45716</c:v>
                </c:pt>
                <c:pt idx="6">
                  <c:v>45747</c:v>
                </c:pt>
                <c:pt idx="7">
                  <c:v>45777</c:v>
                </c:pt>
                <c:pt idx="8">
                  <c:v>45808</c:v>
                </c:pt>
                <c:pt idx="9">
                  <c:v>45838</c:v>
                </c:pt>
                <c:pt idx="10">
                  <c:v>45869</c:v>
                </c:pt>
                <c:pt idx="11">
                  <c:v>45900</c:v>
                </c:pt>
                <c:pt idx="12">
                  <c:v>45930</c:v>
                </c:pt>
                <c:pt idx="13">
                  <c:v>45961</c:v>
                </c:pt>
                <c:pt idx="14">
                  <c:v>45991</c:v>
                </c:pt>
                <c:pt idx="15">
                  <c:v>46022</c:v>
                </c:pt>
                <c:pt idx="16">
                  <c:v>46053</c:v>
                </c:pt>
                <c:pt idx="17">
                  <c:v>46081</c:v>
                </c:pt>
                <c:pt idx="18">
                  <c:v>46112</c:v>
                </c:pt>
                <c:pt idx="19">
                  <c:v>46142</c:v>
                </c:pt>
                <c:pt idx="20">
                  <c:v>46173</c:v>
                </c:pt>
                <c:pt idx="21">
                  <c:v>46203</c:v>
                </c:pt>
                <c:pt idx="22">
                  <c:v>46234</c:v>
                </c:pt>
                <c:pt idx="23">
                  <c:v>46265</c:v>
                </c:pt>
                <c:pt idx="24">
                  <c:v>46295</c:v>
                </c:pt>
              </c:numCache>
            </c:numRef>
          </c:cat>
          <c:val>
            <c:numRef>
              <c:f>[chartbook_TETA.xlsm]data_119!$D$6:$D$30</c:f>
              <c:numCache>
                <c:formatCode>General</c:formatCode>
                <c:ptCount val="25"/>
                <c:pt idx="0">
                  <c:v>0.318</c:v>
                </c:pt>
                <c:pt idx="1">
                  <c:v>0.318</c:v>
                </c:pt>
                <c:pt idx="2">
                  <c:v>0.318</c:v>
                </c:pt>
                <c:pt idx="3">
                  <c:v>0.318</c:v>
                </c:pt>
                <c:pt idx="4">
                  <c:v>0.318</c:v>
                </c:pt>
                <c:pt idx="5">
                  <c:v>0.318</c:v>
                </c:pt>
                <c:pt idx="6">
                  <c:v>0.318</c:v>
                </c:pt>
                <c:pt idx="7">
                  <c:v>0.318</c:v>
                </c:pt>
                <c:pt idx="8">
                  <c:v>0.318</c:v>
                </c:pt>
                <c:pt idx="9">
                  <c:v>0.318</c:v>
                </c:pt>
                <c:pt idx="10">
                  <c:v>0.318</c:v>
                </c:pt>
                <c:pt idx="11">
                  <c:v>0.318</c:v>
                </c:pt>
                <c:pt idx="12">
                  <c:v>0.318</c:v>
                </c:pt>
                <c:pt idx="13">
                  <c:v>0.318</c:v>
                </c:pt>
                <c:pt idx="14">
                  <c:v>0.318</c:v>
                </c:pt>
                <c:pt idx="15">
                  <c:v>0.318</c:v>
                </c:pt>
                <c:pt idx="16">
                  <c:v>0.318</c:v>
                </c:pt>
                <c:pt idx="17">
                  <c:v>0.318</c:v>
                </c:pt>
                <c:pt idx="18">
                  <c:v>0.318</c:v>
                </c:pt>
                <c:pt idx="19">
                  <c:v>0.318</c:v>
                </c:pt>
                <c:pt idx="20">
                  <c:v>0.318</c:v>
                </c:pt>
                <c:pt idx="21">
                  <c:v>0.318</c:v>
                </c:pt>
                <c:pt idx="22">
                  <c:v>0.318</c:v>
                </c:pt>
                <c:pt idx="23">
                  <c:v>0.318</c:v>
                </c:pt>
                <c:pt idx="24">
                  <c:v>0.318</c:v>
                </c:pt>
              </c:numCache>
            </c:numRef>
          </c:val>
          <c:smooth val="0"/>
          <c:extLst xmlns:c15="http://schemas.microsoft.com/office/drawing/2012/chart">
            <c:ext xmlns:c16="http://schemas.microsoft.com/office/drawing/2014/chart" uri="{C3380CC4-5D6E-409C-BE32-E72D297353CC}">
              <c16:uniqueId val="{00000002-DCFE-4A6C-88E1-D510962A1E45}"/>
            </c:ext>
          </c:extLst>
        </c:ser>
        <c:ser>
          <c:idx val="2"/>
          <c:order val="3"/>
          <c:tx>
            <c:v>אחוזון 25</c:v>
          </c:tx>
          <c:spPr>
            <a:ln w="19050" cap="rnd">
              <a:solidFill>
                <a:schemeClr val="tx1">
                  <a:lumMod val="65000"/>
                  <a:lumOff val="35000"/>
                </a:schemeClr>
              </a:solidFill>
              <a:prstDash val="lgDash"/>
              <a:round/>
            </a:ln>
            <a:effectLst/>
          </c:spPr>
          <c:marker>
            <c:symbol val="none"/>
          </c:marker>
          <c:cat>
            <c:numRef>
              <c:f>[chartbook_TETA.xlsm]data_119!$A$6:$A$30</c:f>
              <c:numCache>
                <c:formatCode>m/d/yyyy</c:formatCode>
                <c:ptCount val="25"/>
                <c:pt idx="0">
                  <c:v>45565</c:v>
                </c:pt>
                <c:pt idx="1">
                  <c:v>45596</c:v>
                </c:pt>
                <c:pt idx="2">
                  <c:v>45626</c:v>
                </c:pt>
                <c:pt idx="3">
                  <c:v>45657</c:v>
                </c:pt>
                <c:pt idx="4">
                  <c:v>45688</c:v>
                </c:pt>
                <c:pt idx="5">
                  <c:v>45716</c:v>
                </c:pt>
                <c:pt idx="6">
                  <c:v>45747</c:v>
                </c:pt>
                <c:pt idx="7">
                  <c:v>45777</c:v>
                </c:pt>
                <c:pt idx="8">
                  <c:v>45808</c:v>
                </c:pt>
                <c:pt idx="9">
                  <c:v>45838</c:v>
                </c:pt>
                <c:pt idx="10">
                  <c:v>45869</c:v>
                </c:pt>
                <c:pt idx="11">
                  <c:v>45900</c:v>
                </c:pt>
                <c:pt idx="12">
                  <c:v>45930</c:v>
                </c:pt>
                <c:pt idx="13">
                  <c:v>45961</c:v>
                </c:pt>
                <c:pt idx="14">
                  <c:v>45991</c:v>
                </c:pt>
                <c:pt idx="15">
                  <c:v>46022</c:v>
                </c:pt>
                <c:pt idx="16">
                  <c:v>46053</c:v>
                </c:pt>
                <c:pt idx="17">
                  <c:v>46081</c:v>
                </c:pt>
                <c:pt idx="18">
                  <c:v>46112</c:v>
                </c:pt>
                <c:pt idx="19">
                  <c:v>46142</c:v>
                </c:pt>
                <c:pt idx="20">
                  <c:v>46173</c:v>
                </c:pt>
                <c:pt idx="21">
                  <c:v>46203</c:v>
                </c:pt>
                <c:pt idx="22">
                  <c:v>46234</c:v>
                </c:pt>
                <c:pt idx="23">
                  <c:v>46265</c:v>
                </c:pt>
                <c:pt idx="24">
                  <c:v>46295</c:v>
                </c:pt>
              </c:numCache>
            </c:numRef>
          </c:cat>
          <c:val>
            <c:numRef>
              <c:f>[chartbook_TETA.xlsm]data_119!$E$6:$E$30</c:f>
              <c:numCache>
                <c:formatCode>General</c:formatCode>
                <c:ptCount val="25"/>
                <c:pt idx="0">
                  <c:v>0.111</c:v>
                </c:pt>
                <c:pt idx="1">
                  <c:v>0.111</c:v>
                </c:pt>
                <c:pt idx="2">
                  <c:v>0.111</c:v>
                </c:pt>
                <c:pt idx="3">
                  <c:v>0.111</c:v>
                </c:pt>
                <c:pt idx="4">
                  <c:v>0.111</c:v>
                </c:pt>
                <c:pt idx="5">
                  <c:v>0.111</c:v>
                </c:pt>
                <c:pt idx="6">
                  <c:v>0.111</c:v>
                </c:pt>
                <c:pt idx="7">
                  <c:v>0.111</c:v>
                </c:pt>
                <c:pt idx="8">
                  <c:v>0.111</c:v>
                </c:pt>
                <c:pt idx="9">
                  <c:v>0.111</c:v>
                </c:pt>
                <c:pt idx="10">
                  <c:v>0.111</c:v>
                </c:pt>
                <c:pt idx="11">
                  <c:v>0.111</c:v>
                </c:pt>
                <c:pt idx="12">
                  <c:v>0.111</c:v>
                </c:pt>
                <c:pt idx="13">
                  <c:v>0.111</c:v>
                </c:pt>
                <c:pt idx="14">
                  <c:v>0.111</c:v>
                </c:pt>
                <c:pt idx="15">
                  <c:v>0.111</c:v>
                </c:pt>
                <c:pt idx="16">
                  <c:v>0.111</c:v>
                </c:pt>
                <c:pt idx="17">
                  <c:v>0.111</c:v>
                </c:pt>
                <c:pt idx="18">
                  <c:v>0.111</c:v>
                </c:pt>
                <c:pt idx="19">
                  <c:v>0.111</c:v>
                </c:pt>
                <c:pt idx="20">
                  <c:v>0.111</c:v>
                </c:pt>
                <c:pt idx="21">
                  <c:v>0.111</c:v>
                </c:pt>
                <c:pt idx="22">
                  <c:v>0.111</c:v>
                </c:pt>
                <c:pt idx="23">
                  <c:v>0.111</c:v>
                </c:pt>
                <c:pt idx="24">
                  <c:v>0.111</c:v>
                </c:pt>
              </c:numCache>
            </c:numRef>
          </c:val>
          <c:smooth val="0"/>
          <c:extLst xmlns:c15="http://schemas.microsoft.com/office/drawing/2012/chart">
            <c:ext xmlns:c16="http://schemas.microsoft.com/office/drawing/2014/chart" uri="{C3380CC4-5D6E-409C-BE32-E72D297353CC}">
              <c16:uniqueId val="{00000003-DCFE-4A6C-88E1-D510962A1E45}"/>
            </c:ext>
          </c:extLst>
        </c:ser>
        <c:ser>
          <c:idx val="3"/>
          <c:order val="4"/>
          <c:tx>
            <c:v>אחוזון 75</c:v>
          </c:tx>
          <c:spPr>
            <a:ln w="19050" cap="rnd">
              <a:solidFill>
                <a:schemeClr val="tx1">
                  <a:lumMod val="65000"/>
                  <a:lumOff val="35000"/>
                </a:schemeClr>
              </a:solidFill>
              <a:prstDash val="lgDash"/>
              <a:round/>
            </a:ln>
            <a:effectLst/>
          </c:spPr>
          <c:marker>
            <c:symbol val="none"/>
          </c:marker>
          <c:cat>
            <c:numRef>
              <c:f>[chartbook_TETA.xlsm]data_119!$A$6:$A$30</c:f>
              <c:numCache>
                <c:formatCode>m/d/yyyy</c:formatCode>
                <c:ptCount val="25"/>
                <c:pt idx="0">
                  <c:v>45565</c:v>
                </c:pt>
                <c:pt idx="1">
                  <c:v>45596</c:v>
                </c:pt>
                <c:pt idx="2">
                  <c:v>45626</c:v>
                </c:pt>
                <c:pt idx="3">
                  <c:v>45657</c:v>
                </c:pt>
                <c:pt idx="4">
                  <c:v>45688</c:v>
                </c:pt>
                <c:pt idx="5">
                  <c:v>45716</c:v>
                </c:pt>
                <c:pt idx="6">
                  <c:v>45747</c:v>
                </c:pt>
                <c:pt idx="7">
                  <c:v>45777</c:v>
                </c:pt>
                <c:pt idx="8">
                  <c:v>45808</c:v>
                </c:pt>
                <c:pt idx="9">
                  <c:v>45838</c:v>
                </c:pt>
                <c:pt idx="10">
                  <c:v>45869</c:v>
                </c:pt>
                <c:pt idx="11">
                  <c:v>45900</c:v>
                </c:pt>
                <c:pt idx="12">
                  <c:v>45930</c:v>
                </c:pt>
                <c:pt idx="13">
                  <c:v>45961</c:v>
                </c:pt>
                <c:pt idx="14">
                  <c:v>45991</c:v>
                </c:pt>
                <c:pt idx="15">
                  <c:v>46022</c:v>
                </c:pt>
                <c:pt idx="16">
                  <c:v>46053</c:v>
                </c:pt>
                <c:pt idx="17">
                  <c:v>46081</c:v>
                </c:pt>
                <c:pt idx="18">
                  <c:v>46112</c:v>
                </c:pt>
                <c:pt idx="19">
                  <c:v>46142</c:v>
                </c:pt>
                <c:pt idx="20">
                  <c:v>46173</c:v>
                </c:pt>
                <c:pt idx="21">
                  <c:v>46203</c:v>
                </c:pt>
                <c:pt idx="22">
                  <c:v>46234</c:v>
                </c:pt>
                <c:pt idx="23">
                  <c:v>46265</c:v>
                </c:pt>
                <c:pt idx="24">
                  <c:v>46295</c:v>
                </c:pt>
              </c:numCache>
            </c:numRef>
          </c:cat>
          <c:val>
            <c:numRef>
              <c:f>[chartbook_TETA.xlsm]data_119!$F$6:$F$30</c:f>
              <c:numCache>
                <c:formatCode>General</c:formatCode>
                <c:ptCount val="25"/>
                <c:pt idx="0">
                  <c:v>0.66100000000000003</c:v>
                </c:pt>
                <c:pt idx="1">
                  <c:v>0.66100000000000003</c:v>
                </c:pt>
                <c:pt idx="2">
                  <c:v>0.66100000000000003</c:v>
                </c:pt>
                <c:pt idx="3">
                  <c:v>0.66100000000000003</c:v>
                </c:pt>
                <c:pt idx="4">
                  <c:v>0.66100000000000003</c:v>
                </c:pt>
                <c:pt idx="5">
                  <c:v>0.66100000000000003</c:v>
                </c:pt>
                <c:pt idx="6">
                  <c:v>0.66100000000000003</c:v>
                </c:pt>
                <c:pt idx="7">
                  <c:v>0.66100000000000003</c:v>
                </c:pt>
                <c:pt idx="8">
                  <c:v>0.66100000000000003</c:v>
                </c:pt>
                <c:pt idx="9">
                  <c:v>0.66100000000000003</c:v>
                </c:pt>
                <c:pt idx="10">
                  <c:v>0.66100000000000003</c:v>
                </c:pt>
                <c:pt idx="11">
                  <c:v>0.66100000000000003</c:v>
                </c:pt>
                <c:pt idx="12">
                  <c:v>0.66100000000000003</c:v>
                </c:pt>
                <c:pt idx="13">
                  <c:v>0.66100000000000003</c:v>
                </c:pt>
                <c:pt idx="14">
                  <c:v>0.66100000000000003</c:v>
                </c:pt>
                <c:pt idx="15">
                  <c:v>0.66100000000000003</c:v>
                </c:pt>
                <c:pt idx="16">
                  <c:v>0.66100000000000003</c:v>
                </c:pt>
                <c:pt idx="17">
                  <c:v>0.66100000000000003</c:v>
                </c:pt>
                <c:pt idx="18">
                  <c:v>0.66100000000000003</c:v>
                </c:pt>
                <c:pt idx="19">
                  <c:v>0.66100000000000003</c:v>
                </c:pt>
                <c:pt idx="20">
                  <c:v>0.66100000000000003</c:v>
                </c:pt>
                <c:pt idx="21">
                  <c:v>0.66100000000000003</c:v>
                </c:pt>
                <c:pt idx="22">
                  <c:v>0.66100000000000003</c:v>
                </c:pt>
                <c:pt idx="23">
                  <c:v>0.66100000000000003</c:v>
                </c:pt>
                <c:pt idx="24">
                  <c:v>0.66100000000000003</c:v>
                </c:pt>
              </c:numCache>
            </c:numRef>
          </c:val>
          <c:smooth val="0"/>
          <c:extLst>
            <c:ext xmlns:c16="http://schemas.microsoft.com/office/drawing/2014/chart" uri="{C3380CC4-5D6E-409C-BE32-E72D297353CC}">
              <c16:uniqueId val="{00000004-DCFE-4A6C-88E1-D510962A1E45}"/>
            </c:ext>
          </c:extLst>
        </c:ser>
        <c:dLbls>
          <c:showLegendKey val="0"/>
          <c:showVal val="0"/>
          <c:showCatName val="0"/>
          <c:showSerName val="0"/>
          <c:showPercent val="0"/>
          <c:showBubbleSize val="0"/>
        </c:dLbls>
        <c:marker val="1"/>
        <c:smooth val="0"/>
        <c:axId val="673828768"/>
        <c:axId val="673807552"/>
        <c:extLst/>
      </c:lineChart>
      <c:dateAx>
        <c:axId val="673828768"/>
        <c:scaling>
          <c:orientation val="minMax"/>
        </c:scaling>
        <c:delete val="0"/>
        <c:axPos val="b"/>
        <c:numFmt formatCode="mm\-yy" sourceLinked="0"/>
        <c:majorTickMark val="none"/>
        <c:minorTickMark val="none"/>
        <c:tickLblPos val="low"/>
        <c:spPr>
          <a:noFill/>
          <a:ln w="0" cap="flat" cmpd="sng" algn="ctr">
            <a:solidFill>
              <a:schemeClr val="bg2">
                <a:lumMod val="75000"/>
                <a:alpha val="70000"/>
              </a:schemeClr>
            </a:solidFill>
            <a:round/>
          </a:ln>
          <a:effectLst/>
        </c:spPr>
        <c:txPr>
          <a:bodyPr rot="-2700000" spcFirstLastPara="1" vertOverflow="ellipsis" wrap="square" anchor="ctr" anchorCtr="1"/>
          <a:lstStyle/>
          <a:p>
            <a:pPr>
              <a:defRPr sz="1000" b="0" i="0" u="none" strike="noStrike" kern="1200" baseline="0" smtId="4294967295">
                <a:solidFill>
                  <a:schemeClr val="tx2"/>
                </a:solidFill>
                <a:latin typeface="Calibri" panose="020F0502020204030204" pitchFamily="34" charset="0"/>
                <a:ea typeface="+mn-ea"/>
                <a:cs typeface="Calibri" panose="020F0502020204030204" pitchFamily="34" charset="0"/>
              </a:defRPr>
            </a:pPr>
            <a:endParaRPr lang="he-IL"/>
          </a:p>
        </c:txPr>
        <c:crossAx val="673807552"/>
        <c:crosses val="autoZero"/>
        <c:auto val="1"/>
        <c:lblOffset val="100"/>
        <c:baseTimeUnit val="months"/>
        <c:majorUnit val="1"/>
        <c:majorTimeUnit val="months"/>
        <c:minorUnit val="1"/>
        <c:minorTimeUnit val="months"/>
      </c:dateAx>
      <c:valAx>
        <c:axId val="673807552"/>
        <c:scaling>
          <c:orientation val="minMax"/>
        </c:scaling>
        <c:delete val="0"/>
        <c:axPos val="l"/>
        <c:majorGridlines>
          <c:spPr>
            <a:ln w="6350" cap="flat" cmpd="sng" algn="ctr">
              <a:solidFill>
                <a:schemeClr val="bg1">
                  <a:lumMod val="65000"/>
                  <a:alpha val="70000"/>
                </a:schemeClr>
              </a:solidFill>
              <a:prstDash val="dash"/>
              <a:round/>
            </a:ln>
            <a:effectLst/>
          </c:spPr>
        </c:majorGridlines>
        <c:title>
          <c:tx>
            <c:rich>
              <a:bodyPr rot="-5400000" spcFirstLastPara="1" vertOverflow="ellipsis" vert="horz" wrap="square" anchor="ctr" anchorCtr="1"/>
              <a:lstStyle/>
              <a:p>
                <a:pPr>
                  <a:defRPr sz="1200" b="0" i="0" u="none" strike="noStrike" kern="1200" baseline="0" smtId="4294967295">
                    <a:solidFill>
                      <a:schemeClr val="tx2"/>
                    </a:solidFill>
                    <a:latin typeface="Calibri" panose="020F0502020204030204" pitchFamily="34" charset="0"/>
                    <a:ea typeface="+mn-ea"/>
                    <a:cs typeface="Calibri" panose="020F0502020204030204" pitchFamily="34" charset="0"/>
                  </a:defRPr>
                </a:pPr>
                <a:r>
                  <a:rPr lang="he-IL">
                    <a:latin typeface="Calibri" panose="020F0502020204030204" pitchFamily="34" charset="0"/>
                    <a:cs typeface="Calibri" panose="020F0502020204030204" pitchFamily="34" charset="0"/>
                  </a:rPr>
                  <a:t>%</a:t>
                </a:r>
                <a:endParaRPr lang="en-US">
                  <a:latin typeface="Calibri" panose="020F0502020204030204" pitchFamily="34" charset="0"/>
                  <a:cs typeface="Calibri" panose="020F0502020204030204" pitchFamily="34" charset="0"/>
                </a:endParaRPr>
              </a:p>
            </c:rich>
          </c:tx>
          <c:layout/>
          <c:overlay val="0"/>
          <c:spPr>
            <a:noFill/>
            <a:ln>
              <a:noFill/>
            </a:ln>
            <a:effectLst/>
          </c:spPr>
          <c:txPr>
            <a:bodyPr rot="-5400000" spcFirstLastPara="1" vertOverflow="ellipsis" vert="horz" wrap="square" anchor="ctr" anchorCtr="1"/>
            <a:lstStyle/>
            <a:p>
              <a:pPr>
                <a:defRPr sz="1200" b="0" i="0" u="none" strike="noStrike" kern="1200" baseline="0" smtId="4294967295">
                  <a:solidFill>
                    <a:schemeClr val="tx2"/>
                  </a:solidFill>
                  <a:latin typeface="Calibri" panose="020F0502020204030204" pitchFamily="34" charset="0"/>
                  <a:ea typeface="+mn-ea"/>
                  <a:cs typeface="Calibri" panose="020F0502020204030204" pitchFamily="34" charset="0"/>
                </a:defRPr>
              </a:pPr>
              <a:endParaRPr lang="he-I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smtId="4294967295">
                <a:solidFill>
                  <a:schemeClr val="tx2"/>
                </a:solidFill>
                <a:latin typeface="Calibri" panose="020F0502020204030204" pitchFamily="34" charset="0"/>
                <a:ea typeface="+mn-ea"/>
                <a:cs typeface="Calibri" panose="020F0502020204030204" pitchFamily="34" charset="0"/>
              </a:defRPr>
            </a:pPr>
            <a:endParaRPr lang="he-IL"/>
          </a:p>
        </c:txPr>
        <c:crossAx val="673828768"/>
        <c:crosses val="autoZero"/>
        <c:crossBetween val="between"/>
      </c:valAx>
      <c:spPr>
        <a:noFill/>
        <a:ln>
          <a:noFill/>
        </a:ln>
        <a:effectLst/>
      </c:spPr>
    </c:plotArea>
    <c:legend>
      <c:legendPos val="b"/>
      <c:layout>
        <c:manualLayout>
          <c:xMode val="edge"/>
          <c:yMode val="edge"/>
          <c:x val="0.12804129059322455"/>
          <c:y val="0.88525415613974356"/>
          <c:w val="0.82953977880841956"/>
          <c:h val="9.2294955179246185E-2"/>
        </c:manualLayout>
      </c:layout>
      <c:overlay val="0"/>
      <c:spPr>
        <a:noFill/>
        <a:ln>
          <a:noFill/>
        </a:ln>
        <a:effectLst/>
      </c:spPr>
      <c:txPr>
        <a:bodyPr rot="0" spcFirstLastPara="1" vertOverflow="ellipsis" vert="horz" wrap="square" anchor="ctr" anchorCtr="1"/>
        <a:lstStyle/>
        <a:p>
          <a:pPr>
            <a:defRPr sz="1000" b="0" i="0" u="none" strike="noStrike" kern="1200" baseline="0" smtId="4294967295">
              <a:solidFill>
                <a:schemeClr val="tx2"/>
              </a:solidFill>
              <a:latin typeface="Calibri" panose="020F0502020204030204" pitchFamily="34" charset="0"/>
              <a:ea typeface="+mn-ea"/>
              <a:cs typeface="Calibri" panose="020F0502020204030204" pitchFamily="34" charset="0"/>
            </a:defRPr>
          </a:pPr>
          <a:endParaRPr lang="he-IL"/>
        </a:p>
      </c:txPr>
    </c:legend>
    <c:plotVisOnly val="1"/>
    <c:dispBlanksAs val="gap"/>
    <c:showDLblsOverMax val="0"/>
  </c:chart>
  <c:spPr>
    <a:solidFill>
      <a:schemeClr val="bg1"/>
    </a:solidFill>
    <a:ln w="9525" cap="flat" cmpd="sng" algn="ctr">
      <a:solidFill>
        <a:schemeClr val="tx1">
          <a:lumMod val="65000"/>
          <a:lumOff val="35000"/>
        </a:schemeClr>
      </a:solidFill>
      <a:round/>
    </a:ln>
    <a:effectLst/>
  </c:spPr>
  <c:txPr>
    <a:bodyPr/>
    <a:lstStyle/>
    <a:p>
      <a:pPr>
        <a:defRPr sz="1200" b="0" smtId="4294967295">
          <a:latin typeface="+mn-lt"/>
          <a:cs typeface="Segoe UI" panose="020B0502040204020203" pitchFamily="34" charset="0"/>
        </a:defRPr>
      </a:pPr>
      <a:endParaRPr lang="he-I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3</Pages>
  <Words>268</Words>
  <Characters>1342</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2026-10-21T10:25:00Z</dcterms:created>
  <dcterms:modified xsi:type="dcterms:W3CDTF">2026-10-21T10:25:00Z</dcterms:modified>
</cp:coreProperties>
</file>