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FC171A" w:rsidRPr="004644B0" w14:paraId="53D69AD5" w14:textId="77777777" w:rsidTr="00E3041D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477F" w14:textId="77777777" w:rsidR="00FC171A" w:rsidRPr="004644B0" w:rsidRDefault="00FC171A" w:rsidP="00FC171A">
            <w:pPr>
              <w:jc w:val="both"/>
              <w:rPr>
                <w:b/>
                <w:bCs/>
                <w:rtl/>
              </w:rPr>
            </w:pPr>
            <w:r w:rsidRPr="004644B0">
              <w:rPr>
                <w:b/>
                <w:bCs/>
                <w:rtl/>
              </w:rPr>
              <w:t>בנק ישראל</w:t>
            </w:r>
          </w:p>
          <w:p w14:paraId="1EBFAB54" w14:textId="77777777" w:rsidR="00FC171A" w:rsidRPr="004644B0" w:rsidRDefault="00FC171A" w:rsidP="00FC171A">
            <w:pPr>
              <w:jc w:val="both"/>
            </w:pPr>
            <w:r w:rsidRPr="004644B0">
              <w:rPr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3A1C8757" w14:textId="77777777" w:rsidR="00FC171A" w:rsidRPr="004644B0" w:rsidRDefault="00FC171A" w:rsidP="00FC171A">
            <w:pPr>
              <w:jc w:val="both"/>
            </w:pPr>
            <w:r w:rsidRPr="004644B0">
              <w:rPr>
                <w:noProof/>
              </w:rPr>
              <w:drawing>
                <wp:inline distT="0" distB="0" distL="0" distR="0" wp14:anchorId="0EB564C6" wp14:editId="5FE7B98C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0D591" w14:textId="77777777" w:rsidR="00FC171A" w:rsidRPr="004644B0" w:rsidRDefault="00FC171A" w:rsidP="003B2D4B">
            <w:pPr>
              <w:jc w:val="right"/>
              <w:rPr>
                <w:rtl/>
              </w:rPr>
            </w:pPr>
            <w:r w:rsidRPr="004644B0">
              <w:rPr>
                <w:rtl/>
              </w:rPr>
              <w:t xml:space="preserve">‏ירושלים, </w:t>
            </w:r>
            <w:r w:rsidR="003B2D4B">
              <w:rPr>
                <w:rFonts w:hint="cs"/>
                <w:rtl/>
              </w:rPr>
              <w:t>כ"א</w:t>
            </w:r>
            <w:r w:rsidR="00D12CDE" w:rsidRPr="004644B0">
              <w:rPr>
                <w:rFonts w:hint="cs"/>
                <w:rtl/>
              </w:rPr>
              <w:t xml:space="preserve"> </w:t>
            </w:r>
            <w:r w:rsidR="003B2D4B">
              <w:rPr>
                <w:rFonts w:hint="cs"/>
                <w:rtl/>
              </w:rPr>
              <w:t>תמוז</w:t>
            </w:r>
            <w:r w:rsidRPr="004644B0">
              <w:rPr>
                <w:rtl/>
              </w:rPr>
              <w:t>, תשפ"</w:t>
            </w:r>
            <w:r w:rsidR="009970EF" w:rsidRPr="004644B0">
              <w:rPr>
                <w:rFonts w:hint="cs"/>
                <w:rtl/>
              </w:rPr>
              <w:t>ג</w:t>
            </w:r>
          </w:p>
          <w:p w14:paraId="308E0806" w14:textId="603DF348" w:rsidR="00FC171A" w:rsidRPr="004644B0" w:rsidRDefault="00FC171A" w:rsidP="0089734F">
            <w:pPr>
              <w:jc w:val="right"/>
            </w:pPr>
            <w:r w:rsidRPr="004644B0">
              <w:rPr>
                <w:rtl/>
              </w:rPr>
              <w:t>‏‏‏‏‏‏</w:t>
            </w:r>
            <w:r w:rsidR="003B2D4B">
              <w:rPr>
                <w:rFonts w:hint="cs"/>
                <w:rtl/>
              </w:rPr>
              <w:t>10</w:t>
            </w:r>
            <w:r w:rsidR="00B8762E" w:rsidRPr="004644B0">
              <w:rPr>
                <w:rFonts w:hint="cs"/>
                <w:rtl/>
              </w:rPr>
              <w:t xml:space="preserve"> </w:t>
            </w:r>
            <w:r w:rsidR="00A25BC5" w:rsidRPr="004644B0">
              <w:rPr>
                <w:rFonts w:hint="cs"/>
                <w:rtl/>
              </w:rPr>
              <w:t>ב</w:t>
            </w:r>
            <w:r w:rsidR="003B2D4B">
              <w:rPr>
                <w:rFonts w:hint="cs"/>
                <w:rtl/>
              </w:rPr>
              <w:t>יולי</w:t>
            </w:r>
            <w:r w:rsidRPr="004644B0">
              <w:rPr>
                <w:rtl/>
              </w:rPr>
              <w:t xml:space="preserve"> 202</w:t>
            </w:r>
            <w:r w:rsidR="00B8762E" w:rsidRPr="004644B0">
              <w:rPr>
                <w:rFonts w:hint="cs"/>
                <w:rtl/>
              </w:rPr>
              <w:t>3</w:t>
            </w:r>
          </w:p>
        </w:tc>
      </w:tr>
    </w:tbl>
    <w:p w14:paraId="6AFEB03F" w14:textId="77777777" w:rsidR="006A4DC0" w:rsidRDefault="006A4DC0" w:rsidP="006A4DC0">
      <w:pPr>
        <w:jc w:val="both"/>
        <w:rPr>
          <w:rtl/>
        </w:rPr>
      </w:pPr>
      <w:r>
        <w:rPr>
          <w:rFonts w:hint="cs"/>
          <w:rtl/>
        </w:rPr>
        <w:t>הודעה לעיתונות:</w:t>
      </w:r>
    </w:p>
    <w:p w14:paraId="47BC5D0B" w14:textId="77777777" w:rsidR="006A4DC0" w:rsidRPr="004644B0" w:rsidRDefault="006A4DC0" w:rsidP="00A251DD">
      <w:pPr>
        <w:jc w:val="both"/>
        <w:rPr>
          <w:rtl/>
        </w:rPr>
      </w:pPr>
    </w:p>
    <w:p w14:paraId="204A4817" w14:textId="77777777" w:rsidR="00BB518C" w:rsidRPr="004644B0" w:rsidRDefault="00BB518C" w:rsidP="00910C95">
      <w:pPr>
        <w:pStyle w:val="af6"/>
        <w:rPr>
          <w:rtl/>
        </w:rPr>
      </w:pPr>
      <w:r w:rsidRPr="004644B0">
        <w:rPr>
          <w:rtl/>
        </w:rPr>
        <w:t xml:space="preserve">התחזית המקרו-כלכלית של חטיבת המחקר, </w:t>
      </w:r>
      <w:r w:rsidR="003B2D4B">
        <w:rPr>
          <w:rFonts w:hint="cs"/>
          <w:rtl/>
        </w:rPr>
        <w:t>יולי</w:t>
      </w:r>
      <w:r w:rsidRPr="004644B0">
        <w:rPr>
          <w:rtl/>
        </w:rPr>
        <w:t xml:space="preserve"> 202</w:t>
      </w:r>
      <w:r w:rsidR="00B8762E" w:rsidRPr="004644B0">
        <w:rPr>
          <w:rFonts w:hint="cs"/>
          <w:rtl/>
        </w:rPr>
        <w:t>3</w:t>
      </w:r>
    </w:p>
    <w:p w14:paraId="5CBC4CB5" w14:textId="77777777" w:rsidR="003B2D4B" w:rsidRPr="003B2D4B" w:rsidRDefault="003B2D4B" w:rsidP="00597143">
      <w:pPr>
        <w:pStyle w:val="1"/>
        <w:rPr>
          <w:rtl/>
        </w:rPr>
      </w:pPr>
      <w:r w:rsidRPr="003B2D4B">
        <w:rPr>
          <w:rtl/>
        </w:rPr>
        <w:t>תמצית</w:t>
      </w:r>
    </w:p>
    <w:p w14:paraId="3ED797FE" w14:textId="76A45CC9" w:rsidR="003B2D4B" w:rsidRPr="003B2D4B" w:rsidRDefault="003B2D4B" w:rsidP="001E758C">
      <w:pPr>
        <w:spacing w:after="120"/>
        <w:jc w:val="both"/>
        <w:rPr>
          <w:rFonts w:eastAsia="Calibri"/>
          <w:rtl/>
        </w:rPr>
      </w:pPr>
      <w:r w:rsidRPr="003B2D4B">
        <w:rPr>
          <w:rFonts w:eastAsia="Calibri"/>
          <w:rtl/>
        </w:rPr>
        <w:t xml:space="preserve">מסמך זה מציג את התחזית המקרו-כלכלית שחטיבת המחקר בבנק ישראל גיבשה </w:t>
      </w:r>
      <w:r w:rsidRPr="003B2D4B">
        <w:rPr>
          <w:rFonts w:eastAsia="Calibri" w:hint="cs"/>
          <w:rtl/>
        </w:rPr>
        <w:t>ביולי</w:t>
      </w:r>
      <w:r w:rsidRPr="003B2D4B">
        <w:rPr>
          <w:rFonts w:eastAsia="Calibri"/>
          <w:rtl/>
        </w:rPr>
        <w:t xml:space="preserve"> 202</w:t>
      </w:r>
      <w:r w:rsidRPr="003B2D4B">
        <w:rPr>
          <w:rFonts w:eastAsia="Calibri" w:hint="cs"/>
          <w:rtl/>
        </w:rPr>
        <w:t>3</w:t>
      </w:r>
      <w:r w:rsidRPr="003B2D4B">
        <w:rPr>
          <w:rFonts w:eastAsia="Calibri"/>
          <w:vertAlign w:val="superscript"/>
          <w:rtl/>
        </w:rPr>
        <w:footnoteReference w:id="1"/>
      </w:r>
      <w:r w:rsidRPr="003B2D4B">
        <w:rPr>
          <w:rFonts w:eastAsia="Calibri"/>
          <w:rtl/>
        </w:rPr>
        <w:t xml:space="preserve"> בנוגע למשתני </w:t>
      </w:r>
      <w:r w:rsidRPr="0087156B">
        <w:rPr>
          <w:rFonts w:eastAsia="Calibri"/>
          <w:rtl/>
        </w:rPr>
        <w:t xml:space="preserve">המקרו העיקריים – התוצר, האינפלציה והריבית. על פי התחזית, </w:t>
      </w:r>
      <w:r w:rsidR="0087156B" w:rsidRPr="0087156B">
        <w:rPr>
          <w:rFonts w:eastAsia="Calibri" w:hint="cs"/>
          <w:rtl/>
        </w:rPr>
        <w:t>שנערכה על בסיס</w:t>
      </w:r>
      <w:r w:rsidR="0087156B" w:rsidRPr="0087156B">
        <w:rPr>
          <w:rFonts w:eastAsia="Calibri"/>
          <w:rtl/>
        </w:rPr>
        <w:t xml:space="preserve"> </w:t>
      </w:r>
      <w:r w:rsidR="0087156B" w:rsidRPr="0087156B">
        <w:rPr>
          <w:rFonts w:eastAsia="Calibri" w:hint="cs"/>
          <w:rtl/>
        </w:rPr>
        <w:t xml:space="preserve">תרחיש בו </w:t>
      </w:r>
      <w:r w:rsidR="00C06C50" w:rsidRPr="00C06C50">
        <w:rPr>
          <w:rFonts w:eastAsia="Calibri"/>
          <w:rtl/>
        </w:rPr>
        <w:t xml:space="preserve">המחלוקת סביב שינויי החקיקה לגבי מערכת המשפט מיושבת באופן שאינו משפיע </w:t>
      </w:r>
      <w:r w:rsidR="0087156B" w:rsidRPr="0087156B">
        <w:rPr>
          <w:rFonts w:eastAsia="Calibri" w:hint="cs"/>
          <w:rtl/>
        </w:rPr>
        <w:t>על הפעילות הכלכלית מכאן ואילך</w:t>
      </w:r>
      <w:r w:rsidR="0087156B" w:rsidRPr="0087156B">
        <w:rPr>
          <w:rFonts w:eastAsia="Calibri"/>
          <w:rtl/>
        </w:rPr>
        <w:t>,</w:t>
      </w:r>
      <w:r w:rsidR="0087156B" w:rsidRPr="0087156B">
        <w:rPr>
          <w:rStyle w:val="a6"/>
          <w:rFonts w:eastAsia="Calibri"/>
          <w:rtl/>
        </w:rPr>
        <w:footnoteReference w:id="2"/>
      </w:r>
      <w:r w:rsidR="00A161F8" w:rsidRPr="0087156B">
        <w:rPr>
          <w:rFonts w:eastAsia="Calibri"/>
          <w:rtl/>
        </w:rPr>
        <w:t xml:space="preserve"> </w:t>
      </w:r>
      <w:r w:rsidRPr="0087156B">
        <w:rPr>
          <w:rFonts w:eastAsia="Calibri"/>
          <w:rtl/>
        </w:rPr>
        <w:t>התוצר</w:t>
      </w:r>
      <w:r w:rsidRPr="003B2D4B">
        <w:rPr>
          <w:rFonts w:eastAsia="Calibri"/>
          <w:rtl/>
        </w:rPr>
        <w:t xml:space="preserve"> צפוי לצמוח בשיעור של </w:t>
      </w:r>
      <w:r w:rsidRPr="003B2D4B">
        <w:rPr>
          <w:rFonts w:eastAsia="Calibri" w:hint="cs"/>
          <w:rtl/>
        </w:rPr>
        <w:t xml:space="preserve">3% </w:t>
      </w:r>
      <w:r w:rsidRPr="003B2D4B">
        <w:rPr>
          <w:rFonts w:eastAsia="Calibri"/>
          <w:rtl/>
        </w:rPr>
        <w:t>ב-2023</w:t>
      </w:r>
      <w:r w:rsidRPr="003B2D4B">
        <w:rPr>
          <w:rFonts w:eastAsia="Calibri" w:hint="cs"/>
          <w:rtl/>
        </w:rPr>
        <w:t xml:space="preserve"> וב-2024</w:t>
      </w:r>
      <w:r w:rsidRPr="003B2D4B">
        <w:rPr>
          <w:rFonts w:eastAsia="Calibri"/>
          <w:rtl/>
        </w:rPr>
        <w:t>. שיעור האינפלציה בארבעת הרבעונים הקרובים</w:t>
      </w:r>
      <w:r w:rsidRPr="003B2D4B">
        <w:rPr>
          <w:rFonts w:eastAsia="Calibri"/>
          <w:vertAlign w:val="superscript"/>
          <w:rtl/>
        </w:rPr>
        <w:footnoteReference w:id="3"/>
      </w:r>
      <w:r w:rsidRPr="003B2D4B">
        <w:rPr>
          <w:rFonts w:eastAsia="Calibri"/>
          <w:rtl/>
        </w:rPr>
        <w:t xml:space="preserve"> צפוי להיות</w:t>
      </w:r>
      <w:r w:rsidRPr="003B2D4B">
        <w:rPr>
          <w:rFonts w:eastAsia="Calibri" w:hint="cs"/>
          <w:rtl/>
        </w:rPr>
        <w:t xml:space="preserve"> 3.</w:t>
      </w:r>
      <w:r w:rsidR="0087156B">
        <w:rPr>
          <w:rFonts w:eastAsia="Calibri" w:hint="cs"/>
          <w:rtl/>
        </w:rPr>
        <w:t>0</w:t>
      </w:r>
      <w:r w:rsidRPr="003B2D4B">
        <w:rPr>
          <w:rFonts w:eastAsia="Calibri" w:hint="cs"/>
          <w:rtl/>
        </w:rPr>
        <w:t>% ו</w:t>
      </w:r>
      <w:r w:rsidRPr="003B2D4B">
        <w:rPr>
          <w:rFonts w:eastAsia="Calibri"/>
          <w:rtl/>
        </w:rPr>
        <w:t>ב-202</w:t>
      </w:r>
      <w:r w:rsidRPr="003B2D4B">
        <w:rPr>
          <w:rFonts w:eastAsia="Calibri" w:hint="cs"/>
          <w:rtl/>
        </w:rPr>
        <w:t>4</w:t>
      </w:r>
      <w:r w:rsidRPr="003B2D4B">
        <w:rPr>
          <w:rFonts w:eastAsia="Calibri"/>
          <w:rtl/>
        </w:rPr>
        <w:t xml:space="preserve"> </w:t>
      </w:r>
      <w:r w:rsidR="00A161F8">
        <w:rPr>
          <w:rFonts w:eastAsia="Calibri" w:hint="cs"/>
          <w:rtl/>
        </w:rPr>
        <w:t xml:space="preserve">הוא </w:t>
      </w:r>
      <w:r w:rsidRPr="003B2D4B">
        <w:rPr>
          <w:rFonts w:eastAsia="Calibri"/>
          <w:rtl/>
        </w:rPr>
        <w:t xml:space="preserve">צפוי לעמוד על </w:t>
      </w:r>
      <w:r w:rsidRPr="003B2D4B">
        <w:rPr>
          <w:rFonts w:eastAsia="Calibri" w:hint="cs"/>
          <w:rtl/>
        </w:rPr>
        <w:t>2.4</w:t>
      </w:r>
      <w:r w:rsidRPr="003B2D4B">
        <w:rPr>
          <w:rFonts w:eastAsia="Calibri"/>
          <w:rtl/>
        </w:rPr>
        <w:t xml:space="preserve">%. על פי התחזית, </w:t>
      </w:r>
      <w:r w:rsidR="009E7FFE">
        <w:rPr>
          <w:rFonts w:eastAsia="Calibri" w:hint="cs"/>
          <w:rtl/>
        </w:rPr>
        <w:t xml:space="preserve">ברבעון השני של  2024 </w:t>
      </w:r>
      <w:r w:rsidR="00C06C50">
        <w:rPr>
          <w:rFonts w:eastAsia="Calibri" w:hint="cs"/>
          <w:rtl/>
        </w:rPr>
        <w:t xml:space="preserve">הריבית </w:t>
      </w:r>
      <w:r w:rsidRPr="003B2D4B">
        <w:rPr>
          <w:rFonts w:eastAsia="Calibri"/>
          <w:rtl/>
        </w:rPr>
        <w:t xml:space="preserve">צפויה </w:t>
      </w:r>
      <w:r w:rsidR="009E7FFE">
        <w:rPr>
          <w:rFonts w:eastAsia="Calibri" w:hint="cs"/>
          <w:rtl/>
        </w:rPr>
        <w:t>לעמוד</w:t>
      </w:r>
      <w:r w:rsidR="00D54F1E">
        <w:rPr>
          <w:rFonts w:eastAsia="Calibri" w:hint="cs"/>
          <w:rtl/>
        </w:rPr>
        <w:t xml:space="preserve"> על</w:t>
      </w:r>
      <w:r w:rsidR="009E7FFE">
        <w:rPr>
          <w:rFonts w:eastAsia="Calibri" w:hint="cs"/>
          <w:rtl/>
        </w:rPr>
        <w:t xml:space="preserve"> </w:t>
      </w:r>
      <w:r w:rsidR="00D54F1E">
        <w:rPr>
          <w:rFonts w:eastAsia="Calibri" w:hint="cs"/>
          <w:rtl/>
        </w:rPr>
        <w:t>4.75</w:t>
      </w:r>
      <w:r w:rsidR="001E758C">
        <w:rPr>
          <w:rFonts w:eastAsia="Calibri" w:hint="cs"/>
          <w:rtl/>
        </w:rPr>
        <w:t>%/</w:t>
      </w:r>
      <w:r w:rsidR="00D54F1E">
        <w:rPr>
          <w:rFonts w:eastAsia="Calibri" w:hint="cs"/>
          <w:rtl/>
        </w:rPr>
        <w:t>5%</w:t>
      </w:r>
      <w:r w:rsidRPr="003B2D4B">
        <w:rPr>
          <w:rFonts w:eastAsia="Calibri" w:hint="cs"/>
          <w:rtl/>
        </w:rPr>
        <w:t>.</w:t>
      </w:r>
    </w:p>
    <w:p w14:paraId="6FEEB5C0" w14:textId="77777777" w:rsidR="003B2D4B" w:rsidRPr="003B2D4B" w:rsidRDefault="003B2D4B" w:rsidP="00597143">
      <w:pPr>
        <w:pStyle w:val="1"/>
        <w:rPr>
          <w:rtl/>
        </w:rPr>
      </w:pPr>
      <w:r w:rsidRPr="003B2D4B">
        <w:rPr>
          <w:rtl/>
        </w:rPr>
        <w:t>התחזית</w:t>
      </w:r>
    </w:p>
    <w:p w14:paraId="33BF75B8" w14:textId="77777777" w:rsidR="003B2D4B" w:rsidRPr="003B2D4B" w:rsidRDefault="003B2D4B" w:rsidP="003B2D4B">
      <w:pPr>
        <w:spacing w:after="120"/>
        <w:jc w:val="both"/>
        <w:rPr>
          <w:rFonts w:eastAsia="Calibri"/>
          <w:rtl/>
        </w:rPr>
      </w:pPr>
      <w:r w:rsidRPr="003B2D4B">
        <w:rPr>
          <w:rFonts w:eastAsia="Calibri"/>
          <w:rtl/>
        </w:rPr>
        <w:t>חטיבת המחקר של בנק ישראל עורכת בכל רבעון תחזית מקרו-כלכלית שמתבססת על כמה מודלים, על מקורות מידע שונים ועל הערכות שיפוטיות. בתהליך זה יש תפקיד מרכזי למודל ה-</w:t>
      </w:r>
      <w:r w:rsidRPr="003B2D4B">
        <w:rPr>
          <w:rFonts w:eastAsia="Calibri"/>
        </w:rPr>
        <w:t>DSGE</w:t>
      </w:r>
      <w:r w:rsidRPr="003B2D4B">
        <w:rPr>
          <w:rFonts w:eastAsia="Calibri"/>
          <w:rtl/>
        </w:rPr>
        <w:t xml:space="preserve"> (</w:t>
      </w:r>
      <w:r w:rsidRPr="003B2D4B">
        <w:rPr>
          <w:rFonts w:eastAsia="Calibri"/>
        </w:rPr>
        <w:t>Dynamic Stochastic General Equilibrium</w:t>
      </w:r>
      <w:r w:rsidRPr="003B2D4B">
        <w:rPr>
          <w:rFonts w:eastAsia="Calibri"/>
          <w:rtl/>
        </w:rPr>
        <w:t>) שפותח בחטיבת המחקר – מודל מבני שמבוסס על יסודות מיקרו-כלכליים.</w:t>
      </w:r>
      <w:r w:rsidRPr="003B2D4B">
        <w:rPr>
          <w:rFonts w:eastAsia="Calibri"/>
          <w:vertAlign w:val="superscript"/>
          <w:rtl/>
        </w:rPr>
        <w:footnoteReference w:id="4"/>
      </w:r>
      <w:r w:rsidRPr="003B2D4B">
        <w:rPr>
          <w:rFonts w:eastAsia="Calibri"/>
          <w:rtl/>
        </w:rPr>
        <w:t xml:space="preserve"> המודל מספק מסגרת לניתוח הכוחות המשפיעים על הכלכלה ומאפשר לגבש את המידע מהמקורות השונים לכדי תחזית מקרו-כלכלית למשתנים ריאליים ונומינליים, המתאפיינת בעקביות פנימית ובסיפור כלכלי. </w:t>
      </w:r>
    </w:p>
    <w:p w14:paraId="5313EE22" w14:textId="77777777" w:rsidR="003B2D4B" w:rsidRPr="003B2D4B" w:rsidRDefault="003B2D4B" w:rsidP="00910C95">
      <w:pPr>
        <w:pStyle w:val="a"/>
        <w:rPr>
          <w:rtl/>
        </w:rPr>
      </w:pPr>
      <w:r w:rsidRPr="003B2D4B">
        <w:rPr>
          <w:rFonts w:hint="cs"/>
          <w:rtl/>
        </w:rPr>
        <w:t>הסביבה העולמית</w:t>
      </w:r>
    </w:p>
    <w:p w14:paraId="3EA36378" w14:textId="1205F93C" w:rsidR="003B2D4B" w:rsidRPr="003B2D4B" w:rsidRDefault="003B2D4B" w:rsidP="00437F72">
      <w:pPr>
        <w:spacing w:after="120"/>
        <w:jc w:val="both"/>
        <w:rPr>
          <w:rFonts w:ascii="Calibri" w:eastAsia="Calibri" w:hAnsi="Calibri"/>
          <w:rtl/>
        </w:rPr>
      </w:pPr>
      <w:r w:rsidRPr="003B2D4B">
        <w:rPr>
          <w:rFonts w:ascii="Calibri" w:eastAsia="Calibri" w:hAnsi="Calibri"/>
          <w:rtl/>
        </w:rPr>
        <w:t xml:space="preserve">הערכותינו לגבי ההתפתחויות בסביבה העולמית מתבססות בעיקרן על התחזיות שמגבשים מוסדות בין-לאומיים ובתי השקעות זרים. התחזיות </w:t>
      </w:r>
      <w:r w:rsidR="00A161F8" w:rsidRPr="00A161F8">
        <w:rPr>
          <w:rFonts w:ascii="Calibri" w:eastAsia="Calibri" w:hAnsi="Calibri"/>
          <w:rtl/>
        </w:rPr>
        <w:t xml:space="preserve">ממקורות אלה </w:t>
      </w:r>
      <w:r w:rsidRPr="003B2D4B">
        <w:rPr>
          <w:rFonts w:ascii="Calibri" w:eastAsia="Calibri" w:hAnsi="Calibri"/>
          <w:rtl/>
        </w:rPr>
        <w:t xml:space="preserve">לצמיחה </w:t>
      </w:r>
      <w:r w:rsidR="00A161F8">
        <w:rPr>
          <w:rFonts w:ascii="Calibri" w:eastAsia="Calibri" w:hAnsi="Calibri" w:hint="cs"/>
          <w:rtl/>
        </w:rPr>
        <w:t>ב</w:t>
      </w:r>
      <w:r w:rsidR="00A161F8" w:rsidRPr="003B2D4B">
        <w:rPr>
          <w:rFonts w:ascii="Calibri" w:eastAsia="Calibri" w:hAnsi="Calibri"/>
          <w:rtl/>
        </w:rPr>
        <w:t xml:space="preserve">משקים </w:t>
      </w:r>
      <w:r w:rsidRPr="003B2D4B">
        <w:rPr>
          <w:rFonts w:ascii="Calibri" w:eastAsia="Calibri" w:hAnsi="Calibri"/>
          <w:rtl/>
        </w:rPr>
        <w:t>המפותחים עודכנו כלפי מעלה ב-</w:t>
      </w:r>
      <w:r w:rsidR="00684AD2">
        <w:rPr>
          <w:rFonts w:ascii="Calibri" w:eastAsia="Calibri" w:hAnsi="Calibri" w:hint="cs"/>
          <w:rtl/>
        </w:rPr>
        <w:t>0.3</w:t>
      </w:r>
      <w:r w:rsidRPr="003B2D4B">
        <w:rPr>
          <w:rFonts w:ascii="Calibri" w:eastAsia="Calibri" w:hAnsi="Calibri"/>
          <w:rtl/>
        </w:rPr>
        <w:t xml:space="preserve"> </w:t>
      </w:r>
      <w:r w:rsidR="00A161F8">
        <w:rPr>
          <w:rFonts w:ascii="Calibri" w:eastAsia="Calibri" w:hAnsi="Calibri" w:hint="cs"/>
          <w:rtl/>
        </w:rPr>
        <w:t>נקודת אחוז</w:t>
      </w:r>
      <w:r w:rsidRPr="003B2D4B">
        <w:rPr>
          <w:rFonts w:ascii="Calibri" w:eastAsia="Calibri" w:hAnsi="Calibri" w:hint="cs"/>
          <w:rtl/>
        </w:rPr>
        <w:t xml:space="preserve"> עבור </w:t>
      </w:r>
      <w:r w:rsidRPr="003B2D4B">
        <w:rPr>
          <w:rFonts w:ascii="Calibri" w:eastAsia="Calibri" w:hAnsi="Calibri"/>
          <w:rtl/>
        </w:rPr>
        <w:t xml:space="preserve">2023 וכלפי מטה ב-0.2 נקודת האחוז </w:t>
      </w:r>
      <w:r w:rsidRPr="003B2D4B">
        <w:rPr>
          <w:rFonts w:ascii="Calibri" w:eastAsia="Calibri" w:hAnsi="Calibri" w:hint="cs"/>
          <w:rtl/>
        </w:rPr>
        <w:t xml:space="preserve">עבור </w:t>
      </w:r>
      <w:r w:rsidRPr="003B2D4B">
        <w:rPr>
          <w:rFonts w:ascii="Calibri" w:eastAsia="Calibri" w:hAnsi="Calibri"/>
          <w:rtl/>
        </w:rPr>
        <w:t>2024 ל-0.</w:t>
      </w:r>
      <w:r w:rsidR="00684AD2">
        <w:rPr>
          <w:rFonts w:ascii="Calibri" w:eastAsia="Calibri" w:hAnsi="Calibri" w:hint="cs"/>
          <w:rtl/>
        </w:rPr>
        <w:t>9</w:t>
      </w:r>
      <w:r w:rsidRPr="003B2D4B">
        <w:rPr>
          <w:rFonts w:ascii="Calibri" w:eastAsia="Calibri" w:hAnsi="Calibri"/>
          <w:rtl/>
        </w:rPr>
        <w:t xml:space="preserve">% </w:t>
      </w:r>
      <w:r w:rsidR="00684AD2">
        <w:rPr>
          <w:rFonts w:ascii="Calibri" w:eastAsia="Calibri" w:hAnsi="Calibri" w:hint="cs"/>
          <w:rtl/>
        </w:rPr>
        <w:t>בכל אחת מהשנים</w:t>
      </w:r>
      <w:r w:rsidRPr="003B2D4B">
        <w:rPr>
          <w:rFonts w:ascii="Calibri" w:eastAsia="Calibri" w:hAnsi="Calibri"/>
          <w:rtl/>
        </w:rPr>
        <w:t>. בהתאם לתחזית העדכנית של ה-</w:t>
      </w:r>
      <w:r w:rsidRPr="003B2D4B">
        <w:rPr>
          <w:rFonts w:ascii="Calibri" w:eastAsia="Calibri" w:hAnsi="Calibri"/>
        </w:rPr>
        <w:t>OECD</w:t>
      </w:r>
      <w:r w:rsidRPr="003B2D4B">
        <w:rPr>
          <w:rFonts w:ascii="Calibri" w:eastAsia="Calibri" w:hAnsi="Calibri"/>
          <w:rtl/>
        </w:rPr>
        <w:t xml:space="preserve"> לסחר העולמי, אנו מניחים כי הוא צפוי לצמוח ב-1.6%, ו-3.8% ב-2023 ו-2024.</w:t>
      </w:r>
      <w:r w:rsidRPr="003B2D4B">
        <w:rPr>
          <w:rFonts w:ascii="Calibri" w:eastAsia="Calibri" w:hAnsi="Calibri" w:hint="cs"/>
          <w:rtl/>
        </w:rPr>
        <w:t xml:space="preserve"> </w:t>
      </w:r>
      <w:r w:rsidR="00437F72">
        <w:rPr>
          <w:rFonts w:ascii="Calibri" w:eastAsia="Calibri" w:hAnsi="Calibri" w:hint="cs"/>
          <w:rtl/>
        </w:rPr>
        <w:t>ה</w:t>
      </w:r>
      <w:r w:rsidRPr="003B2D4B">
        <w:rPr>
          <w:rFonts w:ascii="Calibri" w:eastAsia="Calibri" w:hAnsi="Calibri"/>
          <w:rtl/>
        </w:rPr>
        <w:t xml:space="preserve">תחזיות </w:t>
      </w:r>
      <w:r w:rsidR="00437F72">
        <w:rPr>
          <w:rFonts w:ascii="Calibri" w:eastAsia="Calibri" w:hAnsi="Calibri" w:hint="cs"/>
          <w:rtl/>
        </w:rPr>
        <w:t>ל</w:t>
      </w:r>
      <w:r w:rsidR="00437F72" w:rsidRPr="003B2D4B">
        <w:rPr>
          <w:rFonts w:ascii="Calibri" w:eastAsia="Calibri" w:hAnsi="Calibri"/>
          <w:rtl/>
        </w:rPr>
        <w:t xml:space="preserve">אינפלציה </w:t>
      </w:r>
      <w:r w:rsidR="00437F72">
        <w:rPr>
          <w:rFonts w:ascii="Calibri" w:eastAsia="Calibri" w:hAnsi="Calibri" w:hint="cs"/>
          <w:rtl/>
        </w:rPr>
        <w:t>ב-2023</w:t>
      </w:r>
      <w:r w:rsidR="00437F72" w:rsidRPr="003B2D4B">
        <w:rPr>
          <w:rFonts w:ascii="Calibri" w:eastAsia="Calibri" w:hAnsi="Calibri"/>
          <w:rtl/>
        </w:rPr>
        <w:t xml:space="preserve"> </w:t>
      </w:r>
      <w:r w:rsidRPr="003B2D4B">
        <w:rPr>
          <w:rFonts w:ascii="Calibri" w:eastAsia="Calibri" w:hAnsi="Calibri"/>
          <w:rtl/>
        </w:rPr>
        <w:t>במשקים המפותחים</w:t>
      </w:r>
      <w:r w:rsidR="00437F72">
        <w:rPr>
          <w:rFonts w:ascii="Calibri" w:eastAsia="Calibri" w:hAnsi="Calibri" w:hint="cs"/>
          <w:rtl/>
        </w:rPr>
        <w:t xml:space="preserve"> </w:t>
      </w:r>
      <w:r w:rsidRPr="003B2D4B">
        <w:rPr>
          <w:rFonts w:ascii="Calibri" w:eastAsia="Calibri" w:hAnsi="Calibri" w:hint="cs"/>
          <w:rtl/>
        </w:rPr>
        <w:t>נותרו ללא שינוי ביחס להנחתנו בתחזי</w:t>
      </w:r>
      <w:r w:rsidRPr="003B2D4B">
        <w:rPr>
          <w:rFonts w:ascii="Calibri" w:eastAsia="Calibri" w:hAnsi="Calibri" w:hint="eastAsia"/>
          <w:rtl/>
        </w:rPr>
        <w:t>ת</w:t>
      </w:r>
      <w:r w:rsidRPr="003B2D4B">
        <w:rPr>
          <w:rFonts w:ascii="Calibri" w:eastAsia="Calibri" w:hAnsi="Calibri" w:hint="cs"/>
          <w:rtl/>
        </w:rPr>
        <w:t xml:space="preserve"> אפריל</w:t>
      </w:r>
      <w:r w:rsidRPr="003B2D4B">
        <w:rPr>
          <w:rFonts w:ascii="Calibri" w:eastAsia="Calibri" w:hAnsi="Calibri"/>
          <w:rtl/>
        </w:rPr>
        <w:t xml:space="preserve"> </w:t>
      </w:r>
      <w:r w:rsidR="00A161F8">
        <w:rPr>
          <w:rFonts w:ascii="Calibri" w:eastAsia="Calibri" w:hAnsi="Calibri" w:hint="cs"/>
          <w:rtl/>
        </w:rPr>
        <w:t>-</w:t>
      </w:r>
      <w:r w:rsidRPr="003B2D4B">
        <w:rPr>
          <w:rFonts w:ascii="Calibri" w:eastAsia="Calibri" w:hAnsi="Calibri"/>
          <w:rtl/>
        </w:rPr>
        <w:t xml:space="preserve"> 3.</w:t>
      </w:r>
      <w:r w:rsidRPr="003B2D4B">
        <w:rPr>
          <w:rFonts w:ascii="Calibri" w:eastAsia="Calibri" w:hAnsi="Calibri" w:hint="cs"/>
          <w:rtl/>
        </w:rPr>
        <w:t>1</w:t>
      </w:r>
      <w:r w:rsidRPr="003B2D4B">
        <w:rPr>
          <w:rFonts w:ascii="Calibri" w:eastAsia="Calibri" w:hAnsi="Calibri"/>
          <w:rtl/>
        </w:rPr>
        <w:t>%</w:t>
      </w:r>
      <w:r w:rsidR="00B5787B">
        <w:rPr>
          <w:rFonts w:ascii="Calibri" w:eastAsia="Calibri" w:hAnsi="Calibri" w:hint="cs"/>
          <w:rtl/>
        </w:rPr>
        <w:t>,</w:t>
      </w:r>
      <w:r w:rsidRPr="003B2D4B">
        <w:rPr>
          <w:rFonts w:ascii="Calibri" w:eastAsia="Calibri" w:hAnsi="Calibri"/>
          <w:rtl/>
        </w:rPr>
        <w:t xml:space="preserve"> </w:t>
      </w:r>
      <w:r w:rsidR="00437F72">
        <w:rPr>
          <w:rFonts w:ascii="Calibri" w:eastAsia="Calibri" w:hAnsi="Calibri" w:hint="cs"/>
          <w:rtl/>
        </w:rPr>
        <w:t>ועבור 2024 הן התעדכנו כלפי מעלה ב-0.3 נקודת האחוז ל</w:t>
      </w:r>
      <w:r w:rsidR="00437F72" w:rsidRPr="003B2D4B" w:rsidDel="00437F72">
        <w:rPr>
          <w:rFonts w:ascii="Calibri" w:eastAsia="Calibri" w:hAnsi="Calibri"/>
          <w:rtl/>
        </w:rPr>
        <w:t xml:space="preserve"> </w:t>
      </w:r>
      <w:r w:rsidR="00A161F8">
        <w:rPr>
          <w:rFonts w:ascii="Calibri" w:eastAsia="Calibri" w:hAnsi="Calibri" w:hint="cs"/>
          <w:rtl/>
        </w:rPr>
        <w:t>-</w:t>
      </w:r>
      <w:r w:rsidRPr="003B2D4B">
        <w:rPr>
          <w:rFonts w:ascii="Calibri" w:eastAsia="Calibri" w:hAnsi="Calibri"/>
          <w:rtl/>
        </w:rPr>
        <w:t>2.</w:t>
      </w:r>
      <w:r w:rsidR="00437F72">
        <w:rPr>
          <w:rFonts w:ascii="Calibri" w:eastAsia="Calibri" w:hAnsi="Calibri" w:hint="cs"/>
          <w:rtl/>
        </w:rPr>
        <w:t>4</w:t>
      </w:r>
      <w:r w:rsidRPr="003B2D4B">
        <w:rPr>
          <w:rFonts w:ascii="Calibri" w:eastAsia="Calibri" w:hAnsi="Calibri"/>
          <w:rtl/>
        </w:rPr>
        <w:t>% ב-2024. התחזיות של בתי ההשקעות לריבית הממוצעת ב</w:t>
      </w:r>
      <w:r w:rsidRPr="003B2D4B">
        <w:rPr>
          <w:rFonts w:ascii="Calibri" w:eastAsia="Calibri" w:hAnsi="Calibri" w:hint="cs"/>
          <w:rtl/>
        </w:rPr>
        <w:t>מדינות המפותחות</w:t>
      </w:r>
      <w:r w:rsidR="00684AD2" w:rsidRPr="00684AD2">
        <w:rPr>
          <w:rFonts w:ascii="Calibri" w:eastAsia="Calibri" w:hAnsi="Calibri"/>
          <w:rtl/>
        </w:rPr>
        <w:t xml:space="preserve"> </w:t>
      </w:r>
      <w:r w:rsidR="00B5787B">
        <w:rPr>
          <w:rFonts w:ascii="Calibri" w:eastAsia="Calibri" w:hAnsi="Calibri" w:hint="cs"/>
          <w:rtl/>
        </w:rPr>
        <w:t>ב</w:t>
      </w:r>
      <w:r w:rsidR="00684AD2" w:rsidRPr="003B2D4B">
        <w:rPr>
          <w:rFonts w:ascii="Calibri" w:eastAsia="Calibri" w:hAnsi="Calibri"/>
          <w:rtl/>
        </w:rPr>
        <w:t xml:space="preserve">סוף </w:t>
      </w:r>
      <w:r w:rsidR="00684AD2" w:rsidRPr="003B2D4B">
        <w:rPr>
          <w:rFonts w:ascii="Calibri" w:eastAsia="Calibri" w:hAnsi="Calibri"/>
          <w:rtl/>
        </w:rPr>
        <w:lastRenderedPageBreak/>
        <w:t>2023 ו-2024</w:t>
      </w:r>
      <w:r w:rsidRPr="003B2D4B">
        <w:rPr>
          <w:rFonts w:ascii="Calibri" w:eastAsia="Calibri" w:hAnsi="Calibri"/>
          <w:rtl/>
        </w:rPr>
        <w:t xml:space="preserve"> </w:t>
      </w:r>
      <w:r w:rsidRPr="003B2D4B">
        <w:rPr>
          <w:rFonts w:ascii="Calibri" w:eastAsia="Calibri" w:hAnsi="Calibri" w:hint="cs"/>
          <w:rtl/>
        </w:rPr>
        <w:t xml:space="preserve">עלו </w:t>
      </w:r>
      <w:r w:rsidR="00684AD2">
        <w:rPr>
          <w:rFonts w:ascii="Calibri" w:eastAsia="Calibri" w:hAnsi="Calibri" w:hint="cs"/>
          <w:rtl/>
        </w:rPr>
        <w:t>ב-0.3 נקודת האחוז</w:t>
      </w:r>
      <w:r w:rsidR="00684AD2" w:rsidRPr="003B2D4B">
        <w:rPr>
          <w:rFonts w:ascii="Calibri" w:eastAsia="Calibri" w:hAnsi="Calibri"/>
          <w:rtl/>
        </w:rPr>
        <w:t xml:space="preserve"> </w:t>
      </w:r>
      <w:r w:rsidRPr="003B2D4B">
        <w:rPr>
          <w:rFonts w:ascii="Calibri" w:eastAsia="Calibri" w:hAnsi="Calibri"/>
          <w:rtl/>
        </w:rPr>
        <w:t>ביחס להנחתנו באפריל</w:t>
      </w:r>
      <w:r w:rsidR="00A161F8">
        <w:rPr>
          <w:rFonts w:ascii="Calibri" w:eastAsia="Calibri" w:hAnsi="Calibri" w:hint="cs"/>
          <w:rtl/>
        </w:rPr>
        <w:t>,</w:t>
      </w:r>
      <w:r w:rsidRPr="003B2D4B">
        <w:rPr>
          <w:rFonts w:ascii="Calibri" w:eastAsia="Calibri" w:hAnsi="Calibri"/>
          <w:rtl/>
        </w:rPr>
        <w:t xml:space="preserve"> </w:t>
      </w:r>
      <w:r w:rsidRPr="003B2D4B">
        <w:rPr>
          <w:rFonts w:ascii="Calibri" w:eastAsia="Calibri" w:hAnsi="Calibri" w:hint="cs"/>
          <w:rtl/>
        </w:rPr>
        <w:t>ל</w:t>
      </w:r>
      <w:r w:rsidR="00A161F8">
        <w:rPr>
          <w:rFonts w:ascii="Calibri" w:eastAsia="Calibri" w:hAnsi="Calibri" w:hint="cs"/>
          <w:rtl/>
        </w:rPr>
        <w:t>-</w:t>
      </w:r>
      <w:r w:rsidRPr="003B2D4B">
        <w:rPr>
          <w:rFonts w:ascii="Calibri" w:eastAsia="Calibri" w:hAnsi="Calibri"/>
          <w:rtl/>
        </w:rPr>
        <w:t>4.</w:t>
      </w:r>
      <w:r w:rsidR="007B6C40">
        <w:rPr>
          <w:rFonts w:ascii="Calibri" w:eastAsia="Calibri" w:hAnsi="Calibri" w:hint="cs"/>
          <w:rtl/>
        </w:rPr>
        <w:t>7</w:t>
      </w:r>
      <w:r w:rsidRPr="003B2D4B">
        <w:rPr>
          <w:rFonts w:ascii="Calibri" w:eastAsia="Calibri" w:hAnsi="Calibri"/>
          <w:rtl/>
        </w:rPr>
        <w:t>% ו-3.</w:t>
      </w:r>
      <w:r w:rsidRPr="003B2D4B">
        <w:rPr>
          <w:rFonts w:ascii="Calibri" w:eastAsia="Calibri" w:hAnsi="Calibri" w:hint="cs"/>
          <w:rtl/>
        </w:rPr>
        <w:t>6</w:t>
      </w:r>
      <w:r w:rsidRPr="003B2D4B">
        <w:rPr>
          <w:rFonts w:ascii="Calibri" w:eastAsia="Calibri" w:hAnsi="Calibri"/>
          <w:rtl/>
        </w:rPr>
        <w:t>%</w:t>
      </w:r>
      <w:r w:rsidR="00684AD2">
        <w:rPr>
          <w:rFonts w:ascii="Calibri" w:eastAsia="Calibri" w:hAnsi="Calibri" w:hint="cs"/>
          <w:rtl/>
        </w:rPr>
        <w:t>,</w:t>
      </w:r>
      <w:r w:rsidRPr="003B2D4B">
        <w:rPr>
          <w:rFonts w:ascii="Calibri" w:eastAsia="Calibri" w:hAnsi="Calibri"/>
          <w:rtl/>
        </w:rPr>
        <w:t xml:space="preserve"> </w:t>
      </w:r>
      <w:r w:rsidR="00684AD2">
        <w:rPr>
          <w:rFonts w:ascii="Calibri" w:eastAsia="Calibri" w:hAnsi="Calibri" w:hint="cs"/>
          <w:rtl/>
        </w:rPr>
        <w:t>בהתאמה</w:t>
      </w:r>
      <w:r w:rsidRPr="003B2D4B">
        <w:rPr>
          <w:rFonts w:ascii="Calibri" w:eastAsia="Calibri" w:hAnsi="Calibri"/>
          <w:rtl/>
        </w:rPr>
        <w:t>.</w:t>
      </w:r>
      <w:r w:rsidRPr="003B2D4B">
        <w:rPr>
          <w:rFonts w:ascii="Calibri" w:eastAsia="Calibri" w:hAnsi="Calibri" w:hint="cs"/>
          <w:rtl/>
        </w:rPr>
        <w:t xml:space="preserve"> </w:t>
      </w:r>
      <w:r w:rsidRPr="003B2D4B">
        <w:rPr>
          <w:rFonts w:ascii="Calibri" w:eastAsia="Calibri" w:hAnsi="Calibri"/>
          <w:rtl/>
        </w:rPr>
        <w:t>מחירה של חבית נפט מסוג "ברנט" ירד לרמה של כ-</w:t>
      </w:r>
      <w:r w:rsidR="007B6C40" w:rsidRPr="003B2D4B">
        <w:rPr>
          <w:rFonts w:ascii="Calibri" w:eastAsia="Calibri" w:hAnsi="Calibri" w:hint="cs"/>
          <w:rtl/>
        </w:rPr>
        <w:t>7</w:t>
      </w:r>
      <w:r w:rsidR="007B6C40">
        <w:rPr>
          <w:rFonts w:ascii="Calibri" w:eastAsia="Calibri" w:hAnsi="Calibri" w:hint="cs"/>
          <w:rtl/>
        </w:rPr>
        <w:t>6</w:t>
      </w:r>
      <w:r w:rsidR="00F41D34">
        <w:rPr>
          <w:rFonts w:ascii="Calibri" w:eastAsia="Calibri" w:hAnsi="Calibri"/>
          <w:rtl/>
        </w:rPr>
        <w:t>$ ב</w:t>
      </w:r>
      <w:r w:rsidR="00F41D34">
        <w:rPr>
          <w:rFonts w:ascii="Calibri" w:eastAsia="Calibri" w:hAnsi="Calibri" w:hint="cs"/>
          <w:rtl/>
        </w:rPr>
        <w:t xml:space="preserve">תחילת יולי </w:t>
      </w:r>
      <w:r w:rsidRPr="003B2D4B">
        <w:rPr>
          <w:rFonts w:ascii="Calibri" w:eastAsia="Calibri" w:hAnsi="Calibri"/>
          <w:rtl/>
        </w:rPr>
        <w:t xml:space="preserve">(לעומת </w:t>
      </w:r>
      <w:r w:rsidRPr="003B2D4B">
        <w:rPr>
          <w:rFonts w:ascii="Calibri" w:eastAsia="Calibri" w:hAnsi="Calibri" w:hint="cs"/>
          <w:rtl/>
        </w:rPr>
        <w:t>78</w:t>
      </w:r>
      <w:r w:rsidRPr="003B2D4B">
        <w:rPr>
          <w:rFonts w:ascii="Calibri" w:eastAsia="Calibri" w:hAnsi="Calibri"/>
          <w:rtl/>
        </w:rPr>
        <w:t xml:space="preserve">$ בעת עריכת התחזית הקודמת </w:t>
      </w:r>
      <w:r w:rsidR="00F41D34">
        <w:rPr>
          <w:rFonts w:ascii="Calibri" w:eastAsia="Calibri" w:hAnsi="Calibri" w:hint="cs"/>
          <w:rtl/>
        </w:rPr>
        <w:t>באפריל</w:t>
      </w:r>
      <w:r w:rsidRPr="003B2D4B">
        <w:rPr>
          <w:rFonts w:ascii="Calibri" w:eastAsia="Calibri" w:hAnsi="Calibri"/>
          <w:rtl/>
        </w:rPr>
        <w:t>).</w:t>
      </w:r>
    </w:p>
    <w:p w14:paraId="1D2BD99F" w14:textId="77777777" w:rsidR="003B2D4B" w:rsidRPr="003B2D4B" w:rsidRDefault="003B2D4B" w:rsidP="00910C95">
      <w:pPr>
        <w:pStyle w:val="a"/>
        <w:rPr>
          <w:rtl/>
        </w:rPr>
      </w:pPr>
      <w:r w:rsidRPr="003B2D4B">
        <w:rPr>
          <w:rtl/>
        </w:rPr>
        <w:t>הפעילות הריאלית בישראל</w:t>
      </w:r>
    </w:p>
    <w:p w14:paraId="3648793C" w14:textId="67A42E6B" w:rsidR="003B2D4B" w:rsidRPr="003B2D4B" w:rsidRDefault="003B2D4B" w:rsidP="001C0757">
      <w:pPr>
        <w:spacing w:after="120"/>
        <w:jc w:val="both"/>
        <w:rPr>
          <w:rFonts w:ascii="Calibri" w:eastAsia="Calibri" w:hAnsi="Calibri"/>
          <w:rtl/>
        </w:rPr>
      </w:pPr>
      <w:r w:rsidRPr="00F11097">
        <w:rPr>
          <w:rFonts w:ascii="Calibri" w:eastAsia="Calibri" w:hAnsi="Calibri"/>
          <w:b/>
          <w:bCs/>
          <w:rtl/>
        </w:rPr>
        <w:t>התוצר צפוי לצמוח ב</w:t>
      </w:r>
      <w:r w:rsidR="001C0757" w:rsidRPr="00F11097">
        <w:rPr>
          <w:rFonts w:ascii="Calibri" w:eastAsia="Calibri" w:hAnsi="Calibri" w:hint="cs"/>
          <w:b/>
          <w:bCs/>
          <w:rtl/>
        </w:rPr>
        <w:t>-</w:t>
      </w:r>
      <w:r w:rsidRPr="00F11097">
        <w:rPr>
          <w:rFonts w:ascii="Calibri" w:eastAsia="Calibri" w:hAnsi="Calibri" w:hint="cs"/>
          <w:b/>
          <w:bCs/>
          <w:rtl/>
        </w:rPr>
        <w:t>3.0</w:t>
      </w:r>
      <w:r w:rsidRPr="00F11097">
        <w:rPr>
          <w:rFonts w:ascii="Calibri" w:eastAsia="Calibri" w:hAnsi="Calibri"/>
          <w:b/>
          <w:bCs/>
          <w:rtl/>
        </w:rPr>
        <w:t xml:space="preserve">% בשנת 2023 ובשיעור </w:t>
      </w:r>
      <w:r w:rsidRPr="00F11097">
        <w:rPr>
          <w:rFonts w:ascii="Calibri" w:eastAsia="Calibri" w:hAnsi="Calibri" w:hint="cs"/>
          <w:b/>
          <w:bCs/>
          <w:rtl/>
        </w:rPr>
        <w:t xml:space="preserve">דומה </w:t>
      </w:r>
      <w:r w:rsidRPr="00F11097">
        <w:rPr>
          <w:rFonts w:ascii="Calibri" w:eastAsia="Calibri" w:hAnsi="Calibri"/>
          <w:b/>
          <w:bCs/>
          <w:rtl/>
        </w:rPr>
        <w:t>של 3.</w:t>
      </w:r>
      <w:r w:rsidRPr="00F11097">
        <w:rPr>
          <w:rFonts w:ascii="Calibri" w:eastAsia="Calibri" w:hAnsi="Calibri" w:hint="cs"/>
          <w:b/>
          <w:bCs/>
          <w:rtl/>
        </w:rPr>
        <w:t>0</w:t>
      </w:r>
      <w:r w:rsidRPr="00F11097">
        <w:rPr>
          <w:rFonts w:ascii="Calibri" w:eastAsia="Calibri" w:hAnsi="Calibri"/>
          <w:b/>
          <w:bCs/>
          <w:rtl/>
        </w:rPr>
        <w:t>% ב-2024</w:t>
      </w:r>
      <w:r w:rsidRPr="003B2D4B">
        <w:rPr>
          <w:rFonts w:ascii="Calibri" w:eastAsia="Calibri" w:hAnsi="Calibri"/>
          <w:rtl/>
        </w:rPr>
        <w:t xml:space="preserve"> (לוח 1). נתוני החשבונאות הלאומית (</w:t>
      </w:r>
      <w:r w:rsidR="001C0757">
        <w:rPr>
          <w:rFonts w:ascii="Calibri" w:eastAsia="Calibri" w:hAnsi="Calibri" w:hint="cs"/>
          <w:rtl/>
        </w:rPr>
        <w:t>ה</w:t>
      </w:r>
      <w:r w:rsidRPr="003B2D4B">
        <w:rPr>
          <w:rFonts w:ascii="Calibri" w:eastAsia="Calibri" w:hAnsi="Calibri"/>
          <w:rtl/>
        </w:rPr>
        <w:t xml:space="preserve">רבעון </w:t>
      </w:r>
      <w:r w:rsidRPr="003B2D4B">
        <w:rPr>
          <w:rFonts w:ascii="Calibri" w:eastAsia="Calibri" w:hAnsi="Calibri" w:hint="cs"/>
          <w:rtl/>
        </w:rPr>
        <w:t>הראשון</w:t>
      </w:r>
      <w:r w:rsidRPr="003B2D4B">
        <w:rPr>
          <w:rFonts w:ascii="Calibri" w:eastAsia="Calibri" w:hAnsi="Calibri"/>
          <w:rtl/>
        </w:rPr>
        <w:t xml:space="preserve"> של </w:t>
      </w:r>
      <w:r w:rsidRPr="003B2D4B">
        <w:rPr>
          <w:rFonts w:ascii="Calibri" w:eastAsia="Calibri" w:hAnsi="Calibri" w:hint="cs"/>
          <w:rtl/>
        </w:rPr>
        <w:t>2023</w:t>
      </w:r>
      <w:r w:rsidRPr="003B2D4B">
        <w:rPr>
          <w:rFonts w:ascii="Calibri" w:eastAsia="Calibri" w:hAnsi="Calibri"/>
          <w:rtl/>
        </w:rPr>
        <w:t xml:space="preserve">) שהתפרסמו מאז התחזית הקודמת, היו גבוהים ביחס לצפוי. לכן, רמת התוצר במשק ברבעון </w:t>
      </w:r>
      <w:r w:rsidRPr="003B2D4B">
        <w:rPr>
          <w:rFonts w:ascii="Calibri" w:eastAsia="Calibri" w:hAnsi="Calibri" w:hint="cs"/>
          <w:rtl/>
        </w:rPr>
        <w:t>הראשון</w:t>
      </w:r>
      <w:r w:rsidRPr="003B2D4B">
        <w:rPr>
          <w:rFonts w:ascii="Calibri" w:eastAsia="Calibri" w:hAnsi="Calibri"/>
          <w:rtl/>
        </w:rPr>
        <w:t xml:space="preserve"> של </w:t>
      </w:r>
      <w:r w:rsidRPr="003B2D4B">
        <w:rPr>
          <w:rFonts w:ascii="Calibri" w:eastAsia="Calibri" w:hAnsi="Calibri" w:hint="cs"/>
          <w:rtl/>
        </w:rPr>
        <w:t>2023</w:t>
      </w:r>
      <w:r w:rsidRPr="003B2D4B">
        <w:rPr>
          <w:rFonts w:ascii="Calibri" w:eastAsia="Calibri" w:hAnsi="Calibri"/>
          <w:rtl/>
        </w:rPr>
        <w:t xml:space="preserve"> ממשיכה להיות גבוהה מקו המגמה טרום משבר הקורונה. עם זאת, רמת התוצר צפויה לרדת בהמשך אל </w:t>
      </w:r>
      <w:r w:rsidR="001C0757">
        <w:rPr>
          <w:rFonts w:ascii="Calibri" w:eastAsia="Calibri" w:hAnsi="Calibri" w:hint="cs"/>
          <w:rtl/>
        </w:rPr>
        <w:t xml:space="preserve">מעט </w:t>
      </w:r>
      <w:r w:rsidRPr="003B2D4B">
        <w:rPr>
          <w:rFonts w:ascii="Calibri" w:eastAsia="Calibri" w:hAnsi="Calibri"/>
          <w:rtl/>
        </w:rPr>
        <w:t xml:space="preserve">מתחת למגמה. ההאטה הצפויה בצמיחה נובעת מהצפי להתמתנות בצמיחת הסחר העולמי וכן מעליית הריבית הריאלית בישראל בטווח התחזית. ההערכה בנוגע לצמיחה </w:t>
      </w:r>
      <w:r w:rsidRPr="003B2D4B">
        <w:rPr>
          <w:rFonts w:ascii="Calibri" w:eastAsia="Calibri" w:hAnsi="Calibri" w:hint="cs"/>
          <w:rtl/>
        </w:rPr>
        <w:t>הצפויה</w:t>
      </w:r>
      <w:r w:rsidRPr="003B2D4B">
        <w:rPr>
          <w:rFonts w:ascii="Calibri" w:eastAsia="Calibri" w:hAnsi="Calibri"/>
          <w:rtl/>
        </w:rPr>
        <w:t xml:space="preserve"> בשנת </w:t>
      </w:r>
      <w:r w:rsidRPr="003B2D4B">
        <w:rPr>
          <w:rFonts w:ascii="Calibri" w:eastAsia="Calibri" w:hAnsi="Calibri" w:hint="cs"/>
          <w:rtl/>
        </w:rPr>
        <w:t>2023</w:t>
      </w:r>
      <w:r w:rsidRPr="003B2D4B">
        <w:rPr>
          <w:rFonts w:ascii="Calibri" w:eastAsia="Calibri" w:hAnsi="Calibri"/>
          <w:rtl/>
        </w:rPr>
        <w:t xml:space="preserve"> עודכנה מעט כלפי מעלה בעקבות השפעת נתוני הקצה של הרבעון </w:t>
      </w:r>
      <w:r w:rsidRPr="003B2D4B">
        <w:rPr>
          <w:rFonts w:ascii="Calibri" w:eastAsia="Calibri" w:hAnsi="Calibri" w:hint="cs"/>
          <w:rtl/>
        </w:rPr>
        <w:t>הראשון והצמיחה ב-2024 עודכנה מעט כלפי מטה, כך שבסוף 2024 רמת התוצר צפויה להיות דומה לזו שהערכנו בתחזית אפריל</w:t>
      </w:r>
      <w:r w:rsidRPr="003B2D4B">
        <w:rPr>
          <w:rFonts w:ascii="Calibri" w:eastAsia="Calibri" w:hAnsi="Calibri"/>
          <w:rtl/>
        </w:rPr>
        <w:t xml:space="preserve">. </w:t>
      </w:r>
    </w:p>
    <w:p w14:paraId="155FCFC9" w14:textId="23519954" w:rsidR="003B2D4B" w:rsidRPr="003B2D4B" w:rsidRDefault="003B2D4B" w:rsidP="00437F72">
      <w:pPr>
        <w:spacing w:after="120"/>
        <w:jc w:val="both"/>
        <w:rPr>
          <w:rFonts w:ascii="Calibri" w:eastAsia="Calibri" w:hAnsi="Calibri"/>
          <w:rtl/>
        </w:rPr>
      </w:pPr>
      <w:r w:rsidRPr="003B2D4B">
        <w:rPr>
          <w:rFonts w:ascii="Calibri" w:eastAsia="Calibri" w:hAnsi="Calibri"/>
          <w:rtl/>
        </w:rPr>
        <w:t>בנקודת המוצא של התחזית</w:t>
      </w:r>
      <w:r w:rsidR="004A246E">
        <w:rPr>
          <w:rFonts w:ascii="Calibri" w:eastAsia="Calibri" w:hAnsi="Calibri" w:hint="cs"/>
          <w:rtl/>
        </w:rPr>
        <w:t xml:space="preserve"> </w:t>
      </w:r>
      <w:r w:rsidR="004A246E">
        <w:rPr>
          <w:rFonts w:ascii="Calibri" w:eastAsia="Calibri" w:hAnsi="Calibri" w:hint="eastAsia"/>
          <w:rtl/>
        </w:rPr>
        <w:t>–</w:t>
      </w:r>
      <w:r w:rsidRPr="003B2D4B">
        <w:rPr>
          <w:rFonts w:ascii="Calibri" w:eastAsia="Calibri" w:hAnsi="Calibri"/>
          <w:rtl/>
        </w:rPr>
        <w:t xml:space="preserve"> שוק העבודה הדוק, שיעור התעסוקה בגילי העבודה העיקריים גבוה מזה ששרר ערב משבר הקורונה ושיעור </w:t>
      </w:r>
      <w:r w:rsidRPr="003B2D4B">
        <w:rPr>
          <w:rFonts w:ascii="Calibri" w:eastAsia="Calibri" w:hAnsi="Calibri" w:hint="cs"/>
          <w:rtl/>
        </w:rPr>
        <w:t>ה</w:t>
      </w:r>
      <w:r w:rsidRPr="003B2D4B">
        <w:rPr>
          <w:rFonts w:ascii="Calibri" w:eastAsia="Calibri" w:hAnsi="Calibri"/>
          <w:rtl/>
        </w:rPr>
        <w:t xml:space="preserve">אבטלה גבוה במעט מזה ששרר באותה תקופה. בטווח התחזית אנו מעריכים כי שוק העבודה יוותר הדוק אך </w:t>
      </w:r>
      <w:r w:rsidRPr="003B2D4B">
        <w:rPr>
          <w:rFonts w:ascii="Calibri" w:eastAsia="Calibri" w:hAnsi="Calibri" w:hint="cs"/>
          <w:rtl/>
        </w:rPr>
        <w:t xml:space="preserve">מעט </w:t>
      </w:r>
      <w:r w:rsidR="00DF72BD">
        <w:rPr>
          <w:rFonts w:ascii="Calibri" w:eastAsia="Calibri" w:hAnsi="Calibri" w:hint="cs"/>
          <w:rtl/>
        </w:rPr>
        <w:t>פחות מאשר</w:t>
      </w:r>
      <w:r w:rsidRPr="003B2D4B">
        <w:rPr>
          <w:rFonts w:ascii="Calibri" w:eastAsia="Calibri" w:hAnsi="Calibri" w:hint="cs"/>
          <w:rtl/>
        </w:rPr>
        <w:t xml:space="preserve"> </w:t>
      </w:r>
      <w:r w:rsidR="00DF72BD">
        <w:rPr>
          <w:rFonts w:ascii="Calibri" w:eastAsia="Calibri" w:hAnsi="Calibri" w:hint="cs"/>
          <w:rtl/>
        </w:rPr>
        <w:t>ב</w:t>
      </w:r>
      <w:r w:rsidRPr="003B2D4B">
        <w:rPr>
          <w:rFonts w:ascii="Calibri" w:eastAsia="Calibri" w:hAnsi="Calibri" w:hint="cs"/>
          <w:rtl/>
        </w:rPr>
        <w:t>נקודת המוצא</w:t>
      </w:r>
      <w:r w:rsidRPr="003B2D4B">
        <w:rPr>
          <w:rFonts w:ascii="Calibri" w:eastAsia="Calibri" w:hAnsi="Calibri"/>
          <w:rtl/>
        </w:rPr>
        <w:t xml:space="preserve">. </w:t>
      </w:r>
      <w:r w:rsidR="00911ACF" w:rsidRPr="003B2D4B">
        <w:rPr>
          <w:rFonts w:ascii="Calibri" w:eastAsia="Calibri" w:hAnsi="Calibri" w:hint="cs"/>
          <w:rtl/>
        </w:rPr>
        <w:t xml:space="preserve">על רקע הערכתנו </w:t>
      </w:r>
      <w:r w:rsidR="00437F72">
        <w:rPr>
          <w:rFonts w:ascii="Calibri" w:eastAsia="Calibri" w:hAnsi="Calibri" w:hint="cs"/>
          <w:rtl/>
        </w:rPr>
        <w:t>להתמתנות של</w:t>
      </w:r>
      <w:r w:rsidR="00C06C50">
        <w:rPr>
          <w:rFonts w:ascii="Calibri" w:eastAsia="Calibri" w:hAnsi="Calibri" w:hint="cs"/>
          <w:rtl/>
        </w:rPr>
        <w:t xml:space="preserve"> </w:t>
      </w:r>
      <w:r w:rsidR="00DF72BD">
        <w:rPr>
          <w:rFonts w:ascii="Calibri" w:eastAsia="Calibri" w:hAnsi="Calibri" w:hint="cs"/>
          <w:rtl/>
        </w:rPr>
        <w:t>הגידול ב</w:t>
      </w:r>
      <w:r w:rsidRPr="003B2D4B">
        <w:rPr>
          <w:rFonts w:ascii="Calibri" w:eastAsia="Calibri" w:hAnsi="Calibri" w:hint="cs"/>
          <w:rtl/>
        </w:rPr>
        <w:t xml:space="preserve">פעילות בתקופת התחזית, </w:t>
      </w:r>
      <w:r w:rsidR="00437F72">
        <w:rPr>
          <w:rFonts w:ascii="Calibri" w:eastAsia="Calibri" w:hAnsi="Calibri" w:hint="cs"/>
          <w:rtl/>
        </w:rPr>
        <w:t xml:space="preserve">אנו צופים כי </w:t>
      </w:r>
      <w:r w:rsidRPr="003B2D4B">
        <w:rPr>
          <w:rFonts w:ascii="Calibri" w:eastAsia="Calibri" w:hAnsi="Calibri"/>
          <w:rtl/>
        </w:rPr>
        <w:t>בשנת 2024</w:t>
      </w:r>
      <w:r w:rsidRPr="003B2D4B">
        <w:rPr>
          <w:rFonts w:ascii="Calibri" w:eastAsia="Calibri" w:hAnsi="Calibri" w:hint="cs"/>
          <w:rtl/>
        </w:rPr>
        <w:t xml:space="preserve"> </w:t>
      </w:r>
      <w:r w:rsidR="00DF72BD">
        <w:rPr>
          <w:rFonts w:ascii="Calibri" w:eastAsia="Calibri" w:hAnsi="Calibri" w:hint="cs"/>
          <w:rtl/>
        </w:rPr>
        <w:t xml:space="preserve">ירד </w:t>
      </w:r>
      <w:r w:rsidRPr="003B2D4B">
        <w:rPr>
          <w:rFonts w:ascii="Calibri" w:eastAsia="Calibri" w:hAnsi="Calibri"/>
          <w:rtl/>
        </w:rPr>
        <w:t>שיעור התעסוקה בגילי העבודה העיקריים ל-77.</w:t>
      </w:r>
      <w:r w:rsidRPr="003B2D4B">
        <w:rPr>
          <w:rFonts w:ascii="Calibri" w:eastAsia="Calibri" w:hAnsi="Calibri" w:hint="cs"/>
          <w:rtl/>
        </w:rPr>
        <w:t>2</w:t>
      </w:r>
      <w:r w:rsidRPr="003B2D4B">
        <w:rPr>
          <w:rFonts w:ascii="Calibri" w:eastAsia="Calibri" w:hAnsi="Calibri"/>
          <w:rtl/>
        </w:rPr>
        <w:t>% בממוצע ושיעור האבטלה יעלה ל-4.</w:t>
      </w:r>
      <w:r w:rsidRPr="003B2D4B">
        <w:rPr>
          <w:rFonts w:ascii="Calibri" w:eastAsia="Calibri" w:hAnsi="Calibri" w:hint="cs"/>
          <w:rtl/>
        </w:rPr>
        <w:t>1</w:t>
      </w:r>
      <w:r w:rsidRPr="003B2D4B">
        <w:rPr>
          <w:rFonts w:ascii="Calibri" w:eastAsia="Calibri" w:hAnsi="Calibri"/>
          <w:rtl/>
        </w:rPr>
        <w:t xml:space="preserve">% בממוצע. </w:t>
      </w:r>
      <w:r w:rsidR="004A246E">
        <w:rPr>
          <w:rFonts w:ascii="Calibri" w:eastAsia="Calibri" w:hAnsi="Calibri" w:hint="cs"/>
          <w:rtl/>
        </w:rPr>
        <w:t>הגירעונות</w:t>
      </w:r>
      <w:r w:rsidRPr="003B2D4B">
        <w:rPr>
          <w:rFonts w:ascii="Calibri" w:eastAsia="Calibri" w:hAnsi="Calibri" w:hint="cs"/>
          <w:rtl/>
        </w:rPr>
        <w:t xml:space="preserve"> </w:t>
      </w:r>
      <w:r w:rsidR="00911ACF">
        <w:rPr>
          <w:rFonts w:ascii="Calibri" w:eastAsia="Calibri" w:hAnsi="Calibri" w:hint="cs"/>
          <w:rtl/>
        </w:rPr>
        <w:t xml:space="preserve">בתקציב </w:t>
      </w:r>
      <w:r w:rsidRPr="003B2D4B">
        <w:rPr>
          <w:rFonts w:ascii="Calibri" w:eastAsia="Calibri" w:hAnsi="Calibri" w:hint="cs"/>
          <w:rtl/>
        </w:rPr>
        <w:t>הממשלה</w:t>
      </w:r>
      <w:r w:rsidRPr="003B2D4B">
        <w:rPr>
          <w:rFonts w:ascii="Calibri" w:eastAsia="Calibri" w:hAnsi="Calibri"/>
          <w:rtl/>
        </w:rPr>
        <w:t xml:space="preserve"> בשנים 2023 ו-2024 יסתכמו ב-</w:t>
      </w:r>
      <w:r w:rsidRPr="003B2D4B">
        <w:rPr>
          <w:rFonts w:ascii="Calibri" w:eastAsia="Calibri" w:hAnsi="Calibri" w:hint="cs"/>
          <w:rtl/>
        </w:rPr>
        <w:t>1.3%</w:t>
      </w:r>
      <w:r w:rsidRPr="003B2D4B">
        <w:rPr>
          <w:rFonts w:ascii="Calibri" w:eastAsia="Calibri" w:hAnsi="Calibri"/>
          <w:rtl/>
        </w:rPr>
        <w:t xml:space="preserve"> </w:t>
      </w:r>
      <w:r w:rsidR="00DF72BD">
        <w:rPr>
          <w:rFonts w:ascii="Calibri" w:eastAsia="Calibri" w:hAnsi="Calibri" w:hint="cs"/>
          <w:rtl/>
        </w:rPr>
        <w:t xml:space="preserve">תוצר </w:t>
      </w:r>
      <w:r w:rsidRPr="003B2D4B">
        <w:rPr>
          <w:rFonts w:ascii="Calibri" w:eastAsia="Calibri" w:hAnsi="Calibri"/>
          <w:rtl/>
        </w:rPr>
        <w:t>ו-</w:t>
      </w:r>
      <w:r w:rsidRPr="003B2D4B">
        <w:rPr>
          <w:rFonts w:ascii="Calibri" w:eastAsia="Calibri" w:hAnsi="Calibri" w:hint="cs"/>
          <w:rtl/>
        </w:rPr>
        <w:t>1.5%</w:t>
      </w:r>
      <w:r w:rsidRPr="003B2D4B">
        <w:rPr>
          <w:rFonts w:ascii="Calibri" w:eastAsia="Calibri" w:hAnsi="Calibri"/>
          <w:rtl/>
        </w:rPr>
        <w:t xml:space="preserve"> תוצר. החוב </w:t>
      </w:r>
      <w:r w:rsidR="004A246E">
        <w:rPr>
          <w:rFonts w:ascii="Calibri" w:eastAsia="Calibri" w:hAnsi="Calibri" w:hint="cs"/>
          <w:rtl/>
        </w:rPr>
        <w:t>צפוי לה</w:t>
      </w:r>
      <w:r w:rsidRPr="003B2D4B">
        <w:rPr>
          <w:rFonts w:ascii="Calibri" w:eastAsia="Calibri" w:hAnsi="Calibri"/>
          <w:rtl/>
        </w:rPr>
        <w:t xml:space="preserve">תייצב על </w:t>
      </w:r>
      <w:r w:rsidRPr="003B2D4B">
        <w:rPr>
          <w:rFonts w:ascii="Calibri" w:eastAsia="Calibri" w:hAnsi="Calibri" w:hint="cs"/>
          <w:rtl/>
        </w:rPr>
        <w:t>60</w:t>
      </w:r>
      <w:r w:rsidRPr="003B2D4B">
        <w:rPr>
          <w:rFonts w:ascii="Calibri" w:eastAsia="Calibri" w:hAnsi="Calibri"/>
          <w:rtl/>
        </w:rPr>
        <w:t>% תוצר ב-2023 וירד ל-</w:t>
      </w:r>
      <w:r w:rsidRPr="003B2D4B">
        <w:rPr>
          <w:rFonts w:ascii="Calibri" w:eastAsia="Calibri" w:hAnsi="Calibri" w:hint="cs"/>
          <w:rtl/>
        </w:rPr>
        <w:t>59</w:t>
      </w:r>
      <w:r w:rsidRPr="003B2D4B">
        <w:rPr>
          <w:rFonts w:ascii="Calibri" w:eastAsia="Calibri" w:hAnsi="Calibri"/>
          <w:rtl/>
        </w:rPr>
        <w:t xml:space="preserve">% תוצר ב-2024. </w:t>
      </w:r>
    </w:p>
    <w:p w14:paraId="17B31575" w14:textId="77777777" w:rsidR="003B2D4B" w:rsidRPr="003B2D4B" w:rsidRDefault="003B2D4B" w:rsidP="003B2D4B">
      <w:pPr>
        <w:keepNext/>
        <w:keepLines/>
        <w:spacing w:line="240" w:lineRule="auto"/>
        <w:ind w:firstLine="40"/>
        <w:jc w:val="center"/>
        <w:outlineLvl w:val="1"/>
        <w:rPr>
          <w:rFonts w:eastAsia="Calibri"/>
          <w:b/>
          <w:bCs/>
          <w:color w:val="4F81BD"/>
          <w:rtl/>
        </w:rPr>
      </w:pPr>
      <w:r w:rsidRPr="003B2D4B">
        <w:rPr>
          <w:rFonts w:eastAsia="Calibri"/>
          <w:b/>
          <w:bCs/>
          <w:color w:val="4F81BD"/>
          <w:rtl/>
        </w:rPr>
        <w:t>לוח ה'-1</w:t>
      </w:r>
      <w:r w:rsidRPr="003B2D4B">
        <w:rPr>
          <w:rFonts w:eastAsia="Calibri"/>
          <w:b/>
          <w:bCs/>
          <w:color w:val="4F81BD"/>
          <w:rtl/>
        </w:rPr>
        <w:br/>
        <w:t xml:space="preserve"> תחזית חטיבת המחקר ל-202</w:t>
      </w:r>
      <w:r w:rsidRPr="003B2D4B">
        <w:rPr>
          <w:rFonts w:eastAsia="Calibri" w:hint="cs"/>
          <w:b/>
          <w:bCs/>
          <w:color w:val="4F81BD"/>
          <w:rtl/>
        </w:rPr>
        <w:t>3</w:t>
      </w:r>
      <w:r w:rsidRPr="003B2D4B">
        <w:rPr>
          <w:rFonts w:eastAsia="Calibri"/>
          <w:b/>
          <w:bCs/>
          <w:color w:val="4F81BD"/>
          <w:rtl/>
        </w:rPr>
        <w:t>—202</w:t>
      </w:r>
      <w:r w:rsidRPr="003B2D4B">
        <w:rPr>
          <w:rFonts w:eastAsia="Calibri" w:hint="cs"/>
          <w:b/>
          <w:bCs/>
          <w:color w:val="4F81BD"/>
          <w:rtl/>
        </w:rPr>
        <w:t>4</w:t>
      </w:r>
    </w:p>
    <w:p w14:paraId="4C4AEF43" w14:textId="77777777" w:rsidR="003B2D4B" w:rsidRPr="003B2D4B" w:rsidRDefault="003B2D4B" w:rsidP="003B2D4B">
      <w:pPr>
        <w:keepNext/>
        <w:keepLines/>
        <w:spacing w:line="240" w:lineRule="auto"/>
        <w:ind w:firstLine="40"/>
        <w:jc w:val="center"/>
        <w:rPr>
          <w:rFonts w:eastAsia="Calibri"/>
          <w:color w:val="4F81BD"/>
          <w:rtl/>
        </w:rPr>
      </w:pPr>
      <w:r w:rsidRPr="003B2D4B">
        <w:rPr>
          <w:rFonts w:eastAsia="Calibri"/>
          <w:color w:val="4F81BD"/>
          <w:rtl/>
        </w:rPr>
        <w:t xml:space="preserve"> (שיעורי השינוי באחוזים</w:t>
      </w:r>
      <w:r w:rsidRPr="003B2D4B">
        <w:rPr>
          <w:rFonts w:eastAsia="Calibri"/>
          <w:b/>
          <w:bCs/>
          <w:color w:val="4F81BD"/>
          <w:sz w:val="20"/>
          <w:szCs w:val="20"/>
          <w:vertAlign w:val="superscript"/>
          <w:rtl/>
        </w:rPr>
        <w:t>1</w:t>
      </w:r>
      <w:r w:rsidRPr="003B2D4B">
        <w:rPr>
          <w:rFonts w:eastAsia="Calibri"/>
          <w:color w:val="4F81BD"/>
          <w:rtl/>
        </w:rPr>
        <w:t>, אלא אם צוין אחרת)</w:t>
      </w:r>
    </w:p>
    <w:tbl>
      <w:tblPr>
        <w:bidiVisual/>
        <w:tblW w:w="8648" w:type="dxa"/>
        <w:tblInd w:w="1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840"/>
        <w:gridCol w:w="235"/>
        <w:gridCol w:w="757"/>
        <w:gridCol w:w="1132"/>
        <w:gridCol w:w="79"/>
        <w:gridCol w:w="791"/>
        <w:gridCol w:w="993"/>
      </w:tblGrid>
      <w:tr w:rsidR="003B2D4B" w:rsidRPr="003B2D4B" w14:paraId="785A4B78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BB4C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34A4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2022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5160D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BDA85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2023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B0C70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902B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2024</w:t>
            </w:r>
          </w:p>
        </w:tc>
      </w:tr>
      <w:tr w:rsidR="003B2D4B" w:rsidRPr="003B2D4B" w14:paraId="2E80FA7A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39BF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eastAsia="Calibri"/>
                <w:color w:val="000000"/>
                <w:kern w:val="24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A37AB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בפועל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66873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1C8A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התחזית </w:t>
            </w:r>
            <w:r w:rsidRPr="003B2D4B"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  <w:br/>
            </w: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ל-2023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AEC49" w14:textId="4F14E0D7" w:rsidR="003B2D4B" w:rsidRPr="003B2D4B" w:rsidRDefault="003B2D4B" w:rsidP="0087156B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4F81BD"/>
                <w:kern w:val="24"/>
                <w:sz w:val="22"/>
                <w:szCs w:val="22"/>
                <w:rtl/>
              </w:rPr>
              <w:t xml:space="preserve">השינוי מתחזית </w:t>
            </w:r>
            <w:r w:rsidR="0087156B">
              <w:rPr>
                <w:rFonts w:ascii="Calibri" w:eastAsia="Calibri" w:hint="cs"/>
                <w:color w:val="4F81BD"/>
                <w:kern w:val="24"/>
                <w:sz w:val="22"/>
                <w:szCs w:val="22"/>
                <w:rtl/>
              </w:rPr>
              <w:t>אפריל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628B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46E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התחזית </w:t>
            </w:r>
            <w:r w:rsidRPr="003B2D4B"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  <w:br/>
            </w: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ל-2024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93F60" w14:textId="6F027F0E" w:rsidR="003B2D4B" w:rsidRPr="003B2D4B" w:rsidRDefault="003B2D4B" w:rsidP="0087156B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4F81BD"/>
                <w:kern w:val="24"/>
                <w:sz w:val="22"/>
                <w:szCs w:val="22"/>
                <w:rtl/>
              </w:rPr>
              <w:t xml:space="preserve">השינוי מתחזית </w:t>
            </w:r>
            <w:r w:rsidR="0087156B">
              <w:rPr>
                <w:rFonts w:ascii="Calibri" w:eastAsia="Calibri" w:hint="cs"/>
                <w:color w:val="4F81BD"/>
                <w:kern w:val="24"/>
                <w:sz w:val="22"/>
                <w:szCs w:val="22"/>
                <w:rtl/>
              </w:rPr>
              <w:t>אפריל</w:t>
            </w:r>
          </w:p>
        </w:tc>
      </w:tr>
      <w:tr w:rsidR="003B2D4B" w:rsidRPr="003B2D4B" w14:paraId="62A90F5C" w14:textId="77777777" w:rsidTr="00597143">
        <w:trPr>
          <w:trHeight w:val="20"/>
        </w:trPr>
        <w:tc>
          <w:tcPr>
            <w:tcW w:w="38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E16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תוצר מקומי גולמי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FAE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6.5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1D6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FB5B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AD113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0.5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8417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F5D6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F9D7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0.5-</w:t>
            </w:r>
          </w:p>
        </w:tc>
      </w:tr>
      <w:tr w:rsidR="003B2D4B" w:rsidRPr="003B2D4B" w14:paraId="32A47B43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F258D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צריכה פרטית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03FA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7.7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5E02D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EC4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60FAC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0.5-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41604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A42C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FE44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1.0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3B2D4B" w:rsidRPr="003B2D4B" w14:paraId="2C9AE35E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9978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השקעה בנכסים קבועים (ללא </w:t>
            </w:r>
            <w:proofErr w:type="spellStart"/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אוניות</w:t>
            </w:r>
            <w:proofErr w:type="spellEnd"/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 ומטוסים)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6D5E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9.4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80FA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D3743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4.5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C4C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3E6E7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E247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402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1.5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3B2D4B" w:rsidRPr="003B2D4B" w14:paraId="7651AA77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5B8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צריכה ציבורית (ללא יבוא ביטחוני)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0FD5F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1.1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4E940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F78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2.0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876CB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21C8A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DCF5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59ED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0.0</w:t>
            </w:r>
          </w:p>
        </w:tc>
      </w:tr>
      <w:tr w:rsidR="003B2D4B" w:rsidRPr="003B2D4B" w14:paraId="48343F78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5A17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יצוא (ללא יהלומים והזנק)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7DBF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9.2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4B33F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D4DD4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1.5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FA4F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0.5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887C1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996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6F22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0.5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3B2D4B" w:rsidRPr="003B2D4B" w14:paraId="59F692B9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3CA1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יבוא אזרחי (ללא יהלומים, </w:t>
            </w:r>
            <w:proofErr w:type="spellStart"/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אוניות</w:t>
            </w:r>
            <w:proofErr w:type="spellEnd"/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 xml:space="preserve"> ומטוסים)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AD7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12.1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4ED3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7D9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1.5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91567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1.5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6E5C3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93F6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2634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2.0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3B2D4B" w:rsidRPr="003B2D4B" w14:paraId="46034A6A" w14:textId="77777777" w:rsidTr="00597143">
        <w:trPr>
          <w:trHeight w:val="20"/>
        </w:trPr>
        <w:tc>
          <w:tcPr>
            <w:tcW w:w="3821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7A270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סטיית התוצר ממגמת טרום המשבר (אחוזים)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F9DB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0.9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27F6C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3B6F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0.1</w:t>
            </w:r>
            <w:r w:rsidRPr="003B2D4B">
              <w:rPr>
                <w:rFonts w:eastAsia="Times New Roman" w:cs="Arial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EC1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7FA61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D298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1.1</w:t>
            </w:r>
            <w:r w:rsidRPr="003B2D4B">
              <w:rPr>
                <w:rFonts w:eastAsia="Times New Roman" w:cs="Arial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F65DB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0.1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3B2D4B" w:rsidRPr="003B2D4B" w14:paraId="27B7BA46" w14:textId="77777777" w:rsidTr="00597143">
        <w:trPr>
          <w:trHeight w:val="20"/>
        </w:trPr>
        <w:tc>
          <w:tcPr>
            <w:tcW w:w="3821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5C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/>
                <w:color w:val="000000"/>
                <w:kern w:val="24"/>
                <w:sz w:val="22"/>
                <w:szCs w:val="22"/>
                <w:rtl/>
              </w:rPr>
              <w:t>שיעור אבטלה – ממוצע שנתי (גילאי 25-64)</w:t>
            </w:r>
          </w:p>
        </w:tc>
        <w:tc>
          <w:tcPr>
            <w:tcW w:w="84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62133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3.3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88E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5DF6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3.7</w:t>
            </w:r>
          </w:p>
        </w:tc>
        <w:tc>
          <w:tcPr>
            <w:tcW w:w="1132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ADE3" w14:textId="3EFEE2FA" w:rsidR="003B2D4B" w:rsidRPr="003B2D4B" w:rsidRDefault="003B2D4B" w:rsidP="008F51A2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</w:t>
            </w:r>
            <w:r w:rsidR="008F51A2">
              <w:rPr>
                <w:rFonts w:ascii="Calibri" w:eastAsia="Times New Roman" w:hAnsi="Calibri" w:hint="cs"/>
                <w:color w:val="4F81BD"/>
                <w:kern w:val="24"/>
                <w:sz w:val="22"/>
                <w:szCs w:val="22"/>
                <w:rtl/>
              </w:rPr>
              <w:t>4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3C924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81E4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4.1</w:t>
            </w:r>
          </w:p>
        </w:tc>
        <w:tc>
          <w:tcPr>
            <w:tcW w:w="99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F60F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0.1</w:t>
            </w:r>
          </w:p>
        </w:tc>
      </w:tr>
      <w:tr w:rsidR="003B2D4B" w:rsidRPr="003B2D4B" w14:paraId="61A29C20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1E17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שיעור תעסוקה  – ממוצע שנתי</w:t>
            </w: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 xml:space="preserve"> </w:t>
            </w: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(גילאי 25-64</w:t>
            </w: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3DB3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78.6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CA06C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31CD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77.9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71BA9" w14:textId="18B47843" w:rsidR="003B2D4B" w:rsidRPr="003B2D4B" w:rsidRDefault="003B2D4B" w:rsidP="008F51A2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</w:t>
            </w:r>
            <w:r w:rsidR="008F51A2">
              <w:rPr>
                <w:rFonts w:ascii="Calibri" w:eastAsia="Times New Roman" w:hAnsi="Calibri" w:hint="cs"/>
                <w:color w:val="4F81BD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DFE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6CC5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77.2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8951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0.2</w:t>
            </w: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-</w:t>
            </w:r>
          </w:p>
        </w:tc>
      </w:tr>
      <w:tr w:rsidR="00597143" w:rsidRPr="003B2D4B" w14:paraId="65225219" w14:textId="77777777" w:rsidTr="00597143">
        <w:trPr>
          <w:trHeight w:val="20"/>
        </w:trPr>
        <w:tc>
          <w:tcPr>
            <w:tcW w:w="3821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C5E34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גירעון הממשלה (אחוזי תוצר)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BDEB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0.6-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0AFB9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0D64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1.3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8B69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0.4</w:t>
            </w:r>
          </w:p>
        </w:tc>
        <w:tc>
          <w:tcPr>
            <w:tcW w:w="7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13257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526F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5D3FC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0.6</w:t>
            </w:r>
          </w:p>
        </w:tc>
      </w:tr>
      <w:tr w:rsidR="003B2D4B" w:rsidRPr="003B2D4B" w14:paraId="76F7F811" w14:textId="77777777" w:rsidTr="00597143">
        <w:trPr>
          <w:trHeight w:val="20"/>
        </w:trPr>
        <w:tc>
          <w:tcPr>
            <w:tcW w:w="382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4641E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יחס חוב לתוצר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1C75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eastAsia="Times New Roman" w:cs="Arial"/>
                <w:color w:val="000000"/>
                <w:kern w:val="24"/>
                <w:sz w:val="22"/>
                <w:szCs w:val="22"/>
              </w:rPr>
              <w:t>60.7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9129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4D32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eastAsia="Times New Roman" w:cs="Arial"/>
                <w:b/>
                <w:bCs/>
                <w:color w:val="000000"/>
                <w:kern w:val="24"/>
                <w:sz w:val="22"/>
                <w:szCs w:val="22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04F0D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eastAsia="Calibri" w:cs="Arial"/>
                <w:color w:val="4F81BD"/>
                <w:kern w:val="24"/>
                <w:sz w:val="22"/>
                <w:szCs w:val="22"/>
              </w:rPr>
              <w:t>1.0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A865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2280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A7359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eastAsia="Times New Roman" w:cs="Arial"/>
                <w:color w:val="4F81BD"/>
                <w:kern w:val="24"/>
                <w:sz w:val="22"/>
                <w:szCs w:val="22"/>
              </w:rPr>
              <w:t>1.0</w:t>
            </w:r>
          </w:p>
        </w:tc>
      </w:tr>
      <w:tr w:rsidR="00597143" w:rsidRPr="003B2D4B" w14:paraId="104514B7" w14:textId="77777777" w:rsidTr="00597143">
        <w:trPr>
          <w:trHeight w:val="20"/>
        </w:trPr>
        <w:tc>
          <w:tcPr>
            <w:tcW w:w="3821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4A31B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Calibri"/>
                <w:color w:val="000000"/>
                <w:kern w:val="24"/>
                <w:sz w:val="22"/>
                <w:szCs w:val="22"/>
                <w:rtl/>
              </w:rPr>
              <w:t>אינפלציה</w:t>
            </w:r>
            <w:r w:rsidRPr="003B2D4B">
              <w:rPr>
                <w:rFonts w:ascii="Calibri" w:eastAsia="Calibri" w:hAnsi="Calibri"/>
                <w:color w:val="000000"/>
                <w:kern w:val="24"/>
                <w:position w:val="8"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84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21142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000000"/>
                <w:kern w:val="24"/>
                <w:sz w:val="22"/>
                <w:szCs w:val="22"/>
                <w:rtl/>
              </w:rPr>
              <w:t>5.1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F1A2" w14:textId="77777777" w:rsidR="003B2D4B" w:rsidRPr="003B2D4B" w:rsidRDefault="003B2D4B" w:rsidP="00597143">
            <w:pPr>
              <w:bidi w:val="0"/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57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EB9D4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3.5</w:t>
            </w:r>
          </w:p>
        </w:tc>
        <w:tc>
          <w:tcPr>
            <w:tcW w:w="1132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BDC06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0.4-</w:t>
            </w:r>
          </w:p>
        </w:tc>
        <w:tc>
          <w:tcPr>
            <w:tcW w:w="7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49C23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</w:p>
        </w:tc>
        <w:tc>
          <w:tcPr>
            <w:tcW w:w="79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6A8E7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b/>
                <w:bCs/>
                <w:color w:val="000000"/>
                <w:kern w:val="24"/>
                <w:sz w:val="22"/>
                <w:szCs w:val="22"/>
                <w:rtl/>
              </w:rPr>
              <w:t>2.4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A9CFA" w14:textId="77777777" w:rsidR="003B2D4B" w:rsidRPr="003B2D4B" w:rsidRDefault="003B2D4B" w:rsidP="00597143">
            <w:pPr>
              <w:spacing w:beforeLines="20" w:before="48" w:afterLines="20" w:after="48" w:line="240" w:lineRule="auto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  <w:rtl/>
              </w:rPr>
            </w:pPr>
            <w:r w:rsidRPr="003B2D4B">
              <w:rPr>
                <w:rFonts w:ascii="Calibri" w:eastAsia="Times New Roman" w:hAnsi="Calibri"/>
                <w:color w:val="4F81BD"/>
                <w:kern w:val="24"/>
                <w:sz w:val="22"/>
                <w:szCs w:val="22"/>
                <w:rtl/>
              </w:rPr>
              <w:t>0.1</w:t>
            </w:r>
          </w:p>
        </w:tc>
      </w:tr>
    </w:tbl>
    <w:p w14:paraId="4538678E" w14:textId="77777777" w:rsidR="003B2D4B" w:rsidRPr="003B2D4B" w:rsidRDefault="003B2D4B" w:rsidP="003B2D4B">
      <w:pPr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rtl/>
        </w:rPr>
      </w:pPr>
      <w:r w:rsidRPr="003B2D4B">
        <w:rPr>
          <w:rFonts w:eastAsia="Calibri"/>
          <w:sz w:val="20"/>
          <w:szCs w:val="20"/>
          <w:rtl/>
        </w:rPr>
        <w:t>בתחזית לרכיבי החשבונאות הלאומית, שיעור השינוי מעוגל לחצי נקודת אחוז.</w:t>
      </w:r>
    </w:p>
    <w:p w14:paraId="1FE97978" w14:textId="77777777" w:rsidR="003B2D4B" w:rsidRPr="003B2D4B" w:rsidRDefault="003B2D4B" w:rsidP="003B2D4B">
      <w:pPr>
        <w:numPr>
          <w:ilvl w:val="0"/>
          <w:numId w:val="2"/>
        </w:numPr>
        <w:spacing w:line="276" w:lineRule="auto"/>
        <w:jc w:val="both"/>
        <w:rPr>
          <w:rFonts w:eastAsia="Calibri"/>
          <w:sz w:val="20"/>
          <w:szCs w:val="20"/>
          <w:rtl/>
        </w:rPr>
      </w:pPr>
      <w:r w:rsidRPr="003B2D4B">
        <w:rPr>
          <w:rFonts w:eastAsia="Calibri"/>
          <w:sz w:val="20"/>
          <w:szCs w:val="20"/>
          <w:rtl/>
        </w:rPr>
        <w:t>הממוצע של מדד המחירים לצרכן ברבעון האחרון בשנה לעומת הממוצע ברבעון האחרון בשנה הקודמת.</w:t>
      </w:r>
    </w:p>
    <w:p w14:paraId="5AE5C3FD" w14:textId="77777777" w:rsidR="003B2D4B" w:rsidRPr="003B2D4B" w:rsidRDefault="003B2D4B" w:rsidP="003B2D4B">
      <w:pPr>
        <w:spacing w:after="120"/>
        <w:jc w:val="both"/>
        <w:rPr>
          <w:rFonts w:eastAsia="Calibri"/>
          <w:rtl/>
        </w:rPr>
      </w:pPr>
    </w:p>
    <w:p w14:paraId="3B9CA11E" w14:textId="77777777" w:rsidR="003B2D4B" w:rsidRPr="003B2D4B" w:rsidRDefault="003B2D4B" w:rsidP="00910C95">
      <w:pPr>
        <w:pStyle w:val="a"/>
        <w:rPr>
          <w:rtl/>
        </w:rPr>
      </w:pPr>
      <w:r w:rsidRPr="003B2D4B">
        <w:rPr>
          <w:rtl/>
        </w:rPr>
        <w:lastRenderedPageBreak/>
        <w:t>האינפלציה והריבית</w:t>
      </w:r>
    </w:p>
    <w:p w14:paraId="02DDDE6F" w14:textId="2A26242B" w:rsidR="003B2D4B" w:rsidRPr="003B2D4B" w:rsidRDefault="003B2D4B" w:rsidP="002924F8">
      <w:pPr>
        <w:spacing w:after="120"/>
        <w:jc w:val="both"/>
        <w:rPr>
          <w:rFonts w:ascii="Calibri" w:eastAsia="Calibri" w:hAnsi="Calibri"/>
          <w:rtl/>
        </w:rPr>
      </w:pPr>
      <w:r w:rsidRPr="003B2D4B">
        <w:rPr>
          <w:rFonts w:eastAsia="Calibri"/>
          <w:b/>
          <w:bCs/>
          <w:rtl/>
        </w:rPr>
        <w:t xml:space="preserve">שיעור האינפלציה בארבעת הרבעונים הקרובים </w:t>
      </w:r>
      <w:r w:rsidRPr="003B2D4B">
        <w:rPr>
          <w:rFonts w:eastAsia="Calibri" w:hint="cs"/>
          <w:b/>
          <w:bCs/>
          <w:rtl/>
        </w:rPr>
        <w:t xml:space="preserve">המסתיימים ברבעון השני של 2024 </w:t>
      </w:r>
      <w:r w:rsidRPr="003B2D4B">
        <w:rPr>
          <w:rFonts w:eastAsia="Calibri"/>
          <w:b/>
          <w:bCs/>
          <w:rtl/>
        </w:rPr>
        <w:t xml:space="preserve">צפוי לעמוד על </w:t>
      </w:r>
      <w:r w:rsidRPr="003B2D4B">
        <w:rPr>
          <w:rFonts w:eastAsia="Calibri" w:hint="cs"/>
          <w:b/>
          <w:bCs/>
          <w:rtl/>
        </w:rPr>
        <w:t>3.</w:t>
      </w:r>
      <w:r w:rsidR="0087156B">
        <w:rPr>
          <w:rFonts w:eastAsia="Calibri" w:hint="cs"/>
          <w:b/>
          <w:bCs/>
          <w:rtl/>
        </w:rPr>
        <w:t>0</w:t>
      </w:r>
      <w:r w:rsidRPr="003B2D4B">
        <w:rPr>
          <w:rFonts w:eastAsia="Calibri"/>
          <w:b/>
          <w:bCs/>
          <w:rtl/>
        </w:rPr>
        <w:t xml:space="preserve">%. </w:t>
      </w:r>
      <w:r w:rsidRPr="003B2D4B">
        <w:rPr>
          <w:rFonts w:eastAsia="Calibri"/>
          <w:rtl/>
        </w:rPr>
        <w:t>ב-202</w:t>
      </w:r>
      <w:r w:rsidRPr="003B2D4B">
        <w:rPr>
          <w:rFonts w:eastAsia="Calibri" w:hint="cs"/>
          <w:rtl/>
        </w:rPr>
        <w:t>4</w:t>
      </w:r>
      <w:r w:rsidRPr="003B2D4B">
        <w:rPr>
          <w:rFonts w:eastAsia="Calibri"/>
          <w:rtl/>
        </w:rPr>
        <w:t xml:space="preserve"> צפוי שיעור האינפלציה לעמוד על </w:t>
      </w:r>
      <w:r w:rsidRPr="003B2D4B">
        <w:rPr>
          <w:rFonts w:eastAsia="Calibri" w:hint="cs"/>
          <w:rtl/>
        </w:rPr>
        <w:t>2.4</w:t>
      </w:r>
      <w:r w:rsidRPr="003B2D4B">
        <w:rPr>
          <w:rFonts w:eastAsia="Calibri"/>
          <w:rtl/>
        </w:rPr>
        <w:t>%</w:t>
      </w:r>
      <w:r w:rsidRPr="003B2D4B">
        <w:rPr>
          <w:rFonts w:eastAsia="Calibri" w:hint="cs"/>
          <w:rtl/>
        </w:rPr>
        <w:t xml:space="preserve">. בדומה לתחזית הקודמת מגמת ההתמתנות של קצב האינפלציה </w:t>
      </w:r>
      <w:r w:rsidR="005964B4">
        <w:rPr>
          <w:rFonts w:eastAsia="Calibri" w:hint="cs"/>
          <w:rtl/>
        </w:rPr>
        <w:t xml:space="preserve">השנתית </w:t>
      </w:r>
      <w:r w:rsidRPr="003B2D4B">
        <w:rPr>
          <w:rFonts w:eastAsia="Calibri" w:hint="cs"/>
          <w:rtl/>
        </w:rPr>
        <w:t>בתקופת התחזית</w:t>
      </w:r>
      <w:r w:rsidR="005964B4">
        <w:rPr>
          <w:rFonts w:eastAsia="Calibri" w:hint="cs"/>
          <w:rtl/>
        </w:rPr>
        <w:t xml:space="preserve"> מושפעת</w:t>
      </w:r>
      <w:r w:rsidRPr="003B2D4B">
        <w:rPr>
          <w:rFonts w:eastAsia="Calibri" w:hint="cs"/>
          <w:rtl/>
        </w:rPr>
        <w:t xml:space="preserve"> </w:t>
      </w:r>
      <w:r w:rsidR="005964B4">
        <w:rPr>
          <w:rFonts w:eastAsia="Calibri" w:hint="cs"/>
          <w:rtl/>
        </w:rPr>
        <w:t>מהתפתחות מחירי</w:t>
      </w:r>
      <w:r w:rsidR="005964B4" w:rsidRPr="005964B4">
        <w:rPr>
          <w:rFonts w:eastAsia="Calibri" w:hint="cs"/>
          <w:rtl/>
        </w:rPr>
        <w:t xml:space="preserve"> הסחורות והאנרגיה, וכן מהתמתנות </w:t>
      </w:r>
      <w:proofErr w:type="spellStart"/>
      <w:r w:rsidR="005964B4" w:rsidRPr="005964B4">
        <w:rPr>
          <w:rFonts w:eastAsia="Calibri" w:hint="cs"/>
          <w:rtl/>
        </w:rPr>
        <w:t>הביקושים</w:t>
      </w:r>
      <w:proofErr w:type="spellEnd"/>
      <w:r w:rsidR="005964B4" w:rsidRPr="005964B4">
        <w:rPr>
          <w:rFonts w:eastAsia="Calibri" w:hint="cs"/>
          <w:rtl/>
        </w:rPr>
        <w:t xml:space="preserve"> לתוצר המקומי, בין השאר </w:t>
      </w:r>
      <w:r w:rsidRPr="003B2D4B">
        <w:rPr>
          <w:rFonts w:eastAsia="Calibri" w:hint="cs"/>
          <w:rtl/>
        </w:rPr>
        <w:t xml:space="preserve">בהשפעת המדיניות המוניטרית המרסנת בישראל ובעולם. </w:t>
      </w:r>
      <w:r w:rsidR="00A9347C" w:rsidRPr="00A9347C">
        <w:rPr>
          <w:rFonts w:eastAsia="Calibri" w:hint="cs"/>
          <w:rtl/>
        </w:rPr>
        <w:t xml:space="preserve">גם קצב אינפלציה הנמוך יותר בנקודת המוצא ביחס להערכותינו הקודמות תרם </w:t>
      </w:r>
      <w:r w:rsidR="002924F8">
        <w:rPr>
          <w:rFonts w:eastAsia="Calibri" w:hint="cs"/>
          <w:rtl/>
        </w:rPr>
        <w:t>להתמתנות האינפלציה</w:t>
      </w:r>
      <w:r w:rsidR="00A9347C" w:rsidRPr="00A9347C">
        <w:rPr>
          <w:rFonts w:eastAsia="Calibri" w:hint="cs"/>
          <w:rtl/>
        </w:rPr>
        <w:t>.</w:t>
      </w:r>
      <w:r w:rsidR="00A9347C">
        <w:rPr>
          <w:rFonts w:eastAsia="Calibri" w:hint="cs"/>
          <w:rtl/>
        </w:rPr>
        <w:t xml:space="preserve"> לעומת זאת, </w:t>
      </w:r>
      <w:r w:rsidR="00E80FBF" w:rsidRPr="003B2D4B">
        <w:rPr>
          <w:rFonts w:eastAsia="Calibri" w:hint="cs"/>
          <w:rtl/>
        </w:rPr>
        <w:t xml:space="preserve">הפיחות </w:t>
      </w:r>
      <w:r w:rsidR="00F41D34">
        <w:rPr>
          <w:rFonts w:eastAsia="Calibri" w:hint="cs"/>
          <w:rtl/>
        </w:rPr>
        <w:t>בשקל</w:t>
      </w:r>
      <w:r w:rsidR="00E80FBF">
        <w:rPr>
          <w:rFonts w:eastAsia="Calibri" w:hint="cs"/>
          <w:rtl/>
        </w:rPr>
        <w:t xml:space="preserve"> מאז פרסום תחזית אפריל ורמת הפעילות הגבוהה תרמו לעדכון מעלה של תחזית האינפלציה בארבעת הרביעים הקרובים. </w:t>
      </w:r>
      <w:r w:rsidRPr="003B2D4B">
        <w:rPr>
          <w:rFonts w:eastAsia="Calibri" w:hint="cs"/>
          <w:rtl/>
        </w:rPr>
        <w:t xml:space="preserve"> </w:t>
      </w:r>
    </w:p>
    <w:p w14:paraId="14AAF655" w14:textId="4DF6F68A" w:rsidR="003B2D4B" w:rsidRPr="003B2D4B" w:rsidRDefault="003B2D4B" w:rsidP="00911ACF">
      <w:pPr>
        <w:spacing w:after="240"/>
        <w:jc w:val="both"/>
        <w:rPr>
          <w:rFonts w:eastAsia="Calibri"/>
          <w:rtl/>
        </w:rPr>
      </w:pPr>
      <w:r w:rsidRPr="003B2D4B">
        <w:rPr>
          <w:rFonts w:eastAsia="Calibri"/>
          <w:b/>
          <w:bCs/>
          <w:rtl/>
        </w:rPr>
        <w:t xml:space="preserve">הריבית צפויה </w:t>
      </w:r>
      <w:r w:rsidR="00A9347C" w:rsidRPr="003B2D4B">
        <w:rPr>
          <w:rFonts w:eastAsia="Calibri" w:hint="cs"/>
          <w:b/>
          <w:bCs/>
          <w:rtl/>
        </w:rPr>
        <w:t>ל</w:t>
      </w:r>
      <w:r w:rsidR="00A9347C">
        <w:rPr>
          <w:rFonts w:eastAsia="Calibri" w:hint="cs"/>
          <w:b/>
          <w:bCs/>
          <w:rtl/>
        </w:rPr>
        <w:t>היות</w:t>
      </w:r>
      <w:r w:rsidR="00A9347C" w:rsidRPr="003B2D4B">
        <w:rPr>
          <w:rFonts w:eastAsia="Calibri" w:hint="cs"/>
          <w:b/>
          <w:bCs/>
          <w:rtl/>
        </w:rPr>
        <w:t xml:space="preserve"> </w:t>
      </w:r>
      <w:r w:rsidR="00A9347C">
        <w:rPr>
          <w:rFonts w:eastAsia="Calibri" w:hint="cs"/>
          <w:b/>
          <w:bCs/>
          <w:rtl/>
        </w:rPr>
        <w:t>ב</w:t>
      </w:r>
      <w:r w:rsidRPr="003B2D4B">
        <w:rPr>
          <w:rFonts w:eastAsia="Calibri" w:hint="cs"/>
          <w:b/>
          <w:bCs/>
          <w:rtl/>
        </w:rPr>
        <w:t xml:space="preserve">רמה של 4.75% </w:t>
      </w:r>
      <w:r w:rsidR="00911ACF">
        <w:rPr>
          <w:rFonts w:eastAsia="Calibri" w:hint="cs"/>
          <w:b/>
          <w:bCs/>
          <w:rtl/>
        </w:rPr>
        <w:t xml:space="preserve">או 5% </w:t>
      </w:r>
      <w:r w:rsidRPr="003B2D4B">
        <w:rPr>
          <w:rFonts w:eastAsia="Calibri" w:hint="cs"/>
          <w:b/>
          <w:bCs/>
          <w:rtl/>
        </w:rPr>
        <w:t>ברבעון השני של 2024</w:t>
      </w:r>
      <w:r w:rsidRPr="003B2D4B">
        <w:rPr>
          <w:rFonts w:eastAsia="Calibri"/>
          <w:rtl/>
        </w:rPr>
        <w:t xml:space="preserve"> (לוח 2)</w:t>
      </w:r>
      <w:r w:rsidRPr="003B2D4B">
        <w:rPr>
          <w:rFonts w:eastAsia="Calibri"/>
          <w:b/>
          <w:bCs/>
          <w:rtl/>
        </w:rPr>
        <w:t>.</w:t>
      </w:r>
      <w:r w:rsidRPr="003B2D4B">
        <w:rPr>
          <w:rFonts w:eastAsia="Calibri" w:hint="cs"/>
          <w:rtl/>
        </w:rPr>
        <w:t xml:space="preserve"> </w:t>
      </w:r>
      <w:r w:rsidR="00E80FBF">
        <w:rPr>
          <w:rFonts w:eastAsia="Calibri" w:hint="cs"/>
          <w:rtl/>
        </w:rPr>
        <w:t>רמת הריבית בתקופת התחזית</w:t>
      </w:r>
      <w:r w:rsidRPr="003B2D4B">
        <w:rPr>
          <w:rFonts w:eastAsia="Calibri" w:hint="cs"/>
          <w:rtl/>
        </w:rPr>
        <w:t xml:space="preserve"> תסייע לאינפלציה הצפויה </w:t>
      </w:r>
      <w:r w:rsidR="00E80FBF">
        <w:rPr>
          <w:rFonts w:eastAsia="Calibri" w:hint="cs"/>
          <w:rtl/>
        </w:rPr>
        <w:t>להתבסס</w:t>
      </w:r>
      <w:r w:rsidRPr="003B2D4B">
        <w:rPr>
          <w:rFonts w:eastAsia="Calibri" w:hint="cs"/>
          <w:rtl/>
        </w:rPr>
        <w:t xml:space="preserve"> בתוך גבולות יעד האינפלציה</w:t>
      </w:r>
      <w:r w:rsidR="00E80FBF">
        <w:rPr>
          <w:rFonts w:eastAsia="Calibri" w:hint="cs"/>
          <w:rtl/>
        </w:rPr>
        <w:t xml:space="preserve"> באופק התחזית</w:t>
      </w:r>
      <w:r w:rsidRPr="003B2D4B">
        <w:rPr>
          <w:rFonts w:eastAsia="Calibri" w:hint="cs"/>
          <w:rtl/>
        </w:rPr>
        <w:t>.</w:t>
      </w:r>
    </w:p>
    <w:p w14:paraId="7DB8E296" w14:textId="39961E64" w:rsidR="003B2D4B" w:rsidRPr="003B2D4B" w:rsidRDefault="003B2D4B" w:rsidP="00A9347C">
      <w:pPr>
        <w:spacing w:after="240"/>
        <w:jc w:val="both"/>
        <w:rPr>
          <w:rFonts w:eastAsia="Calibri"/>
          <w:rtl/>
        </w:rPr>
      </w:pPr>
      <w:r w:rsidRPr="003B2D4B">
        <w:rPr>
          <w:rFonts w:eastAsia="Calibri"/>
          <w:rtl/>
        </w:rPr>
        <w:t xml:space="preserve">מלוח 2 עולה כי תחזית הצוות לאינפלציה </w:t>
      </w:r>
      <w:r w:rsidRPr="003B2D4B">
        <w:rPr>
          <w:rFonts w:eastAsia="Calibri" w:hint="cs"/>
          <w:rtl/>
        </w:rPr>
        <w:t>דומה</w:t>
      </w:r>
      <w:r w:rsidRPr="003B2D4B">
        <w:rPr>
          <w:rFonts w:eastAsia="Calibri"/>
          <w:rtl/>
        </w:rPr>
        <w:t xml:space="preserve"> לציפיות משוק ההון</w:t>
      </w:r>
      <w:r w:rsidR="00E80FBF" w:rsidRPr="00E80FBF">
        <w:rPr>
          <w:rFonts w:eastAsia="Calibri"/>
          <w:rtl/>
        </w:rPr>
        <w:t xml:space="preserve"> </w:t>
      </w:r>
      <w:r w:rsidR="00E80FBF">
        <w:rPr>
          <w:rFonts w:eastAsia="Calibri" w:hint="cs"/>
          <w:rtl/>
        </w:rPr>
        <w:t>וגבוהה מעט ביחס ל</w:t>
      </w:r>
      <w:r w:rsidR="00E80FBF" w:rsidRPr="003B2D4B">
        <w:rPr>
          <w:rFonts w:eastAsia="Calibri"/>
          <w:rtl/>
        </w:rPr>
        <w:t>ממוצע החזאים</w:t>
      </w:r>
      <w:r w:rsidRPr="003B2D4B">
        <w:rPr>
          <w:rFonts w:eastAsia="Calibri" w:hint="cs"/>
          <w:rtl/>
        </w:rPr>
        <w:t>; עבור ה</w:t>
      </w:r>
      <w:r w:rsidRPr="003B2D4B">
        <w:rPr>
          <w:rFonts w:eastAsia="Calibri"/>
          <w:rtl/>
        </w:rPr>
        <w:t xml:space="preserve">ריבית </w:t>
      </w:r>
      <w:r w:rsidRPr="003B2D4B">
        <w:rPr>
          <w:rFonts w:eastAsia="Calibri" w:hint="cs"/>
          <w:rtl/>
        </w:rPr>
        <w:t xml:space="preserve">היא </w:t>
      </w:r>
      <w:r w:rsidR="00E80FBF">
        <w:rPr>
          <w:rFonts w:eastAsia="Calibri" w:hint="cs"/>
          <w:rtl/>
        </w:rPr>
        <w:t>דומה</w:t>
      </w:r>
      <w:r w:rsidRPr="003B2D4B">
        <w:rPr>
          <w:rFonts w:eastAsia="Calibri" w:hint="cs"/>
          <w:rtl/>
        </w:rPr>
        <w:t xml:space="preserve"> </w:t>
      </w:r>
      <w:r w:rsidRPr="003B2D4B">
        <w:rPr>
          <w:rFonts w:eastAsia="Calibri"/>
          <w:rtl/>
        </w:rPr>
        <w:t xml:space="preserve">לתחזית שוק ההון וגבוהה </w:t>
      </w:r>
      <w:r w:rsidRPr="003B2D4B">
        <w:rPr>
          <w:rFonts w:eastAsia="Calibri" w:hint="cs"/>
          <w:rtl/>
        </w:rPr>
        <w:t>ב-0.5</w:t>
      </w:r>
      <w:r w:rsidR="00911ACF">
        <w:rPr>
          <w:rFonts w:eastAsia="Calibri" w:hint="cs"/>
          <w:rtl/>
        </w:rPr>
        <w:t>/0.75</w:t>
      </w:r>
      <w:r w:rsidRPr="003B2D4B">
        <w:rPr>
          <w:rFonts w:eastAsia="Calibri" w:hint="cs"/>
          <w:rtl/>
        </w:rPr>
        <w:t xml:space="preserve"> נקודת האחוז </w:t>
      </w:r>
      <w:r w:rsidR="00A9347C">
        <w:rPr>
          <w:rFonts w:eastAsia="Calibri" w:hint="cs"/>
          <w:rtl/>
        </w:rPr>
        <w:t>מ</w:t>
      </w:r>
      <w:r w:rsidRPr="003B2D4B">
        <w:rPr>
          <w:rFonts w:eastAsia="Calibri"/>
          <w:rtl/>
        </w:rPr>
        <w:t>ממוצע החזאים.</w:t>
      </w:r>
    </w:p>
    <w:tbl>
      <w:tblPr>
        <w:tblStyle w:val="2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לוח 2"/>
        <w:tblDescription w:val="השוואת התחזיות לאינפלציה ולריבית לשנה הקרובה"/>
      </w:tblPr>
      <w:tblGrid>
        <w:gridCol w:w="1388"/>
        <w:gridCol w:w="2306"/>
        <w:gridCol w:w="2306"/>
        <w:gridCol w:w="2306"/>
      </w:tblGrid>
      <w:tr w:rsidR="003B2D4B" w:rsidRPr="003B2D4B" w14:paraId="3DF1CE6E" w14:textId="77777777" w:rsidTr="00860183">
        <w:trPr>
          <w:cantSplit/>
          <w:trHeight w:val="283"/>
          <w:tblHeader/>
          <w:jc w:val="center"/>
        </w:trPr>
        <w:tc>
          <w:tcPr>
            <w:tcW w:w="8306" w:type="dxa"/>
            <w:gridSpan w:val="4"/>
            <w:vAlign w:val="center"/>
          </w:tcPr>
          <w:p w14:paraId="38D97ED1" w14:textId="77777777" w:rsidR="003B2D4B" w:rsidRPr="003B2D4B" w:rsidRDefault="003B2D4B" w:rsidP="003B2D4B">
            <w:pPr>
              <w:keepNext/>
              <w:keepLines/>
              <w:spacing w:after="200"/>
              <w:ind w:left="113"/>
              <w:jc w:val="center"/>
              <w:rPr>
                <w:rFonts w:eastAsia="Calibri"/>
                <w:b/>
                <w:bCs/>
                <w:color w:val="4F81BD"/>
                <w:rtl/>
              </w:rPr>
            </w:pPr>
            <w:bookmarkStart w:id="0" w:name="_Ref503164928"/>
            <w:r w:rsidRPr="003B2D4B">
              <w:rPr>
                <w:rFonts w:eastAsia="Calibri"/>
                <w:b/>
                <w:bCs/>
              </w:rPr>
              <w:br w:type="page"/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t xml:space="preserve">לוח </w:t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fldChar w:fldCharType="begin"/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instrText xml:space="preserve"> </w:instrText>
            </w:r>
            <w:r w:rsidRPr="003B2D4B">
              <w:rPr>
                <w:rFonts w:eastAsia="Calibri"/>
                <w:b/>
                <w:bCs/>
                <w:color w:val="4F81BD"/>
              </w:rPr>
              <w:instrText>SEQ</w:instrText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instrText xml:space="preserve"> לוח \* </w:instrText>
            </w:r>
            <w:r w:rsidRPr="003B2D4B">
              <w:rPr>
                <w:rFonts w:eastAsia="Calibri"/>
                <w:b/>
                <w:bCs/>
                <w:color w:val="4F81BD"/>
              </w:rPr>
              <w:instrText>ARABIC</w:instrText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instrText xml:space="preserve"> </w:instrText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fldChar w:fldCharType="separate"/>
            </w:r>
            <w:r w:rsidRPr="003B2D4B">
              <w:rPr>
                <w:rFonts w:eastAsia="Calibri"/>
                <w:b/>
                <w:bCs/>
                <w:noProof/>
                <w:color w:val="4F81BD"/>
                <w:rtl/>
              </w:rPr>
              <w:t>2</w:t>
            </w:r>
            <w:r w:rsidRPr="003B2D4B">
              <w:rPr>
                <w:rFonts w:eastAsia="Calibri"/>
                <w:b/>
                <w:bCs/>
                <w:color w:val="4F81BD"/>
                <w:rtl/>
              </w:rPr>
              <w:fldChar w:fldCharType="end"/>
            </w:r>
            <w:bookmarkEnd w:id="0"/>
          </w:p>
          <w:p w14:paraId="0AE2E82D" w14:textId="77777777" w:rsidR="003B2D4B" w:rsidRPr="003B2D4B" w:rsidRDefault="003B2D4B" w:rsidP="003B2D4B">
            <w:pPr>
              <w:keepNext/>
              <w:keepLines/>
              <w:spacing w:after="200"/>
              <w:ind w:left="113"/>
              <w:jc w:val="center"/>
              <w:rPr>
                <w:rFonts w:eastAsia="Calibri"/>
                <w:color w:val="4F81BD"/>
                <w:rtl/>
              </w:rPr>
            </w:pPr>
            <w:r w:rsidRPr="003B2D4B">
              <w:rPr>
                <w:rFonts w:eastAsia="Calibri"/>
                <w:b/>
                <w:bCs/>
                <w:color w:val="4F81BD"/>
                <w:rtl/>
              </w:rPr>
              <w:t>התחזיות לגבי האינפלציה במהלך השנה הקרובה ולגבי הריבית בעוד שנה</w:t>
            </w:r>
            <w:r w:rsidRPr="003B2D4B">
              <w:rPr>
                <w:rFonts w:eastAsia="Calibri"/>
                <w:b/>
                <w:bCs/>
                <w:color w:val="4F81BD"/>
              </w:rPr>
              <w:t xml:space="preserve"> </w:t>
            </w:r>
            <w:r w:rsidRPr="003B2D4B">
              <w:rPr>
                <w:rFonts w:eastAsia="Calibri"/>
                <w:color w:val="4F81BD"/>
                <w:rtl/>
              </w:rPr>
              <w:t>(אחוזים)</w:t>
            </w:r>
          </w:p>
        </w:tc>
      </w:tr>
      <w:tr w:rsidR="003B2D4B" w:rsidRPr="003B2D4B" w14:paraId="248CF68E" w14:textId="77777777" w:rsidTr="00860183">
        <w:trPr>
          <w:cantSplit/>
          <w:trHeight w:val="283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8921C4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highlight w:val="yellow"/>
                <w:rtl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FA7A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/>
                <w:rtl/>
              </w:rPr>
              <w:t>חטיבת המחקר של בנק ישראל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5DC7B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/>
                <w:rtl/>
              </w:rPr>
              <w:t>שוק ההון</w:t>
            </w:r>
            <w:r w:rsidRPr="003B2D4B">
              <w:rPr>
                <w:rFonts w:eastAsia="Calibri"/>
                <w:vertAlign w:val="superscript"/>
                <w:rtl/>
              </w:rPr>
              <w:t>1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4EEE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vertAlign w:val="superscript"/>
                <w:rtl/>
              </w:rPr>
            </w:pPr>
            <w:r w:rsidRPr="003B2D4B">
              <w:rPr>
                <w:rFonts w:eastAsia="Calibri"/>
                <w:rtl/>
              </w:rPr>
              <w:t>החזאים הפרטיים</w:t>
            </w:r>
            <w:r w:rsidRPr="003B2D4B">
              <w:rPr>
                <w:rFonts w:eastAsia="Calibri"/>
                <w:vertAlign w:val="superscript"/>
                <w:rtl/>
              </w:rPr>
              <w:t>2</w:t>
            </w:r>
          </w:p>
          <w:p w14:paraId="62990CCD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/>
                <w:rtl/>
              </w:rPr>
              <w:t>(טווח התחזיות)</w:t>
            </w:r>
            <w:r w:rsidRPr="003B2D4B">
              <w:rPr>
                <w:rFonts w:eastAsia="Calibri" w:hint="cs"/>
                <w:vertAlign w:val="superscript"/>
                <w:rtl/>
              </w:rPr>
              <w:t xml:space="preserve"> </w:t>
            </w:r>
          </w:p>
        </w:tc>
      </w:tr>
      <w:tr w:rsidR="003B2D4B" w:rsidRPr="003B2D4B" w14:paraId="192814C7" w14:textId="77777777" w:rsidTr="00860183">
        <w:trPr>
          <w:cantSplit/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7682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both"/>
              <w:rPr>
                <w:rFonts w:eastAsia="Calibri"/>
                <w:rtl/>
              </w:rPr>
            </w:pPr>
            <w:r w:rsidRPr="003B2D4B">
              <w:rPr>
                <w:rFonts w:eastAsia="Calibri"/>
                <w:rtl/>
              </w:rPr>
              <w:t>האינפלציה</w:t>
            </w:r>
            <w:r w:rsidRPr="003B2D4B">
              <w:rPr>
                <w:rFonts w:eastAsia="Calibri"/>
                <w:vertAlign w:val="superscript"/>
                <w:rtl/>
              </w:rPr>
              <w:t>3</w:t>
            </w:r>
            <w:r w:rsidRPr="003B2D4B">
              <w:rPr>
                <w:rFonts w:eastAsia="Calibri"/>
                <w:rtl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E39A9" w14:textId="60425AD3" w:rsidR="003B2D4B" w:rsidRPr="003B2D4B" w:rsidRDefault="003B2D4B" w:rsidP="0087156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 w:hint="cs"/>
                <w:rtl/>
              </w:rPr>
              <w:t>3</w:t>
            </w:r>
            <w:r w:rsidR="00E80FBF">
              <w:rPr>
                <w:rFonts w:eastAsia="Calibri" w:hint="cs"/>
                <w:rtl/>
              </w:rPr>
              <w:t>.</w:t>
            </w:r>
            <w:r w:rsidR="0087156B">
              <w:rPr>
                <w:rFonts w:eastAsia="Calibri" w:hint="cs"/>
                <w:rtl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D978" w14:textId="0435EF35" w:rsidR="003B2D4B" w:rsidRPr="003B2D4B" w:rsidRDefault="002E316C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3.0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19899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 w:hint="cs"/>
                <w:rtl/>
              </w:rPr>
              <w:t>2.8</w:t>
            </w:r>
            <w:r w:rsidRPr="003B2D4B">
              <w:rPr>
                <w:rFonts w:eastAsia="Calibri"/>
                <w:rtl/>
              </w:rPr>
              <w:t xml:space="preserve"> (</w:t>
            </w:r>
            <w:r w:rsidRPr="003B2D4B">
              <w:rPr>
                <w:rFonts w:eastAsia="Calibri" w:hint="cs"/>
                <w:rtl/>
              </w:rPr>
              <w:t>2.4</w:t>
            </w:r>
            <w:r w:rsidRPr="003B2D4B">
              <w:rPr>
                <w:rFonts w:eastAsia="Calibri"/>
                <w:rtl/>
              </w:rPr>
              <w:t>—</w:t>
            </w:r>
            <w:r w:rsidRPr="003B2D4B">
              <w:rPr>
                <w:rFonts w:eastAsia="Calibri" w:hint="cs"/>
                <w:rtl/>
              </w:rPr>
              <w:t>3.4</w:t>
            </w:r>
            <w:r w:rsidRPr="003B2D4B">
              <w:rPr>
                <w:rFonts w:eastAsia="Calibri"/>
                <w:rtl/>
              </w:rPr>
              <w:t>)</w:t>
            </w:r>
          </w:p>
        </w:tc>
      </w:tr>
      <w:tr w:rsidR="003B2D4B" w:rsidRPr="003B2D4B" w14:paraId="28373854" w14:textId="77777777" w:rsidTr="00860183">
        <w:trPr>
          <w:cantSplit/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DF0D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both"/>
              <w:rPr>
                <w:rFonts w:eastAsia="Calibri"/>
                <w:vertAlign w:val="superscript"/>
                <w:rtl/>
              </w:rPr>
            </w:pPr>
            <w:r w:rsidRPr="003B2D4B">
              <w:rPr>
                <w:rFonts w:eastAsia="Calibri"/>
                <w:rtl/>
              </w:rPr>
              <w:t>הריבית</w:t>
            </w:r>
            <w:r w:rsidRPr="003B2D4B">
              <w:rPr>
                <w:rFonts w:eastAsia="Calibri"/>
                <w:vertAlign w:val="superscript"/>
                <w:rtl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B783" w14:textId="2325182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 w:hint="cs"/>
                <w:rtl/>
              </w:rPr>
              <w:t>4.75</w:t>
            </w:r>
            <w:r w:rsidR="00911ACF">
              <w:rPr>
                <w:rFonts w:eastAsia="Calibri" w:hint="cs"/>
                <w:rtl/>
              </w:rPr>
              <w:t>/5.0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AE27F" w14:textId="0DE97E83" w:rsidR="003B2D4B" w:rsidRPr="003B2D4B" w:rsidRDefault="003B2D4B" w:rsidP="003A36CA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 w:hint="cs"/>
                <w:rtl/>
              </w:rPr>
              <w:t>4</w:t>
            </w:r>
            <w:r w:rsidR="00E80FBF">
              <w:rPr>
                <w:rFonts w:eastAsia="Calibri" w:hint="cs"/>
                <w:rtl/>
              </w:rPr>
              <w:t>.</w:t>
            </w:r>
            <w:r w:rsidR="003A36CA">
              <w:rPr>
                <w:rFonts w:eastAsia="Calibri" w:hint="cs"/>
                <w:rtl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00E08" w14:textId="77777777" w:rsidR="003B2D4B" w:rsidRPr="003B2D4B" w:rsidRDefault="003B2D4B" w:rsidP="003B2D4B">
            <w:pPr>
              <w:keepNext/>
              <w:keepLines/>
              <w:spacing w:after="120"/>
              <w:ind w:left="113"/>
              <w:jc w:val="center"/>
              <w:rPr>
                <w:rFonts w:eastAsia="Calibri"/>
                <w:rtl/>
              </w:rPr>
            </w:pPr>
            <w:r w:rsidRPr="003B2D4B">
              <w:rPr>
                <w:rFonts w:eastAsia="Calibri" w:hint="cs"/>
                <w:rtl/>
              </w:rPr>
              <w:t>4.25</w:t>
            </w:r>
            <w:r w:rsidRPr="003B2D4B">
              <w:rPr>
                <w:rFonts w:eastAsia="Calibri"/>
                <w:rtl/>
              </w:rPr>
              <w:t xml:space="preserve"> (</w:t>
            </w:r>
            <w:r w:rsidRPr="003B2D4B">
              <w:rPr>
                <w:rFonts w:eastAsia="Calibri" w:hint="cs"/>
                <w:rtl/>
              </w:rPr>
              <w:t>3.0</w:t>
            </w:r>
            <w:r w:rsidRPr="003B2D4B">
              <w:rPr>
                <w:rFonts w:eastAsia="Calibri"/>
                <w:rtl/>
              </w:rPr>
              <w:t>—</w:t>
            </w:r>
            <w:r w:rsidRPr="003B2D4B">
              <w:rPr>
                <w:rFonts w:eastAsia="Calibri" w:hint="cs"/>
                <w:rtl/>
              </w:rPr>
              <w:t>4.75</w:t>
            </w:r>
            <w:r w:rsidRPr="003B2D4B">
              <w:rPr>
                <w:rFonts w:eastAsia="Calibri"/>
                <w:rtl/>
              </w:rPr>
              <w:t>)</w:t>
            </w:r>
          </w:p>
        </w:tc>
      </w:tr>
      <w:tr w:rsidR="003B2D4B" w:rsidRPr="003B2D4B" w14:paraId="1E06A941" w14:textId="77777777" w:rsidTr="00860183">
        <w:trPr>
          <w:cantSplit/>
          <w:trHeight w:val="283"/>
          <w:jc w:val="center"/>
        </w:trPr>
        <w:tc>
          <w:tcPr>
            <w:tcW w:w="8306" w:type="dxa"/>
            <w:gridSpan w:val="4"/>
            <w:tcBorders>
              <w:top w:val="single" w:sz="4" w:space="0" w:color="auto"/>
            </w:tcBorders>
            <w:vAlign w:val="center"/>
          </w:tcPr>
          <w:p w14:paraId="6978A5CF" w14:textId="05E0C845" w:rsidR="003B2D4B" w:rsidRPr="003B2D4B" w:rsidRDefault="003B2D4B" w:rsidP="003C7EBC">
            <w:pPr>
              <w:keepNext/>
              <w:keepLines/>
              <w:numPr>
                <w:ilvl w:val="0"/>
                <w:numId w:val="3"/>
              </w:numPr>
              <w:spacing w:line="240" w:lineRule="auto"/>
              <w:ind w:left="426" w:hanging="284"/>
              <w:jc w:val="both"/>
              <w:rPr>
                <w:rFonts w:eastAsia="Calibri"/>
                <w:sz w:val="18"/>
                <w:szCs w:val="18"/>
              </w:rPr>
            </w:pPr>
            <w:r w:rsidRPr="003B2D4B">
              <w:rPr>
                <w:rFonts w:eastAsia="Calibri"/>
                <w:sz w:val="18"/>
                <w:szCs w:val="18"/>
                <w:rtl/>
              </w:rPr>
              <w:t>ציפיות האינפלציה מנוכות עונתיות (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נכון ל</w:t>
            </w:r>
            <w:r w:rsidR="003C7EBC">
              <w:rPr>
                <w:rFonts w:eastAsia="Calibri" w:hint="cs"/>
                <w:sz w:val="18"/>
                <w:szCs w:val="18"/>
                <w:rtl/>
              </w:rPr>
              <w:t>נתוני ה6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/7/2023</w:t>
            </w:r>
            <w:r w:rsidRPr="003B2D4B">
              <w:rPr>
                <w:rFonts w:eastAsia="Calibri"/>
                <w:sz w:val="18"/>
                <w:szCs w:val="18"/>
                <w:rtl/>
              </w:rPr>
              <w:t>).</w:t>
            </w:r>
          </w:p>
          <w:p w14:paraId="547DF859" w14:textId="77777777" w:rsidR="003B2D4B" w:rsidRPr="003B2D4B" w:rsidRDefault="003B2D4B" w:rsidP="003B2D4B">
            <w:pPr>
              <w:keepNext/>
              <w:keepLines/>
              <w:numPr>
                <w:ilvl w:val="0"/>
                <w:numId w:val="3"/>
              </w:numPr>
              <w:spacing w:line="240" w:lineRule="auto"/>
              <w:ind w:left="426" w:hanging="284"/>
              <w:jc w:val="both"/>
              <w:rPr>
                <w:rFonts w:eastAsia="Calibri"/>
                <w:sz w:val="18"/>
                <w:szCs w:val="18"/>
              </w:rPr>
            </w:pPr>
            <w:r w:rsidRPr="003B2D4B">
              <w:rPr>
                <w:rFonts w:eastAsia="Calibri"/>
                <w:sz w:val="18"/>
                <w:szCs w:val="18"/>
                <w:rtl/>
              </w:rPr>
              <w:t xml:space="preserve">התחזיות שפורסמו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לאחר</w:t>
            </w:r>
            <w:r w:rsidRPr="003B2D4B">
              <w:rPr>
                <w:rFonts w:eastAsia="Calibri"/>
                <w:sz w:val="18"/>
                <w:szCs w:val="18"/>
                <w:rtl/>
              </w:rPr>
              <w:t xml:space="preserve"> פרסום מדד המחירים לצרכן לחודש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מאי 2023</w:t>
            </w:r>
            <w:r w:rsidRPr="003B2D4B">
              <w:rPr>
                <w:rFonts w:eastAsia="Calibri"/>
                <w:sz w:val="18"/>
                <w:szCs w:val="18"/>
                <w:rtl/>
              </w:rPr>
              <w:t>.</w:t>
            </w:r>
          </w:p>
          <w:p w14:paraId="7FAD5BB9" w14:textId="77777777" w:rsidR="003B2D4B" w:rsidRPr="003B2D4B" w:rsidRDefault="003B2D4B" w:rsidP="003B2D4B">
            <w:pPr>
              <w:keepNext/>
              <w:keepLines/>
              <w:numPr>
                <w:ilvl w:val="0"/>
                <w:numId w:val="3"/>
              </w:numPr>
              <w:spacing w:line="240" w:lineRule="auto"/>
              <w:ind w:left="426" w:hanging="284"/>
              <w:jc w:val="both"/>
              <w:rPr>
                <w:rFonts w:eastAsia="Calibri"/>
                <w:sz w:val="18"/>
                <w:szCs w:val="18"/>
              </w:rPr>
            </w:pPr>
            <w:r w:rsidRPr="003B2D4B">
              <w:rPr>
                <w:rFonts w:eastAsia="Calibri"/>
                <w:sz w:val="18"/>
                <w:szCs w:val="18"/>
                <w:rtl/>
              </w:rPr>
              <w:t xml:space="preserve">חטיבת המחקר – בארבעת הרבעונים המסתיימים ברבעון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השני</w:t>
            </w:r>
            <w:r w:rsidRPr="003B2D4B">
              <w:rPr>
                <w:rFonts w:eastAsia="Calibri"/>
                <w:sz w:val="18"/>
                <w:szCs w:val="18"/>
                <w:rtl/>
              </w:rPr>
              <w:t xml:space="preserve"> של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2024</w:t>
            </w:r>
            <w:r w:rsidRPr="003B2D4B">
              <w:rPr>
                <w:rFonts w:eastAsia="Calibri"/>
                <w:sz w:val="18"/>
                <w:szCs w:val="18"/>
                <w:rtl/>
              </w:rPr>
              <w:t>.</w:t>
            </w:r>
          </w:p>
          <w:p w14:paraId="38A4CFE7" w14:textId="1931D159" w:rsidR="003B2D4B" w:rsidRPr="003B2D4B" w:rsidRDefault="003B2D4B" w:rsidP="003C7EBC">
            <w:pPr>
              <w:keepNext/>
              <w:keepLines/>
              <w:numPr>
                <w:ilvl w:val="0"/>
                <w:numId w:val="3"/>
              </w:numPr>
              <w:spacing w:line="240" w:lineRule="auto"/>
              <w:ind w:left="426" w:hanging="284"/>
              <w:jc w:val="both"/>
              <w:rPr>
                <w:rFonts w:eastAsia="Calibri"/>
                <w:sz w:val="18"/>
                <w:szCs w:val="18"/>
              </w:rPr>
            </w:pPr>
            <w:r w:rsidRPr="003B2D4B">
              <w:rPr>
                <w:rFonts w:eastAsia="Calibri"/>
                <w:sz w:val="18"/>
                <w:szCs w:val="18"/>
                <w:rtl/>
              </w:rPr>
              <w:t xml:space="preserve">חטיבת המחקר – הריבית הממוצעת ברבעון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השני</w:t>
            </w:r>
            <w:r w:rsidRPr="003B2D4B">
              <w:rPr>
                <w:rFonts w:eastAsia="Calibri"/>
                <w:sz w:val="18"/>
                <w:szCs w:val="18"/>
                <w:rtl/>
              </w:rPr>
              <w:t xml:space="preserve"> של 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2024</w:t>
            </w:r>
            <w:r w:rsidRPr="003B2D4B">
              <w:rPr>
                <w:rFonts w:eastAsia="Calibri"/>
                <w:sz w:val="18"/>
                <w:szCs w:val="18"/>
                <w:rtl/>
              </w:rPr>
              <w:t xml:space="preserve">. הציפיות משוק ההון מבוססות על שוק </w:t>
            </w:r>
            <w:proofErr w:type="spellStart"/>
            <w:r w:rsidRPr="003B2D4B">
              <w:rPr>
                <w:rFonts w:eastAsia="Calibri"/>
                <w:sz w:val="18"/>
                <w:szCs w:val="18"/>
                <w:rtl/>
              </w:rPr>
              <w:t>התלבור</w:t>
            </w:r>
            <w:proofErr w:type="spellEnd"/>
            <w:r w:rsidRPr="003B2D4B">
              <w:rPr>
                <w:rFonts w:eastAsia="Calibri"/>
                <w:sz w:val="18"/>
                <w:szCs w:val="18"/>
                <w:rtl/>
              </w:rPr>
              <w:t xml:space="preserve"> (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נכון ל</w:t>
            </w:r>
            <w:r w:rsidR="003C7EBC">
              <w:rPr>
                <w:rFonts w:eastAsia="Calibri" w:hint="cs"/>
                <w:sz w:val="18"/>
                <w:szCs w:val="18"/>
                <w:rtl/>
              </w:rPr>
              <w:t>נתוני ה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-</w:t>
            </w:r>
            <w:r w:rsidR="003C7EBC">
              <w:rPr>
                <w:rFonts w:eastAsia="Calibri" w:hint="cs"/>
                <w:sz w:val="18"/>
                <w:szCs w:val="18"/>
                <w:rtl/>
              </w:rPr>
              <w:t>6</w:t>
            </w:r>
            <w:r w:rsidRPr="003B2D4B">
              <w:rPr>
                <w:rFonts w:eastAsia="Calibri" w:hint="cs"/>
                <w:sz w:val="18"/>
                <w:szCs w:val="18"/>
                <w:rtl/>
              </w:rPr>
              <w:t>/7/2023</w:t>
            </w:r>
            <w:r w:rsidRPr="003B2D4B">
              <w:rPr>
                <w:rFonts w:eastAsia="Calibri"/>
                <w:sz w:val="18"/>
                <w:szCs w:val="18"/>
                <w:rtl/>
              </w:rPr>
              <w:t>).</w:t>
            </w:r>
          </w:p>
          <w:p w14:paraId="25C8A8F6" w14:textId="77777777" w:rsidR="003B2D4B" w:rsidRPr="003B2D4B" w:rsidRDefault="003B2D4B" w:rsidP="003B2D4B">
            <w:pPr>
              <w:keepNext/>
              <w:keepLines/>
              <w:spacing w:after="120"/>
              <w:ind w:left="423"/>
              <w:jc w:val="both"/>
              <w:rPr>
                <w:rFonts w:eastAsia="Calibri"/>
                <w:sz w:val="18"/>
                <w:szCs w:val="18"/>
                <w:highlight w:val="yellow"/>
                <w:rtl/>
              </w:rPr>
            </w:pPr>
            <w:r w:rsidRPr="003B2D4B">
              <w:rPr>
                <w:rFonts w:eastAsia="Calibri"/>
                <w:sz w:val="18"/>
                <w:szCs w:val="18"/>
                <w:rtl/>
              </w:rPr>
              <w:t xml:space="preserve"> המקור: בנק ישראל.</w:t>
            </w:r>
          </w:p>
        </w:tc>
      </w:tr>
    </w:tbl>
    <w:p w14:paraId="0097EBD3" w14:textId="77777777" w:rsidR="003B2D4B" w:rsidRPr="003B2D4B" w:rsidRDefault="003B2D4B" w:rsidP="00910C95">
      <w:pPr>
        <w:pStyle w:val="a"/>
        <w:rPr>
          <w:rtl/>
        </w:rPr>
      </w:pPr>
      <w:r w:rsidRPr="003B2D4B">
        <w:rPr>
          <w:rtl/>
        </w:rPr>
        <w:t>הסיכונים העיקריים לתחזית</w:t>
      </w:r>
    </w:p>
    <w:p w14:paraId="72B92425" w14:textId="02F01FDB" w:rsidR="0087156B" w:rsidRDefault="0087156B" w:rsidP="001475E5">
      <w:pPr>
        <w:spacing w:after="120"/>
        <w:jc w:val="both"/>
        <w:rPr>
          <w:rFonts w:ascii="Calibri" w:eastAsia="Calibri" w:hAnsi="Calibri"/>
          <w:rtl/>
        </w:rPr>
      </w:pPr>
      <w:r w:rsidRPr="0087156B">
        <w:rPr>
          <w:rFonts w:ascii="Calibri" w:eastAsia="Calibri" w:hAnsi="Calibri" w:hint="cs"/>
          <w:rtl/>
        </w:rPr>
        <w:t xml:space="preserve">התחזית העדכנית </w:t>
      </w:r>
      <w:r w:rsidR="00911ACF">
        <w:rPr>
          <w:rFonts w:ascii="Calibri" w:eastAsia="Calibri" w:hAnsi="Calibri" w:hint="cs"/>
          <w:rtl/>
        </w:rPr>
        <w:t xml:space="preserve">מתבססת על </w:t>
      </w:r>
      <w:r w:rsidRPr="0087156B">
        <w:rPr>
          <w:rFonts w:ascii="Calibri" w:eastAsia="Calibri" w:hAnsi="Calibri" w:hint="cs"/>
          <w:rtl/>
        </w:rPr>
        <w:t xml:space="preserve"> תרחיש שהוצג בתחזית אפריל ובו ההתפתחויות במישור הפוליטי לא ישפיעו מכאן ואילך על הפעילות הכלכלית. </w:t>
      </w:r>
      <w:r w:rsidR="00911ACF" w:rsidRPr="0087156B">
        <w:rPr>
          <w:rFonts w:ascii="Calibri" w:eastAsia="Calibri" w:hAnsi="Calibri" w:hint="cs"/>
          <w:rtl/>
        </w:rPr>
        <w:t>סיכו</w:t>
      </w:r>
      <w:r w:rsidR="00911ACF">
        <w:rPr>
          <w:rFonts w:ascii="Calibri" w:eastAsia="Calibri" w:hAnsi="Calibri" w:hint="cs"/>
          <w:rtl/>
        </w:rPr>
        <w:t>ן מרכזי</w:t>
      </w:r>
      <w:r w:rsidR="00911ACF" w:rsidRPr="0087156B">
        <w:rPr>
          <w:rFonts w:ascii="Calibri" w:eastAsia="Calibri" w:hAnsi="Calibri" w:hint="cs"/>
          <w:rtl/>
        </w:rPr>
        <w:t xml:space="preserve"> </w:t>
      </w:r>
      <w:r w:rsidR="00911ACF">
        <w:rPr>
          <w:rFonts w:ascii="Calibri" w:eastAsia="Calibri" w:hAnsi="Calibri" w:hint="cs"/>
          <w:rtl/>
        </w:rPr>
        <w:t>הוא ש</w:t>
      </w:r>
      <w:r w:rsidRPr="0087156B">
        <w:rPr>
          <w:rFonts w:ascii="Calibri" w:eastAsia="Calibri" w:hAnsi="Calibri" w:hint="cs"/>
          <w:rtl/>
        </w:rPr>
        <w:t xml:space="preserve">שינויים </w:t>
      </w:r>
      <w:r w:rsidR="001475E5">
        <w:rPr>
          <w:rFonts w:ascii="Calibri" w:eastAsia="Calibri" w:hAnsi="Calibri" w:hint="cs"/>
          <w:rtl/>
        </w:rPr>
        <w:t>חקיקתיים</w:t>
      </w:r>
      <w:r w:rsidR="001475E5" w:rsidRPr="0087156B">
        <w:rPr>
          <w:rFonts w:ascii="Calibri" w:eastAsia="Calibri" w:hAnsi="Calibri" w:hint="cs"/>
          <w:rtl/>
        </w:rPr>
        <w:t xml:space="preserve"> </w:t>
      </w:r>
      <w:r w:rsidRPr="0087156B">
        <w:rPr>
          <w:rFonts w:ascii="Calibri" w:eastAsia="Calibri" w:hAnsi="Calibri" w:hint="cs"/>
          <w:rtl/>
        </w:rPr>
        <w:t xml:space="preserve">ומוסדיים </w:t>
      </w:r>
      <w:r w:rsidRPr="0087156B">
        <w:rPr>
          <w:rFonts w:eastAsia="Calibri" w:hint="cs"/>
          <w:rtl/>
        </w:rPr>
        <w:t>ילוו באחת או יותר מההתפתחויות הבאות: עלייה בפרמיית הסיכון של המדינה</w:t>
      </w:r>
      <w:r w:rsidR="00911ACF">
        <w:rPr>
          <w:rFonts w:eastAsia="Calibri" w:hint="cs"/>
          <w:rtl/>
        </w:rPr>
        <w:t xml:space="preserve"> שתלווה בפיחות של השקל</w:t>
      </w:r>
      <w:r w:rsidRPr="0087156B">
        <w:rPr>
          <w:rFonts w:eastAsia="Calibri" w:hint="cs"/>
          <w:rtl/>
        </w:rPr>
        <w:t>, פגיעה ביצוא, ירידה בהשקעות המקומיות וביקוש לצריכה פרטית.</w:t>
      </w:r>
      <w:r w:rsidRPr="0087156B">
        <w:rPr>
          <w:rFonts w:ascii="Calibri" w:eastAsia="Calibri" w:hAnsi="Calibri" w:hint="cs"/>
          <w:rtl/>
        </w:rPr>
        <w:t xml:space="preserve"> ההשפעות האפשריות של התפתחויות אלו </w:t>
      </w:r>
      <w:r w:rsidRPr="0087156B">
        <w:rPr>
          <w:rFonts w:ascii="Calibri" w:eastAsia="Calibri" w:hAnsi="Calibri" w:hint="eastAsia"/>
          <w:rtl/>
        </w:rPr>
        <w:t xml:space="preserve">– </w:t>
      </w:r>
      <w:r w:rsidRPr="0087156B">
        <w:rPr>
          <w:rFonts w:ascii="Calibri" w:eastAsia="Calibri" w:hAnsi="Calibri" w:hint="cs"/>
          <w:rtl/>
        </w:rPr>
        <w:t xml:space="preserve">על הצמיחה, האינפלציה, שער החליפין והריבית במשק </w:t>
      </w:r>
      <w:r w:rsidRPr="0087156B">
        <w:rPr>
          <w:rFonts w:ascii="Calibri" w:eastAsia="Calibri" w:hAnsi="Calibri" w:hint="eastAsia"/>
          <w:rtl/>
        </w:rPr>
        <w:t>–</w:t>
      </w:r>
      <w:r w:rsidRPr="0087156B">
        <w:rPr>
          <w:rFonts w:ascii="Calibri" w:eastAsia="Calibri" w:hAnsi="Calibri" w:hint="cs"/>
          <w:rtl/>
        </w:rPr>
        <w:t xml:space="preserve"> מפורטות בלוח 3 בהודעת התחזית באפריל.</w:t>
      </w:r>
    </w:p>
    <w:p w14:paraId="3DCE4851" w14:textId="18FE49A2" w:rsidR="003B2D4B" w:rsidRPr="003B2D4B" w:rsidRDefault="003B2D4B" w:rsidP="00B72989">
      <w:pPr>
        <w:spacing w:after="120"/>
        <w:jc w:val="both"/>
        <w:rPr>
          <w:rFonts w:ascii="Calibri" w:eastAsia="Calibri" w:hAnsi="Calibri"/>
          <w:rtl/>
        </w:rPr>
      </w:pPr>
      <w:r w:rsidRPr="003B2D4B">
        <w:rPr>
          <w:rFonts w:ascii="Calibri" w:eastAsia="Calibri" w:hAnsi="Calibri"/>
          <w:rtl/>
        </w:rPr>
        <w:t>גורם סיכון נוסף לתחזית הוא האינפלציה בחו"ל. זו צפויה להתכנס לסביבה של כ-2% בתקופת התחזית. יחד עם זאת, לאור קצב ירידה איטי יחסית של האינפלציה במחירי השירותים</w:t>
      </w:r>
      <w:r w:rsidR="00B72989" w:rsidRPr="00B72989">
        <w:rPr>
          <w:rFonts w:ascii="Calibri" w:eastAsia="Calibri" w:hAnsi="Calibri"/>
          <w:rtl/>
        </w:rPr>
        <w:t xml:space="preserve"> בארה"ב ובגוש האירו</w:t>
      </w:r>
      <w:r w:rsidRPr="003B2D4B">
        <w:rPr>
          <w:rFonts w:ascii="Calibri" w:eastAsia="Calibri" w:hAnsi="Calibri"/>
          <w:rtl/>
        </w:rPr>
        <w:t xml:space="preserve">, קיים </w:t>
      </w:r>
      <w:r w:rsidR="00B72989" w:rsidRPr="003B2D4B">
        <w:rPr>
          <w:rFonts w:ascii="Calibri" w:eastAsia="Calibri" w:hAnsi="Calibri"/>
          <w:rtl/>
        </w:rPr>
        <w:t>סיכו</w:t>
      </w:r>
      <w:r w:rsidR="00B72989">
        <w:rPr>
          <w:rFonts w:ascii="Calibri" w:eastAsia="Calibri" w:hAnsi="Calibri" w:hint="cs"/>
          <w:rtl/>
        </w:rPr>
        <w:t>ן</w:t>
      </w:r>
      <w:r w:rsidR="00B72989" w:rsidRPr="003B2D4B">
        <w:rPr>
          <w:rFonts w:ascii="Calibri" w:eastAsia="Calibri" w:hAnsi="Calibri"/>
          <w:rtl/>
        </w:rPr>
        <w:t xml:space="preserve"> </w:t>
      </w:r>
      <w:r w:rsidRPr="003B2D4B">
        <w:rPr>
          <w:rFonts w:ascii="Calibri" w:eastAsia="Calibri" w:hAnsi="Calibri"/>
          <w:rtl/>
        </w:rPr>
        <w:t>כי קצב ההתכנסות יהיה איטי מהנחתנו בתחזית ויתרום לאינפלציה מקומית גבוהה יותר ולמדיניות מוניטרית מרסנת יותר.</w:t>
      </w:r>
    </w:p>
    <w:p w14:paraId="31B52E13" w14:textId="3C65F551" w:rsidR="00DF79C7" w:rsidRPr="00FA0F94" w:rsidRDefault="003B2D4B" w:rsidP="00FA0F94">
      <w:pPr>
        <w:spacing w:after="120"/>
        <w:jc w:val="both"/>
        <w:rPr>
          <w:rFonts w:ascii="Calibri" w:eastAsia="Calibri" w:hAnsi="Calibri"/>
          <w:rtl/>
        </w:rPr>
      </w:pPr>
      <w:r w:rsidRPr="003B2D4B">
        <w:rPr>
          <w:rFonts w:ascii="Calibri" w:eastAsia="Calibri" w:hAnsi="Calibri" w:hint="cs"/>
          <w:rtl/>
        </w:rPr>
        <w:t>בתקופה האחרונה אנו עדים לירידה בהיקף הגיוסים להשקעות בחברות הזנק</w:t>
      </w:r>
      <w:r w:rsidR="00E8064F">
        <w:rPr>
          <w:rFonts w:ascii="Calibri" w:eastAsia="Calibri" w:hAnsi="Calibri" w:hint="cs"/>
          <w:rtl/>
        </w:rPr>
        <w:t xml:space="preserve"> בישראל</w:t>
      </w:r>
      <w:r w:rsidRPr="003B2D4B">
        <w:rPr>
          <w:rFonts w:ascii="Calibri" w:eastAsia="Calibri" w:hAnsi="Calibri" w:hint="cs"/>
          <w:rtl/>
        </w:rPr>
        <w:t xml:space="preserve">. ירידה זו ככל הנראה חזקה מהירידות בהשקעות הזנק בעולם, </w:t>
      </w:r>
      <w:r w:rsidR="00E8064F">
        <w:rPr>
          <w:rFonts w:ascii="Calibri" w:eastAsia="Calibri" w:hAnsi="Calibri" w:hint="cs"/>
          <w:rtl/>
        </w:rPr>
        <w:t>ש</w:t>
      </w:r>
      <w:r w:rsidRPr="003B2D4B">
        <w:rPr>
          <w:rFonts w:ascii="Calibri" w:eastAsia="Calibri" w:hAnsi="Calibri" w:hint="cs"/>
          <w:rtl/>
        </w:rPr>
        <w:t xml:space="preserve">אף </w:t>
      </w:r>
      <w:r w:rsidR="00E8064F">
        <w:rPr>
          <w:rFonts w:ascii="Calibri" w:eastAsia="Calibri" w:hAnsi="Calibri" w:hint="cs"/>
          <w:rtl/>
        </w:rPr>
        <w:t>מ</w:t>
      </w:r>
      <w:r w:rsidRPr="003B2D4B">
        <w:rPr>
          <w:rFonts w:ascii="Calibri" w:eastAsia="Calibri" w:hAnsi="Calibri" w:hint="cs"/>
          <w:rtl/>
        </w:rPr>
        <w:t xml:space="preserve">תאוששות </w:t>
      </w:r>
      <w:r w:rsidR="00E8064F">
        <w:rPr>
          <w:rFonts w:ascii="Calibri" w:eastAsia="Calibri" w:hAnsi="Calibri" w:hint="cs"/>
          <w:rtl/>
        </w:rPr>
        <w:t xml:space="preserve">במידה </w:t>
      </w:r>
      <w:r w:rsidRPr="003B2D4B">
        <w:rPr>
          <w:rFonts w:ascii="Calibri" w:eastAsia="Calibri" w:hAnsi="Calibri" w:hint="cs"/>
          <w:rtl/>
        </w:rPr>
        <w:t xml:space="preserve">מסוימת בניגוד להשקעות </w:t>
      </w:r>
      <w:proofErr w:type="spellStart"/>
      <w:r w:rsidRPr="003B2D4B">
        <w:rPr>
          <w:rFonts w:ascii="Calibri" w:eastAsia="Calibri" w:hAnsi="Calibri" w:hint="cs"/>
          <w:rtl/>
        </w:rPr>
        <w:t>ההזנק</w:t>
      </w:r>
      <w:proofErr w:type="spellEnd"/>
      <w:r w:rsidRPr="003B2D4B">
        <w:rPr>
          <w:rFonts w:ascii="Calibri" w:eastAsia="Calibri" w:hAnsi="Calibri" w:hint="cs"/>
          <w:rtl/>
        </w:rPr>
        <w:t xml:space="preserve"> בישראל. אמנם מדדי הפעילות השונים בתעשיית ההייט</w:t>
      </w:r>
      <w:r w:rsidRPr="003B2D4B">
        <w:rPr>
          <w:rFonts w:ascii="Calibri" w:eastAsia="Calibri" w:hAnsi="Calibri" w:hint="eastAsia"/>
          <w:rtl/>
        </w:rPr>
        <w:t>ק</w:t>
      </w:r>
      <w:r w:rsidRPr="003B2D4B">
        <w:rPr>
          <w:rFonts w:ascii="Calibri" w:eastAsia="Calibri" w:hAnsi="Calibri" w:hint="cs"/>
          <w:rtl/>
        </w:rPr>
        <w:t xml:space="preserve"> בישראל מצביעים על התמתנות </w:t>
      </w:r>
      <w:r w:rsidR="00E8064F">
        <w:rPr>
          <w:rFonts w:ascii="Calibri" w:eastAsia="Calibri" w:hAnsi="Calibri" w:hint="cs"/>
          <w:rtl/>
        </w:rPr>
        <w:t xml:space="preserve">קלה </w:t>
      </w:r>
      <w:r w:rsidRPr="003B2D4B">
        <w:rPr>
          <w:rFonts w:ascii="Calibri" w:eastAsia="Calibri" w:hAnsi="Calibri" w:hint="cs"/>
          <w:rtl/>
        </w:rPr>
        <w:t xml:space="preserve">בלבד, לאחר קצב צמיחה גבוה ב-2022, </w:t>
      </w:r>
      <w:r w:rsidR="002445CA">
        <w:rPr>
          <w:rFonts w:ascii="Calibri" w:eastAsia="Calibri" w:hAnsi="Calibri" w:hint="cs"/>
          <w:rtl/>
        </w:rPr>
        <w:t xml:space="preserve">אך </w:t>
      </w:r>
      <w:r w:rsidRPr="003B2D4B">
        <w:rPr>
          <w:rFonts w:ascii="Calibri" w:eastAsia="Calibri" w:hAnsi="Calibri" w:hint="cs"/>
          <w:rtl/>
        </w:rPr>
        <w:t xml:space="preserve">המשך ירידה בהשקעות </w:t>
      </w:r>
      <w:proofErr w:type="spellStart"/>
      <w:r w:rsidRPr="003B2D4B">
        <w:rPr>
          <w:rFonts w:ascii="Calibri" w:eastAsia="Calibri" w:hAnsi="Calibri" w:hint="cs"/>
          <w:rtl/>
        </w:rPr>
        <w:t>ההזנק</w:t>
      </w:r>
      <w:proofErr w:type="spellEnd"/>
      <w:r w:rsidRPr="003B2D4B">
        <w:rPr>
          <w:rFonts w:ascii="Calibri" w:eastAsia="Calibri" w:hAnsi="Calibri" w:hint="cs"/>
          <w:rtl/>
        </w:rPr>
        <w:t xml:space="preserve"> מהווה סיכון לתחזית הצמיחה.</w:t>
      </w:r>
      <w:bookmarkStart w:id="1" w:name="_GoBack"/>
      <w:bookmarkEnd w:id="1"/>
    </w:p>
    <w:sectPr w:rsidR="00DF79C7" w:rsidRPr="00FA0F94" w:rsidSect="00E55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F9912" w16cid:durableId="27D3237B"/>
  <w16cid:commentId w16cid:paraId="455E68FC" w16cid:durableId="27D3260D"/>
  <w16cid:commentId w16cid:paraId="5DE6390C" w16cid:durableId="27D32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F7F7E" w14:textId="77777777" w:rsidR="00BE6911" w:rsidRDefault="00BE6911" w:rsidP="00A251DD">
      <w:pPr>
        <w:spacing w:line="240" w:lineRule="auto"/>
      </w:pPr>
      <w:r>
        <w:separator/>
      </w:r>
    </w:p>
  </w:endnote>
  <w:endnote w:type="continuationSeparator" w:id="0">
    <w:p w14:paraId="72ED72C0" w14:textId="77777777" w:rsidR="00BE6911" w:rsidRDefault="00BE6911" w:rsidP="00A25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8B5D" w14:textId="77777777" w:rsidR="00FA0F94" w:rsidRDefault="00FA0F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916B" w14:textId="77777777" w:rsidR="00D250D7" w:rsidRPr="00FA0F94" w:rsidRDefault="00D250D7" w:rsidP="00FA0F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0E51" w14:textId="77777777" w:rsidR="00FA0F94" w:rsidRDefault="00FA0F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C39D" w14:textId="77777777" w:rsidR="00BE6911" w:rsidRDefault="00BE6911" w:rsidP="00A251DD">
      <w:pPr>
        <w:spacing w:line="240" w:lineRule="auto"/>
      </w:pPr>
      <w:r>
        <w:separator/>
      </w:r>
    </w:p>
  </w:footnote>
  <w:footnote w:type="continuationSeparator" w:id="0">
    <w:p w14:paraId="3DE254AE" w14:textId="77777777" w:rsidR="00BE6911" w:rsidRDefault="00BE6911" w:rsidP="00A251DD">
      <w:pPr>
        <w:spacing w:line="240" w:lineRule="auto"/>
      </w:pPr>
      <w:r>
        <w:continuationSeparator/>
      </w:r>
    </w:p>
  </w:footnote>
  <w:footnote w:id="1">
    <w:p w14:paraId="4B6DBED0" w14:textId="77777777" w:rsidR="003B2D4B" w:rsidRPr="00355EB1" w:rsidRDefault="003B2D4B" w:rsidP="004A246E">
      <w:pPr>
        <w:pStyle w:val="a4"/>
        <w:spacing w:before="60"/>
        <w:ind w:left="19"/>
        <w:rPr>
          <w:sz w:val="18"/>
          <w:szCs w:val="18"/>
          <w:rtl/>
        </w:rPr>
      </w:pPr>
      <w:r w:rsidRPr="00355EB1">
        <w:rPr>
          <w:rStyle w:val="a6"/>
        </w:rPr>
        <w:footnoteRef/>
      </w:r>
      <w:r w:rsidRPr="00355EB1">
        <w:rPr>
          <w:rtl/>
        </w:rPr>
        <w:t xml:space="preserve"> התחזית </w:t>
      </w:r>
      <w:r w:rsidR="004A246E">
        <w:rPr>
          <w:rFonts w:hint="cs"/>
          <w:rtl/>
        </w:rPr>
        <w:t>הוצגה</w:t>
      </w:r>
      <w:r w:rsidRPr="00355EB1">
        <w:rPr>
          <w:rtl/>
        </w:rPr>
        <w:t xml:space="preserve"> לוועדה המוניטרית ב-</w:t>
      </w:r>
      <w:r>
        <w:rPr>
          <w:rFonts w:hint="cs"/>
          <w:rtl/>
        </w:rPr>
        <w:t>9/7/2023</w:t>
      </w:r>
      <w:r w:rsidRPr="00355EB1">
        <w:rPr>
          <w:rtl/>
        </w:rPr>
        <w:t xml:space="preserve">, לקראת החלטת הריבית </w:t>
      </w:r>
      <w:r w:rsidR="004A246E">
        <w:rPr>
          <w:rFonts w:hint="cs"/>
          <w:rtl/>
        </w:rPr>
        <w:t>שה</w:t>
      </w:r>
      <w:r>
        <w:rPr>
          <w:rFonts w:hint="cs"/>
          <w:rtl/>
        </w:rPr>
        <w:t>תקבל</w:t>
      </w:r>
      <w:r w:rsidR="004A246E">
        <w:rPr>
          <w:rFonts w:hint="cs"/>
          <w:rtl/>
        </w:rPr>
        <w:t>ה</w:t>
      </w:r>
      <w:r w:rsidRPr="00355EB1">
        <w:rPr>
          <w:rtl/>
        </w:rPr>
        <w:t xml:space="preserve"> ב-</w:t>
      </w:r>
      <w:r>
        <w:rPr>
          <w:rFonts w:hint="cs"/>
          <w:rtl/>
        </w:rPr>
        <w:t>10/7/2023</w:t>
      </w:r>
      <w:r w:rsidRPr="00355EB1">
        <w:rPr>
          <w:rtl/>
        </w:rPr>
        <w:t>.</w:t>
      </w:r>
    </w:p>
  </w:footnote>
  <w:footnote w:id="2">
    <w:p w14:paraId="37A5D1C5" w14:textId="5102C137" w:rsidR="0087156B" w:rsidRDefault="0087156B" w:rsidP="001475E5">
      <w:pPr>
        <w:pStyle w:val="a4"/>
      </w:pPr>
      <w:r w:rsidRPr="0087156B">
        <w:rPr>
          <w:rStyle w:val="a6"/>
        </w:rPr>
        <w:footnoteRef/>
      </w:r>
      <w:r w:rsidRPr="0087156B">
        <w:rPr>
          <w:rtl/>
        </w:rPr>
        <w:t xml:space="preserve"> </w:t>
      </w:r>
      <w:r w:rsidRPr="0087156B">
        <w:rPr>
          <w:rFonts w:hint="cs"/>
          <w:rtl/>
        </w:rPr>
        <w:t xml:space="preserve">בתחזית מאפריל 2023 הוצג ניתוח מפורט על בסיס תרחיש שניתח את ההשלכות הכלכליות האפשריות במידה ששינויים </w:t>
      </w:r>
      <w:r w:rsidR="001475E5">
        <w:rPr>
          <w:rFonts w:hint="cs"/>
          <w:rtl/>
        </w:rPr>
        <w:t>חקיקתיים</w:t>
      </w:r>
      <w:r w:rsidR="001475E5" w:rsidRPr="0087156B">
        <w:rPr>
          <w:rFonts w:hint="cs"/>
          <w:rtl/>
        </w:rPr>
        <w:t xml:space="preserve"> </w:t>
      </w:r>
      <w:r w:rsidRPr="0087156B">
        <w:rPr>
          <w:rFonts w:hint="cs"/>
          <w:rtl/>
        </w:rPr>
        <w:t>ומוסדיים ילוו בעלייה בפרמיית הסיכון של המדינה, בפגיעה ביצוא, ובירידה בהשקעות המקומיות ובביקוש לצריכה פרטית. תרחיש זה מוזכר בהמשך המסמך הנוכחי, בסעיף הסיכונים לתחזית.</w:t>
      </w:r>
    </w:p>
  </w:footnote>
  <w:footnote w:id="3">
    <w:p w14:paraId="4C3E0A34" w14:textId="77777777" w:rsidR="003B2D4B" w:rsidRPr="00355EB1" w:rsidRDefault="003B2D4B" w:rsidP="003B2D4B">
      <w:pPr>
        <w:pStyle w:val="a4"/>
        <w:spacing w:before="60"/>
      </w:pPr>
      <w:r w:rsidRPr="00355EB1">
        <w:rPr>
          <w:rStyle w:val="a6"/>
        </w:rPr>
        <w:footnoteRef/>
      </w:r>
      <w:r w:rsidRPr="00355EB1">
        <w:rPr>
          <w:rtl/>
        </w:rPr>
        <w:t xml:space="preserve"> </w:t>
      </w:r>
      <w:r w:rsidRPr="00355EB1">
        <w:rPr>
          <w:rtl/>
        </w:rPr>
        <w:t xml:space="preserve">ארבעת הרבעונים המסתיימים ברבעון </w:t>
      </w:r>
      <w:r>
        <w:rPr>
          <w:rFonts w:hint="cs"/>
          <w:rtl/>
        </w:rPr>
        <w:t>השני</w:t>
      </w:r>
      <w:r w:rsidRPr="00355EB1">
        <w:rPr>
          <w:rtl/>
        </w:rPr>
        <w:t xml:space="preserve"> של שנת </w:t>
      </w:r>
      <w:r>
        <w:rPr>
          <w:rFonts w:hint="cs"/>
          <w:rtl/>
        </w:rPr>
        <w:t>2024</w:t>
      </w:r>
      <w:r w:rsidRPr="00355EB1">
        <w:rPr>
          <w:rtl/>
        </w:rPr>
        <w:t>.</w:t>
      </w:r>
    </w:p>
  </w:footnote>
  <w:footnote w:id="4">
    <w:p w14:paraId="031A422A" w14:textId="77777777" w:rsidR="003B2D4B" w:rsidRPr="00355EB1" w:rsidRDefault="003B2D4B" w:rsidP="003B2D4B">
      <w:pPr>
        <w:pStyle w:val="a4"/>
        <w:spacing w:before="60"/>
        <w:ind w:left="5"/>
        <w:rPr>
          <w:rtl/>
        </w:rPr>
      </w:pPr>
      <w:r w:rsidRPr="00355EB1">
        <w:rPr>
          <w:vertAlign w:val="superscript"/>
        </w:rPr>
        <w:footnoteRef/>
      </w:r>
      <w:r w:rsidRPr="00355EB1">
        <w:rPr>
          <w:rtl/>
        </w:rPr>
        <w:t xml:space="preserve"> </w:t>
      </w:r>
      <w:r w:rsidRPr="00355EB1">
        <w:rPr>
          <w:rtl/>
        </w:rPr>
        <w:t>הסבר על התחזיות המקרו-כלכליות שחטיבת המחקר מגבשת, וכן סקירה של המודלים שהן מושתתות עליהם, מופיעים בדוח האינפלציה 31 (לרבעון השני של 2010), סעיף 3ג. נייר העבודה על מודל ה-</w:t>
      </w:r>
      <w:r w:rsidRPr="00355EB1">
        <w:t>DSGE</w:t>
      </w:r>
      <w:r w:rsidRPr="00355EB1">
        <w:rPr>
          <w:rtl/>
        </w:rPr>
        <w:t xml:space="preserve"> זמין באתר האינטרנט של בנק ישראל. כותרתו</w:t>
      </w:r>
    </w:p>
    <w:p w14:paraId="2168ED7F" w14:textId="78865C6F" w:rsidR="003B2D4B" w:rsidRPr="0070314E" w:rsidRDefault="00FA0F94" w:rsidP="00144A95">
      <w:pPr>
        <w:pStyle w:val="a4"/>
        <w:bidi w:val="0"/>
        <w:spacing w:before="60"/>
        <w:ind w:left="14"/>
        <w:rPr>
          <w:sz w:val="22"/>
          <w:szCs w:val="22"/>
        </w:rPr>
      </w:pPr>
      <w:hyperlink r:id="rId1" w:history="1">
        <w:r w:rsidR="00144A95" w:rsidRPr="00B8762E">
          <w:rPr>
            <w:rStyle w:val="Hyperlink"/>
          </w:rPr>
          <w:t>MOISE: A DSGE Model for the Israeli Economy, Discussion Paper No. 2012.06</w:t>
        </w:r>
      </w:hyperlink>
      <w:r w:rsidR="00144A95" w:rsidRPr="0070314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42EB" w14:textId="77777777" w:rsidR="00FA0F94" w:rsidRDefault="00FA0F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2360" w14:textId="77777777" w:rsidR="00FA0F94" w:rsidRDefault="00FA0F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DAC2E" w14:textId="77777777" w:rsidR="00FA0F94" w:rsidRDefault="00FA0F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2EEB"/>
    <w:multiLevelType w:val="hybridMultilevel"/>
    <w:tmpl w:val="606A40E0"/>
    <w:lvl w:ilvl="0" w:tplc="2BE8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A0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29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48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0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4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A3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6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03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42543E"/>
    <w:multiLevelType w:val="hybridMultilevel"/>
    <w:tmpl w:val="E24C07EE"/>
    <w:lvl w:ilvl="0" w:tplc="372C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2B1F0AC6"/>
    <w:multiLevelType w:val="hybridMultilevel"/>
    <w:tmpl w:val="E24C07EE"/>
    <w:lvl w:ilvl="0" w:tplc="372C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10071"/>
    <w:multiLevelType w:val="hybridMultilevel"/>
    <w:tmpl w:val="3DE8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4135"/>
    <w:multiLevelType w:val="hybridMultilevel"/>
    <w:tmpl w:val="79B21FE0"/>
    <w:lvl w:ilvl="0" w:tplc="2444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84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61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E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6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EF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4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8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91493A"/>
    <w:multiLevelType w:val="hybridMultilevel"/>
    <w:tmpl w:val="B156C040"/>
    <w:lvl w:ilvl="0" w:tplc="26CCA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312"/>
    <w:multiLevelType w:val="hybridMultilevel"/>
    <w:tmpl w:val="92741338"/>
    <w:lvl w:ilvl="0" w:tplc="AF560170">
      <w:start w:val="1"/>
      <w:numFmt w:val="hebrew1"/>
      <w:pStyle w:val="a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4B4E"/>
    <w:multiLevelType w:val="hybridMultilevel"/>
    <w:tmpl w:val="0D98E67C"/>
    <w:lvl w:ilvl="0" w:tplc="A656BCE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80D8D"/>
    <w:multiLevelType w:val="hybridMultilevel"/>
    <w:tmpl w:val="0EBC955C"/>
    <w:lvl w:ilvl="0" w:tplc="527816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4F5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E5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9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A9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A5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DD"/>
    <w:rsid w:val="00003BF9"/>
    <w:rsid w:val="000068E0"/>
    <w:rsid w:val="0000735D"/>
    <w:rsid w:val="00007FF1"/>
    <w:rsid w:val="00010A1A"/>
    <w:rsid w:val="00012770"/>
    <w:rsid w:val="000128C4"/>
    <w:rsid w:val="000140A1"/>
    <w:rsid w:val="0001410B"/>
    <w:rsid w:val="00014671"/>
    <w:rsid w:val="000158A4"/>
    <w:rsid w:val="00017851"/>
    <w:rsid w:val="00017EFE"/>
    <w:rsid w:val="000212A4"/>
    <w:rsid w:val="000257BE"/>
    <w:rsid w:val="00030942"/>
    <w:rsid w:val="000313DA"/>
    <w:rsid w:val="00033DC4"/>
    <w:rsid w:val="0003499A"/>
    <w:rsid w:val="00034CD4"/>
    <w:rsid w:val="00036836"/>
    <w:rsid w:val="0004226C"/>
    <w:rsid w:val="00044FB3"/>
    <w:rsid w:val="000452DE"/>
    <w:rsid w:val="00055A8E"/>
    <w:rsid w:val="00056509"/>
    <w:rsid w:val="0006073C"/>
    <w:rsid w:val="00065EC0"/>
    <w:rsid w:val="00067100"/>
    <w:rsid w:val="000673EB"/>
    <w:rsid w:val="000708EC"/>
    <w:rsid w:val="00070AA2"/>
    <w:rsid w:val="0007215C"/>
    <w:rsid w:val="00074ECD"/>
    <w:rsid w:val="00082E87"/>
    <w:rsid w:val="0008540A"/>
    <w:rsid w:val="00092791"/>
    <w:rsid w:val="0009311A"/>
    <w:rsid w:val="000935EE"/>
    <w:rsid w:val="0009452A"/>
    <w:rsid w:val="00095FA6"/>
    <w:rsid w:val="000968B9"/>
    <w:rsid w:val="000A1B1E"/>
    <w:rsid w:val="000A2727"/>
    <w:rsid w:val="000A2AAD"/>
    <w:rsid w:val="000B473B"/>
    <w:rsid w:val="000B5619"/>
    <w:rsid w:val="000B58F8"/>
    <w:rsid w:val="000B6DF5"/>
    <w:rsid w:val="000C0B04"/>
    <w:rsid w:val="000C19F1"/>
    <w:rsid w:val="000C534D"/>
    <w:rsid w:val="000C538C"/>
    <w:rsid w:val="000C689C"/>
    <w:rsid w:val="000C77FE"/>
    <w:rsid w:val="000C7C73"/>
    <w:rsid w:val="000D0802"/>
    <w:rsid w:val="000D237D"/>
    <w:rsid w:val="000D29F8"/>
    <w:rsid w:val="000D47DD"/>
    <w:rsid w:val="000D4B60"/>
    <w:rsid w:val="000D4FC3"/>
    <w:rsid w:val="000D6502"/>
    <w:rsid w:val="000D7DD6"/>
    <w:rsid w:val="000E0089"/>
    <w:rsid w:val="000E5174"/>
    <w:rsid w:val="000F39B8"/>
    <w:rsid w:val="000F3A26"/>
    <w:rsid w:val="000F6745"/>
    <w:rsid w:val="000F69F9"/>
    <w:rsid w:val="000F7C42"/>
    <w:rsid w:val="00101D7A"/>
    <w:rsid w:val="00110528"/>
    <w:rsid w:val="00117332"/>
    <w:rsid w:val="00124B07"/>
    <w:rsid w:val="001268A3"/>
    <w:rsid w:val="001314C5"/>
    <w:rsid w:val="00133B32"/>
    <w:rsid w:val="0013425B"/>
    <w:rsid w:val="001347E8"/>
    <w:rsid w:val="00143ED4"/>
    <w:rsid w:val="00144A95"/>
    <w:rsid w:val="00146C52"/>
    <w:rsid w:val="001475E5"/>
    <w:rsid w:val="00150D3D"/>
    <w:rsid w:val="00154401"/>
    <w:rsid w:val="00165837"/>
    <w:rsid w:val="00167735"/>
    <w:rsid w:val="00170AFB"/>
    <w:rsid w:val="001719A0"/>
    <w:rsid w:val="0017281C"/>
    <w:rsid w:val="0018118A"/>
    <w:rsid w:val="0018141F"/>
    <w:rsid w:val="001815FD"/>
    <w:rsid w:val="001833B6"/>
    <w:rsid w:val="00191669"/>
    <w:rsid w:val="00193186"/>
    <w:rsid w:val="00193D57"/>
    <w:rsid w:val="001A0240"/>
    <w:rsid w:val="001A02AE"/>
    <w:rsid w:val="001A1544"/>
    <w:rsid w:val="001A5266"/>
    <w:rsid w:val="001B17B9"/>
    <w:rsid w:val="001B3D16"/>
    <w:rsid w:val="001B6940"/>
    <w:rsid w:val="001B7808"/>
    <w:rsid w:val="001C0757"/>
    <w:rsid w:val="001C2B37"/>
    <w:rsid w:val="001C47C8"/>
    <w:rsid w:val="001C5E76"/>
    <w:rsid w:val="001C6A74"/>
    <w:rsid w:val="001D5AC0"/>
    <w:rsid w:val="001D5F16"/>
    <w:rsid w:val="001D7178"/>
    <w:rsid w:val="001E0411"/>
    <w:rsid w:val="001E051E"/>
    <w:rsid w:val="001E08D0"/>
    <w:rsid w:val="001E0C4B"/>
    <w:rsid w:val="001E324D"/>
    <w:rsid w:val="001E758C"/>
    <w:rsid w:val="001E79B3"/>
    <w:rsid w:val="001F0108"/>
    <w:rsid w:val="001F1F21"/>
    <w:rsid w:val="001F34DF"/>
    <w:rsid w:val="001F5B92"/>
    <w:rsid w:val="001F7D01"/>
    <w:rsid w:val="001F7E2B"/>
    <w:rsid w:val="002018FB"/>
    <w:rsid w:val="002034BD"/>
    <w:rsid w:val="0021202B"/>
    <w:rsid w:val="0021472D"/>
    <w:rsid w:val="00215275"/>
    <w:rsid w:val="00217B7E"/>
    <w:rsid w:val="00223474"/>
    <w:rsid w:val="002242D8"/>
    <w:rsid w:val="0022586C"/>
    <w:rsid w:val="00226794"/>
    <w:rsid w:val="002307B5"/>
    <w:rsid w:val="002311A2"/>
    <w:rsid w:val="002334F9"/>
    <w:rsid w:val="00234C56"/>
    <w:rsid w:val="00236DAC"/>
    <w:rsid w:val="00237A13"/>
    <w:rsid w:val="00241C40"/>
    <w:rsid w:val="002445CA"/>
    <w:rsid w:val="00244886"/>
    <w:rsid w:val="002452EC"/>
    <w:rsid w:val="00245574"/>
    <w:rsid w:val="00251690"/>
    <w:rsid w:val="00257CF1"/>
    <w:rsid w:val="0026071E"/>
    <w:rsid w:val="00260A4C"/>
    <w:rsid w:val="00264718"/>
    <w:rsid w:val="00264C50"/>
    <w:rsid w:val="0026727B"/>
    <w:rsid w:val="002757E1"/>
    <w:rsid w:val="00276CBE"/>
    <w:rsid w:val="002819E1"/>
    <w:rsid w:val="00281C96"/>
    <w:rsid w:val="00282A45"/>
    <w:rsid w:val="0028734E"/>
    <w:rsid w:val="00287F40"/>
    <w:rsid w:val="002924F8"/>
    <w:rsid w:val="002A2351"/>
    <w:rsid w:val="002B1436"/>
    <w:rsid w:val="002B3DEA"/>
    <w:rsid w:val="002B6066"/>
    <w:rsid w:val="002C05DF"/>
    <w:rsid w:val="002C065A"/>
    <w:rsid w:val="002C1D27"/>
    <w:rsid w:val="002C7EA3"/>
    <w:rsid w:val="002D105E"/>
    <w:rsid w:val="002D1BB8"/>
    <w:rsid w:val="002E1040"/>
    <w:rsid w:val="002E316C"/>
    <w:rsid w:val="002E3377"/>
    <w:rsid w:val="002F0052"/>
    <w:rsid w:val="002F00E8"/>
    <w:rsid w:val="002F0D08"/>
    <w:rsid w:val="002F110F"/>
    <w:rsid w:val="002F29C7"/>
    <w:rsid w:val="002F3141"/>
    <w:rsid w:val="002F3A66"/>
    <w:rsid w:val="002F77A4"/>
    <w:rsid w:val="00304DFB"/>
    <w:rsid w:val="00306B84"/>
    <w:rsid w:val="0030729B"/>
    <w:rsid w:val="0031343B"/>
    <w:rsid w:val="00315C97"/>
    <w:rsid w:val="003173E6"/>
    <w:rsid w:val="00327728"/>
    <w:rsid w:val="0033619A"/>
    <w:rsid w:val="00337410"/>
    <w:rsid w:val="00341DF7"/>
    <w:rsid w:val="0034469C"/>
    <w:rsid w:val="00345189"/>
    <w:rsid w:val="00350563"/>
    <w:rsid w:val="00351CE5"/>
    <w:rsid w:val="00355EB1"/>
    <w:rsid w:val="003624AB"/>
    <w:rsid w:val="003651E3"/>
    <w:rsid w:val="00372E78"/>
    <w:rsid w:val="003732FA"/>
    <w:rsid w:val="00373624"/>
    <w:rsid w:val="003745EA"/>
    <w:rsid w:val="003766A8"/>
    <w:rsid w:val="00376B00"/>
    <w:rsid w:val="0038049A"/>
    <w:rsid w:val="00382F39"/>
    <w:rsid w:val="003A124E"/>
    <w:rsid w:val="003A36CA"/>
    <w:rsid w:val="003A3C31"/>
    <w:rsid w:val="003A6331"/>
    <w:rsid w:val="003B0C32"/>
    <w:rsid w:val="003B2D4B"/>
    <w:rsid w:val="003B5362"/>
    <w:rsid w:val="003C478C"/>
    <w:rsid w:val="003C6E73"/>
    <w:rsid w:val="003C7EBC"/>
    <w:rsid w:val="003D0100"/>
    <w:rsid w:val="003D25DD"/>
    <w:rsid w:val="003E2DF1"/>
    <w:rsid w:val="003E5AE8"/>
    <w:rsid w:val="003E6A91"/>
    <w:rsid w:val="003F31F6"/>
    <w:rsid w:val="003F5CAB"/>
    <w:rsid w:val="0040135F"/>
    <w:rsid w:val="00403216"/>
    <w:rsid w:val="004052CC"/>
    <w:rsid w:val="00406545"/>
    <w:rsid w:val="0041290A"/>
    <w:rsid w:val="00413F44"/>
    <w:rsid w:val="00414F4F"/>
    <w:rsid w:val="00420C53"/>
    <w:rsid w:val="00423299"/>
    <w:rsid w:val="0042559D"/>
    <w:rsid w:val="00426231"/>
    <w:rsid w:val="0042647D"/>
    <w:rsid w:val="00427420"/>
    <w:rsid w:val="004306DE"/>
    <w:rsid w:val="004316BD"/>
    <w:rsid w:val="00433379"/>
    <w:rsid w:val="004358E2"/>
    <w:rsid w:val="0043619E"/>
    <w:rsid w:val="00437F72"/>
    <w:rsid w:val="00440741"/>
    <w:rsid w:val="00441F2D"/>
    <w:rsid w:val="00444F60"/>
    <w:rsid w:val="00445288"/>
    <w:rsid w:val="004458EC"/>
    <w:rsid w:val="0045469A"/>
    <w:rsid w:val="0045622C"/>
    <w:rsid w:val="00461719"/>
    <w:rsid w:val="00463ECF"/>
    <w:rsid w:val="004644B0"/>
    <w:rsid w:val="00467AFD"/>
    <w:rsid w:val="00467FDB"/>
    <w:rsid w:val="00470459"/>
    <w:rsid w:val="00471E2A"/>
    <w:rsid w:val="00476F0E"/>
    <w:rsid w:val="0048514F"/>
    <w:rsid w:val="00487B1F"/>
    <w:rsid w:val="00492A5E"/>
    <w:rsid w:val="00497E0E"/>
    <w:rsid w:val="004A246E"/>
    <w:rsid w:val="004A41CE"/>
    <w:rsid w:val="004A6F1A"/>
    <w:rsid w:val="004B13AC"/>
    <w:rsid w:val="004B266D"/>
    <w:rsid w:val="004B2DCD"/>
    <w:rsid w:val="004B2E27"/>
    <w:rsid w:val="004B384E"/>
    <w:rsid w:val="004B3D10"/>
    <w:rsid w:val="004B56A9"/>
    <w:rsid w:val="004B578E"/>
    <w:rsid w:val="004B5EA5"/>
    <w:rsid w:val="004B7E5F"/>
    <w:rsid w:val="004C1076"/>
    <w:rsid w:val="004C1A9C"/>
    <w:rsid w:val="004C4864"/>
    <w:rsid w:val="004C7610"/>
    <w:rsid w:val="004D1634"/>
    <w:rsid w:val="004D486C"/>
    <w:rsid w:val="004D4BAA"/>
    <w:rsid w:val="004E0101"/>
    <w:rsid w:val="004E0D63"/>
    <w:rsid w:val="004E1BA1"/>
    <w:rsid w:val="004E521B"/>
    <w:rsid w:val="004F08D7"/>
    <w:rsid w:val="004F14DA"/>
    <w:rsid w:val="004F4595"/>
    <w:rsid w:val="00500B27"/>
    <w:rsid w:val="00502E51"/>
    <w:rsid w:val="00505F20"/>
    <w:rsid w:val="00510260"/>
    <w:rsid w:val="00515FE6"/>
    <w:rsid w:val="00516AE9"/>
    <w:rsid w:val="00517BCE"/>
    <w:rsid w:val="0052249C"/>
    <w:rsid w:val="00537316"/>
    <w:rsid w:val="00537DE1"/>
    <w:rsid w:val="00541635"/>
    <w:rsid w:val="0054461F"/>
    <w:rsid w:val="00544C70"/>
    <w:rsid w:val="00546CEA"/>
    <w:rsid w:val="0055098B"/>
    <w:rsid w:val="005511F1"/>
    <w:rsid w:val="00553654"/>
    <w:rsid w:val="00553972"/>
    <w:rsid w:val="005558E7"/>
    <w:rsid w:val="005574AB"/>
    <w:rsid w:val="00560675"/>
    <w:rsid w:val="005630F0"/>
    <w:rsid w:val="00567014"/>
    <w:rsid w:val="005679E3"/>
    <w:rsid w:val="00567CCC"/>
    <w:rsid w:val="00573622"/>
    <w:rsid w:val="00574112"/>
    <w:rsid w:val="005762E9"/>
    <w:rsid w:val="005771C7"/>
    <w:rsid w:val="00581F0A"/>
    <w:rsid w:val="00586CE4"/>
    <w:rsid w:val="005919F9"/>
    <w:rsid w:val="0059244F"/>
    <w:rsid w:val="005964B4"/>
    <w:rsid w:val="00597143"/>
    <w:rsid w:val="005A6615"/>
    <w:rsid w:val="005B355D"/>
    <w:rsid w:val="005B44F6"/>
    <w:rsid w:val="005B5B0F"/>
    <w:rsid w:val="005B79A3"/>
    <w:rsid w:val="005C08D8"/>
    <w:rsid w:val="005C1024"/>
    <w:rsid w:val="005C2AD8"/>
    <w:rsid w:val="005C4B6C"/>
    <w:rsid w:val="005D00A1"/>
    <w:rsid w:val="005D367E"/>
    <w:rsid w:val="005D37B0"/>
    <w:rsid w:val="005D3AC3"/>
    <w:rsid w:val="005E404D"/>
    <w:rsid w:val="005E40B0"/>
    <w:rsid w:val="005E5EB2"/>
    <w:rsid w:val="005E7263"/>
    <w:rsid w:val="005F487B"/>
    <w:rsid w:val="006012B7"/>
    <w:rsid w:val="00601A3E"/>
    <w:rsid w:val="006036C9"/>
    <w:rsid w:val="0060584F"/>
    <w:rsid w:val="00606390"/>
    <w:rsid w:val="006068AC"/>
    <w:rsid w:val="00607051"/>
    <w:rsid w:val="006073A7"/>
    <w:rsid w:val="00607EFC"/>
    <w:rsid w:val="00612446"/>
    <w:rsid w:val="00615A4C"/>
    <w:rsid w:val="0062006E"/>
    <w:rsid w:val="00620140"/>
    <w:rsid w:val="006330EA"/>
    <w:rsid w:val="00634529"/>
    <w:rsid w:val="00641969"/>
    <w:rsid w:val="00644C01"/>
    <w:rsid w:val="00646CF2"/>
    <w:rsid w:val="006541F7"/>
    <w:rsid w:val="00657C22"/>
    <w:rsid w:val="00661BCD"/>
    <w:rsid w:val="00664256"/>
    <w:rsid w:val="00666B1B"/>
    <w:rsid w:val="00667FF8"/>
    <w:rsid w:val="00674640"/>
    <w:rsid w:val="0067553C"/>
    <w:rsid w:val="00676FC1"/>
    <w:rsid w:val="0068012A"/>
    <w:rsid w:val="00681EAC"/>
    <w:rsid w:val="0068257B"/>
    <w:rsid w:val="00684843"/>
    <w:rsid w:val="00684AD2"/>
    <w:rsid w:val="00685D09"/>
    <w:rsid w:val="00696560"/>
    <w:rsid w:val="006A20AC"/>
    <w:rsid w:val="006A2882"/>
    <w:rsid w:val="006A321B"/>
    <w:rsid w:val="006A40A0"/>
    <w:rsid w:val="006A42FE"/>
    <w:rsid w:val="006A4DC0"/>
    <w:rsid w:val="006B578F"/>
    <w:rsid w:val="006C0104"/>
    <w:rsid w:val="006C05BB"/>
    <w:rsid w:val="006C5D9F"/>
    <w:rsid w:val="006D0782"/>
    <w:rsid w:val="006D2089"/>
    <w:rsid w:val="006D41BA"/>
    <w:rsid w:val="006D5AA9"/>
    <w:rsid w:val="006D5ADF"/>
    <w:rsid w:val="006D64E5"/>
    <w:rsid w:val="006E1E5E"/>
    <w:rsid w:val="006E497F"/>
    <w:rsid w:val="006E4F43"/>
    <w:rsid w:val="006E780D"/>
    <w:rsid w:val="006F14DE"/>
    <w:rsid w:val="006F2115"/>
    <w:rsid w:val="006F3C9A"/>
    <w:rsid w:val="00701595"/>
    <w:rsid w:val="007053C5"/>
    <w:rsid w:val="00707422"/>
    <w:rsid w:val="007119A6"/>
    <w:rsid w:val="0071630A"/>
    <w:rsid w:val="0072259F"/>
    <w:rsid w:val="00723BDC"/>
    <w:rsid w:val="0072498F"/>
    <w:rsid w:val="00731B7B"/>
    <w:rsid w:val="00733581"/>
    <w:rsid w:val="007344A7"/>
    <w:rsid w:val="00744B08"/>
    <w:rsid w:val="007467F7"/>
    <w:rsid w:val="00750946"/>
    <w:rsid w:val="0075296A"/>
    <w:rsid w:val="00756A56"/>
    <w:rsid w:val="007600B9"/>
    <w:rsid w:val="00762018"/>
    <w:rsid w:val="00766607"/>
    <w:rsid w:val="007670A4"/>
    <w:rsid w:val="00767519"/>
    <w:rsid w:val="00770243"/>
    <w:rsid w:val="00780CCE"/>
    <w:rsid w:val="00780F21"/>
    <w:rsid w:val="007847A5"/>
    <w:rsid w:val="00792CF4"/>
    <w:rsid w:val="0079570B"/>
    <w:rsid w:val="0079635F"/>
    <w:rsid w:val="007A33B1"/>
    <w:rsid w:val="007A3A69"/>
    <w:rsid w:val="007A53CE"/>
    <w:rsid w:val="007A54B2"/>
    <w:rsid w:val="007A59DE"/>
    <w:rsid w:val="007B03CA"/>
    <w:rsid w:val="007B145F"/>
    <w:rsid w:val="007B4447"/>
    <w:rsid w:val="007B54A3"/>
    <w:rsid w:val="007B5A12"/>
    <w:rsid w:val="007B6C40"/>
    <w:rsid w:val="007C1271"/>
    <w:rsid w:val="007C56EF"/>
    <w:rsid w:val="007D21BB"/>
    <w:rsid w:val="007D41AC"/>
    <w:rsid w:val="007D5AC1"/>
    <w:rsid w:val="007E14C5"/>
    <w:rsid w:val="007E498F"/>
    <w:rsid w:val="0080085C"/>
    <w:rsid w:val="00817B97"/>
    <w:rsid w:val="0082045C"/>
    <w:rsid w:val="00822D64"/>
    <w:rsid w:val="008271A6"/>
    <w:rsid w:val="0083181A"/>
    <w:rsid w:val="008330F4"/>
    <w:rsid w:val="00846A78"/>
    <w:rsid w:val="0085486B"/>
    <w:rsid w:val="008558EA"/>
    <w:rsid w:val="00855C26"/>
    <w:rsid w:val="008563F7"/>
    <w:rsid w:val="00860E1A"/>
    <w:rsid w:val="00860EB9"/>
    <w:rsid w:val="00866D7A"/>
    <w:rsid w:val="0087156B"/>
    <w:rsid w:val="00871B3E"/>
    <w:rsid w:val="008728B3"/>
    <w:rsid w:val="00874BF4"/>
    <w:rsid w:val="00877955"/>
    <w:rsid w:val="00880CC0"/>
    <w:rsid w:val="008817C4"/>
    <w:rsid w:val="008826F8"/>
    <w:rsid w:val="008836C3"/>
    <w:rsid w:val="00886200"/>
    <w:rsid w:val="00887F9E"/>
    <w:rsid w:val="008902AC"/>
    <w:rsid w:val="0089217D"/>
    <w:rsid w:val="008936C0"/>
    <w:rsid w:val="00895A26"/>
    <w:rsid w:val="0089734F"/>
    <w:rsid w:val="008A0A61"/>
    <w:rsid w:val="008A1A6F"/>
    <w:rsid w:val="008A209C"/>
    <w:rsid w:val="008A329A"/>
    <w:rsid w:val="008A7FBE"/>
    <w:rsid w:val="008B1F76"/>
    <w:rsid w:val="008B3CDD"/>
    <w:rsid w:val="008C7D05"/>
    <w:rsid w:val="008D1F2F"/>
    <w:rsid w:val="008D2BE4"/>
    <w:rsid w:val="008D5444"/>
    <w:rsid w:val="008D5C57"/>
    <w:rsid w:val="008D65BD"/>
    <w:rsid w:val="008D75B2"/>
    <w:rsid w:val="008E1A53"/>
    <w:rsid w:val="008E2B5B"/>
    <w:rsid w:val="008E35AF"/>
    <w:rsid w:val="008E3FE2"/>
    <w:rsid w:val="008E4101"/>
    <w:rsid w:val="008E654C"/>
    <w:rsid w:val="008F2131"/>
    <w:rsid w:val="008F473E"/>
    <w:rsid w:val="008F51A2"/>
    <w:rsid w:val="008F602C"/>
    <w:rsid w:val="008F7D03"/>
    <w:rsid w:val="009102B7"/>
    <w:rsid w:val="00910C95"/>
    <w:rsid w:val="00911ACF"/>
    <w:rsid w:val="00912170"/>
    <w:rsid w:val="00914C85"/>
    <w:rsid w:val="009209BE"/>
    <w:rsid w:val="00923BE7"/>
    <w:rsid w:val="00924243"/>
    <w:rsid w:val="009250A8"/>
    <w:rsid w:val="00925767"/>
    <w:rsid w:val="0093180B"/>
    <w:rsid w:val="00932136"/>
    <w:rsid w:val="00932943"/>
    <w:rsid w:val="00934A8B"/>
    <w:rsid w:val="009364DF"/>
    <w:rsid w:val="0094477A"/>
    <w:rsid w:val="009451E2"/>
    <w:rsid w:val="00946E60"/>
    <w:rsid w:val="00947318"/>
    <w:rsid w:val="0095129D"/>
    <w:rsid w:val="00954696"/>
    <w:rsid w:val="009730D5"/>
    <w:rsid w:val="009778D0"/>
    <w:rsid w:val="00993084"/>
    <w:rsid w:val="0099498F"/>
    <w:rsid w:val="00994B2C"/>
    <w:rsid w:val="00996A2C"/>
    <w:rsid w:val="009970EF"/>
    <w:rsid w:val="009972D4"/>
    <w:rsid w:val="00997416"/>
    <w:rsid w:val="009975AA"/>
    <w:rsid w:val="009A05D6"/>
    <w:rsid w:val="009A765F"/>
    <w:rsid w:val="009B1625"/>
    <w:rsid w:val="009B2C88"/>
    <w:rsid w:val="009B459F"/>
    <w:rsid w:val="009B4B0E"/>
    <w:rsid w:val="009B5AF6"/>
    <w:rsid w:val="009D3119"/>
    <w:rsid w:val="009E054D"/>
    <w:rsid w:val="009E4BC2"/>
    <w:rsid w:val="009E7FFE"/>
    <w:rsid w:val="009F0382"/>
    <w:rsid w:val="009F0C7E"/>
    <w:rsid w:val="009F3C3E"/>
    <w:rsid w:val="009F55FB"/>
    <w:rsid w:val="009F5A81"/>
    <w:rsid w:val="009F6A0A"/>
    <w:rsid w:val="009F7B78"/>
    <w:rsid w:val="00A01994"/>
    <w:rsid w:val="00A038DC"/>
    <w:rsid w:val="00A13C8F"/>
    <w:rsid w:val="00A13E1D"/>
    <w:rsid w:val="00A148A1"/>
    <w:rsid w:val="00A161F8"/>
    <w:rsid w:val="00A174C4"/>
    <w:rsid w:val="00A17954"/>
    <w:rsid w:val="00A20DED"/>
    <w:rsid w:val="00A2178D"/>
    <w:rsid w:val="00A23D88"/>
    <w:rsid w:val="00A251DD"/>
    <w:rsid w:val="00A25BC5"/>
    <w:rsid w:val="00A261BC"/>
    <w:rsid w:val="00A2693F"/>
    <w:rsid w:val="00A271FF"/>
    <w:rsid w:val="00A27E9B"/>
    <w:rsid w:val="00A330A2"/>
    <w:rsid w:val="00A41ABC"/>
    <w:rsid w:val="00A41C39"/>
    <w:rsid w:val="00A4715E"/>
    <w:rsid w:val="00A4770F"/>
    <w:rsid w:val="00A53201"/>
    <w:rsid w:val="00A549ED"/>
    <w:rsid w:val="00A551AA"/>
    <w:rsid w:val="00A56081"/>
    <w:rsid w:val="00A670F4"/>
    <w:rsid w:val="00A7429B"/>
    <w:rsid w:val="00A774F1"/>
    <w:rsid w:val="00A82C59"/>
    <w:rsid w:val="00A82FCD"/>
    <w:rsid w:val="00A83EA7"/>
    <w:rsid w:val="00A86B23"/>
    <w:rsid w:val="00A86E56"/>
    <w:rsid w:val="00A87DFD"/>
    <w:rsid w:val="00A91966"/>
    <w:rsid w:val="00A9347C"/>
    <w:rsid w:val="00A93B74"/>
    <w:rsid w:val="00A94003"/>
    <w:rsid w:val="00A94E44"/>
    <w:rsid w:val="00A96B61"/>
    <w:rsid w:val="00AA0583"/>
    <w:rsid w:val="00AA1AE0"/>
    <w:rsid w:val="00AA55ED"/>
    <w:rsid w:val="00AA71B5"/>
    <w:rsid w:val="00AA7DF9"/>
    <w:rsid w:val="00AB56E6"/>
    <w:rsid w:val="00AC03E6"/>
    <w:rsid w:val="00AC14C9"/>
    <w:rsid w:val="00AD224A"/>
    <w:rsid w:val="00AD336E"/>
    <w:rsid w:val="00AD4C35"/>
    <w:rsid w:val="00AD5083"/>
    <w:rsid w:val="00AE5498"/>
    <w:rsid w:val="00AE6197"/>
    <w:rsid w:val="00AE7341"/>
    <w:rsid w:val="00AE73F6"/>
    <w:rsid w:val="00AF12C9"/>
    <w:rsid w:val="00AF1B74"/>
    <w:rsid w:val="00AF7261"/>
    <w:rsid w:val="00AF777E"/>
    <w:rsid w:val="00AF7A53"/>
    <w:rsid w:val="00B00419"/>
    <w:rsid w:val="00B00AB1"/>
    <w:rsid w:val="00B04FE8"/>
    <w:rsid w:val="00B103C5"/>
    <w:rsid w:val="00B133F5"/>
    <w:rsid w:val="00B15F8C"/>
    <w:rsid w:val="00B1740F"/>
    <w:rsid w:val="00B32672"/>
    <w:rsid w:val="00B34B24"/>
    <w:rsid w:val="00B35A80"/>
    <w:rsid w:val="00B40C3E"/>
    <w:rsid w:val="00B437E7"/>
    <w:rsid w:val="00B47017"/>
    <w:rsid w:val="00B51362"/>
    <w:rsid w:val="00B56081"/>
    <w:rsid w:val="00B5787B"/>
    <w:rsid w:val="00B57EF2"/>
    <w:rsid w:val="00B62F13"/>
    <w:rsid w:val="00B66D67"/>
    <w:rsid w:val="00B72989"/>
    <w:rsid w:val="00B74379"/>
    <w:rsid w:val="00B772AC"/>
    <w:rsid w:val="00B775BE"/>
    <w:rsid w:val="00B81CF8"/>
    <w:rsid w:val="00B81E10"/>
    <w:rsid w:val="00B81FD3"/>
    <w:rsid w:val="00B83ECC"/>
    <w:rsid w:val="00B85529"/>
    <w:rsid w:val="00B8762E"/>
    <w:rsid w:val="00B9169C"/>
    <w:rsid w:val="00B93525"/>
    <w:rsid w:val="00B93B5E"/>
    <w:rsid w:val="00B949E6"/>
    <w:rsid w:val="00B94D48"/>
    <w:rsid w:val="00BA0EFA"/>
    <w:rsid w:val="00BA1BAE"/>
    <w:rsid w:val="00BA26A8"/>
    <w:rsid w:val="00BA2E6A"/>
    <w:rsid w:val="00BA3AAE"/>
    <w:rsid w:val="00BB23F2"/>
    <w:rsid w:val="00BB4308"/>
    <w:rsid w:val="00BB518C"/>
    <w:rsid w:val="00BB5A75"/>
    <w:rsid w:val="00BB6435"/>
    <w:rsid w:val="00BB73C9"/>
    <w:rsid w:val="00BC5719"/>
    <w:rsid w:val="00BD5B7F"/>
    <w:rsid w:val="00BD7D43"/>
    <w:rsid w:val="00BE14CE"/>
    <w:rsid w:val="00BE1EFE"/>
    <w:rsid w:val="00BE3A87"/>
    <w:rsid w:val="00BE4E97"/>
    <w:rsid w:val="00BE6911"/>
    <w:rsid w:val="00BE7D71"/>
    <w:rsid w:val="00BF205F"/>
    <w:rsid w:val="00BF46A3"/>
    <w:rsid w:val="00C06C50"/>
    <w:rsid w:val="00C10C78"/>
    <w:rsid w:val="00C10D20"/>
    <w:rsid w:val="00C10E34"/>
    <w:rsid w:val="00C1516E"/>
    <w:rsid w:val="00C1535A"/>
    <w:rsid w:val="00C15681"/>
    <w:rsid w:val="00C15E8E"/>
    <w:rsid w:val="00C17E34"/>
    <w:rsid w:val="00C2069A"/>
    <w:rsid w:val="00C21328"/>
    <w:rsid w:val="00C21DF5"/>
    <w:rsid w:val="00C2267B"/>
    <w:rsid w:val="00C33232"/>
    <w:rsid w:val="00C34366"/>
    <w:rsid w:val="00C34F9E"/>
    <w:rsid w:val="00C365BD"/>
    <w:rsid w:val="00C41B0A"/>
    <w:rsid w:val="00C444B4"/>
    <w:rsid w:val="00C45063"/>
    <w:rsid w:val="00C458C6"/>
    <w:rsid w:val="00C47075"/>
    <w:rsid w:val="00C510CB"/>
    <w:rsid w:val="00C53805"/>
    <w:rsid w:val="00C553C1"/>
    <w:rsid w:val="00C5625E"/>
    <w:rsid w:val="00C56EFE"/>
    <w:rsid w:val="00C600D6"/>
    <w:rsid w:val="00C61DD4"/>
    <w:rsid w:val="00C63991"/>
    <w:rsid w:val="00C6452C"/>
    <w:rsid w:val="00C667DD"/>
    <w:rsid w:val="00C67005"/>
    <w:rsid w:val="00C7137B"/>
    <w:rsid w:val="00C7473D"/>
    <w:rsid w:val="00C75BB1"/>
    <w:rsid w:val="00C766D5"/>
    <w:rsid w:val="00C770F3"/>
    <w:rsid w:val="00C82182"/>
    <w:rsid w:val="00C82DCD"/>
    <w:rsid w:val="00C90122"/>
    <w:rsid w:val="00C910EE"/>
    <w:rsid w:val="00C91A73"/>
    <w:rsid w:val="00C92646"/>
    <w:rsid w:val="00C94178"/>
    <w:rsid w:val="00CA372A"/>
    <w:rsid w:val="00CA7616"/>
    <w:rsid w:val="00CB30C6"/>
    <w:rsid w:val="00CB5F93"/>
    <w:rsid w:val="00CB6EDF"/>
    <w:rsid w:val="00CC231D"/>
    <w:rsid w:val="00CD1489"/>
    <w:rsid w:val="00CD46B8"/>
    <w:rsid w:val="00CD5084"/>
    <w:rsid w:val="00CD7B40"/>
    <w:rsid w:val="00CE3F44"/>
    <w:rsid w:val="00CE5A49"/>
    <w:rsid w:val="00CE5F5F"/>
    <w:rsid w:val="00CE63E3"/>
    <w:rsid w:val="00CF06A4"/>
    <w:rsid w:val="00CF0A11"/>
    <w:rsid w:val="00CF2164"/>
    <w:rsid w:val="00CF2BAE"/>
    <w:rsid w:val="00CF3DA6"/>
    <w:rsid w:val="00CF491E"/>
    <w:rsid w:val="00CF608A"/>
    <w:rsid w:val="00CF7BF4"/>
    <w:rsid w:val="00D00F18"/>
    <w:rsid w:val="00D00FF6"/>
    <w:rsid w:val="00D11871"/>
    <w:rsid w:val="00D127EC"/>
    <w:rsid w:val="00D12CDE"/>
    <w:rsid w:val="00D140CA"/>
    <w:rsid w:val="00D222E8"/>
    <w:rsid w:val="00D22CED"/>
    <w:rsid w:val="00D23A7B"/>
    <w:rsid w:val="00D2444F"/>
    <w:rsid w:val="00D250D7"/>
    <w:rsid w:val="00D265DA"/>
    <w:rsid w:val="00D404CC"/>
    <w:rsid w:val="00D43F68"/>
    <w:rsid w:val="00D4596F"/>
    <w:rsid w:val="00D501DF"/>
    <w:rsid w:val="00D50CB8"/>
    <w:rsid w:val="00D50E0E"/>
    <w:rsid w:val="00D53E2A"/>
    <w:rsid w:val="00D54CD2"/>
    <w:rsid w:val="00D54F1E"/>
    <w:rsid w:val="00D566AE"/>
    <w:rsid w:val="00D650B0"/>
    <w:rsid w:val="00D658DC"/>
    <w:rsid w:val="00D73A39"/>
    <w:rsid w:val="00D754D1"/>
    <w:rsid w:val="00D75B11"/>
    <w:rsid w:val="00D7636E"/>
    <w:rsid w:val="00D77DE3"/>
    <w:rsid w:val="00D87029"/>
    <w:rsid w:val="00D91580"/>
    <w:rsid w:val="00DA105A"/>
    <w:rsid w:val="00DA4C7E"/>
    <w:rsid w:val="00DA7DCB"/>
    <w:rsid w:val="00DB07DF"/>
    <w:rsid w:val="00DB3290"/>
    <w:rsid w:val="00DC0F67"/>
    <w:rsid w:val="00DC1A7C"/>
    <w:rsid w:val="00DC2028"/>
    <w:rsid w:val="00DC2A45"/>
    <w:rsid w:val="00DC31D4"/>
    <w:rsid w:val="00DD0E28"/>
    <w:rsid w:val="00DD1128"/>
    <w:rsid w:val="00DD1A2D"/>
    <w:rsid w:val="00DD2707"/>
    <w:rsid w:val="00DD5483"/>
    <w:rsid w:val="00DE4867"/>
    <w:rsid w:val="00DE5941"/>
    <w:rsid w:val="00DE60AD"/>
    <w:rsid w:val="00DF0484"/>
    <w:rsid w:val="00DF72BD"/>
    <w:rsid w:val="00DF7907"/>
    <w:rsid w:val="00DF79C7"/>
    <w:rsid w:val="00DF7E2D"/>
    <w:rsid w:val="00E00263"/>
    <w:rsid w:val="00E02031"/>
    <w:rsid w:val="00E02CD4"/>
    <w:rsid w:val="00E0308D"/>
    <w:rsid w:val="00E03120"/>
    <w:rsid w:val="00E11F0A"/>
    <w:rsid w:val="00E17705"/>
    <w:rsid w:val="00E2463A"/>
    <w:rsid w:val="00E26B45"/>
    <w:rsid w:val="00E271D6"/>
    <w:rsid w:val="00E27540"/>
    <w:rsid w:val="00E3041D"/>
    <w:rsid w:val="00E3066A"/>
    <w:rsid w:val="00E31A7C"/>
    <w:rsid w:val="00E328ED"/>
    <w:rsid w:val="00E36186"/>
    <w:rsid w:val="00E37BEF"/>
    <w:rsid w:val="00E40DA8"/>
    <w:rsid w:val="00E4144C"/>
    <w:rsid w:val="00E41A26"/>
    <w:rsid w:val="00E4522D"/>
    <w:rsid w:val="00E46173"/>
    <w:rsid w:val="00E55323"/>
    <w:rsid w:val="00E572B5"/>
    <w:rsid w:val="00E574A2"/>
    <w:rsid w:val="00E57BF7"/>
    <w:rsid w:val="00E635CA"/>
    <w:rsid w:val="00E6536D"/>
    <w:rsid w:val="00E6643B"/>
    <w:rsid w:val="00E67AAC"/>
    <w:rsid w:val="00E8064F"/>
    <w:rsid w:val="00E80FBF"/>
    <w:rsid w:val="00E85E77"/>
    <w:rsid w:val="00E86578"/>
    <w:rsid w:val="00E86A08"/>
    <w:rsid w:val="00E900CD"/>
    <w:rsid w:val="00E9218E"/>
    <w:rsid w:val="00E93C56"/>
    <w:rsid w:val="00E95A3B"/>
    <w:rsid w:val="00EB79AD"/>
    <w:rsid w:val="00EC0F35"/>
    <w:rsid w:val="00EC4842"/>
    <w:rsid w:val="00EC56BA"/>
    <w:rsid w:val="00EC6CB4"/>
    <w:rsid w:val="00ED034A"/>
    <w:rsid w:val="00ED2A4B"/>
    <w:rsid w:val="00ED359A"/>
    <w:rsid w:val="00ED58BE"/>
    <w:rsid w:val="00ED68E4"/>
    <w:rsid w:val="00ED7744"/>
    <w:rsid w:val="00EE3A4C"/>
    <w:rsid w:val="00EE3A55"/>
    <w:rsid w:val="00EE5112"/>
    <w:rsid w:val="00EE7A5F"/>
    <w:rsid w:val="00EE7E32"/>
    <w:rsid w:val="00EF0E24"/>
    <w:rsid w:val="00EF3094"/>
    <w:rsid w:val="00EF581B"/>
    <w:rsid w:val="00EF6712"/>
    <w:rsid w:val="00EF72C5"/>
    <w:rsid w:val="00F00C6A"/>
    <w:rsid w:val="00F029EA"/>
    <w:rsid w:val="00F04810"/>
    <w:rsid w:val="00F11097"/>
    <w:rsid w:val="00F118CF"/>
    <w:rsid w:val="00F12558"/>
    <w:rsid w:val="00F1631B"/>
    <w:rsid w:val="00F2052C"/>
    <w:rsid w:val="00F23F78"/>
    <w:rsid w:val="00F249DC"/>
    <w:rsid w:val="00F24C58"/>
    <w:rsid w:val="00F41D34"/>
    <w:rsid w:val="00F445DC"/>
    <w:rsid w:val="00F46341"/>
    <w:rsid w:val="00F50EB9"/>
    <w:rsid w:val="00F52CA7"/>
    <w:rsid w:val="00F54DF4"/>
    <w:rsid w:val="00F57344"/>
    <w:rsid w:val="00F602B0"/>
    <w:rsid w:val="00F62318"/>
    <w:rsid w:val="00F627BC"/>
    <w:rsid w:val="00F632D7"/>
    <w:rsid w:val="00F64964"/>
    <w:rsid w:val="00F64AE5"/>
    <w:rsid w:val="00F66943"/>
    <w:rsid w:val="00F670E2"/>
    <w:rsid w:val="00F675CA"/>
    <w:rsid w:val="00F82C71"/>
    <w:rsid w:val="00F830CF"/>
    <w:rsid w:val="00F85901"/>
    <w:rsid w:val="00F87CAB"/>
    <w:rsid w:val="00F9077C"/>
    <w:rsid w:val="00F9447E"/>
    <w:rsid w:val="00F94EF7"/>
    <w:rsid w:val="00F97862"/>
    <w:rsid w:val="00FA0AB8"/>
    <w:rsid w:val="00FA0F94"/>
    <w:rsid w:val="00FA106B"/>
    <w:rsid w:val="00FA4BBB"/>
    <w:rsid w:val="00FB17BA"/>
    <w:rsid w:val="00FB3139"/>
    <w:rsid w:val="00FB7697"/>
    <w:rsid w:val="00FC041B"/>
    <w:rsid w:val="00FC1463"/>
    <w:rsid w:val="00FC171A"/>
    <w:rsid w:val="00FC3488"/>
    <w:rsid w:val="00FD6208"/>
    <w:rsid w:val="00FE01B4"/>
    <w:rsid w:val="00FE08AF"/>
    <w:rsid w:val="00FE2FA3"/>
    <w:rsid w:val="00FE3FC9"/>
    <w:rsid w:val="00FE5EC9"/>
    <w:rsid w:val="00FE6249"/>
    <w:rsid w:val="00FE706E"/>
    <w:rsid w:val="00FF023A"/>
    <w:rsid w:val="00FF318F"/>
    <w:rsid w:val="00FF491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461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0C95"/>
    <w:pPr>
      <w:bidi/>
      <w:spacing w:before="120" w:after="0" w:line="360" w:lineRule="auto"/>
      <w:contextualSpacing/>
    </w:pPr>
    <w:rPr>
      <w:rFonts w:ascii="David" w:hAnsi="David" w:cs="Davi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A251DD"/>
    <w:pPr>
      <w:spacing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1"/>
    <w:link w:val="a4"/>
    <w:uiPriority w:val="99"/>
    <w:semiHidden/>
    <w:rsid w:val="00A251DD"/>
    <w:rPr>
      <w:sz w:val="20"/>
      <w:szCs w:val="20"/>
    </w:rPr>
  </w:style>
  <w:style w:type="character" w:styleId="a6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a1"/>
    <w:uiPriority w:val="99"/>
    <w:unhideWhenUsed/>
    <w:rsid w:val="00A251DD"/>
    <w:rPr>
      <w:vertAlign w:val="superscript"/>
    </w:rPr>
  </w:style>
  <w:style w:type="table" w:customStyle="1" w:styleId="2">
    <w:name w:val="טבלת רשת2"/>
    <w:basedOn w:val="a2"/>
    <w:next w:val="a7"/>
    <w:rsid w:val="00A251D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A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251DD"/>
    <w:pPr>
      <w:bidi/>
      <w:spacing w:after="0" w:line="240" w:lineRule="auto"/>
    </w:pPr>
  </w:style>
  <w:style w:type="paragraph" w:styleId="a9">
    <w:name w:val="header"/>
    <w:basedOn w:val="a0"/>
    <w:link w:val="aa"/>
    <w:uiPriority w:val="99"/>
    <w:unhideWhenUsed/>
    <w:rsid w:val="00F445DC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עליונה תו"/>
    <w:basedOn w:val="a1"/>
    <w:link w:val="a9"/>
    <w:uiPriority w:val="99"/>
    <w:rsid w:val="00F445DC"/>
  </w:style>
  <w:style w:type="paragraph" w:styleId="ab">
    <w:name w:val="footer"/>
    <w:basedOn w:val="a0"/>
    <w:link w:val="ac"/>
    <w:uiPriority w:val="99"/>
    <w:unhideWhenUsed/>
    <w:rsid w:val="00F445DC"/>
    <w:pPr>
      <w:tabs>
        <w:tab w:val="center" w:pos="4153"/>
        <w:tab w:val="right" w:pos="8306"/>
      </w:tabs>
      <w:spacing w:line="240" w:lineRule="auto"/>
    </w:pPr>
  </w:style>
  <w:style w:type="character" w:customStyle="1" w:styleId="ac">
    <w:name w:val="כותרת תחתונה תו"/>
    <w:basedOn w:val="a1"/>
    <w:link w:val="ab"/>
    <w:uiPriority w:val="99"/>
    <w:rsid w:val="00F445DC"/>
  </w:style>
  <w:style w:type="paragraph" w:styleId="ad">
    <w:name w:val="Balloon Text"/>
    <w:basedOn w:val="a0"/>
    <w:link w:val="ae"/>
    <w:uiPriority w:val="99"/>
    <w:semiHidden/>
    <w:unhideWhenUsed/>
    <w:rsid w:val="009975A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1"/>
    <w:link w:val="ad"/>
    <w:uiPriority w:val="99"/>
    <w:semiHidden/>
    <w:rsid w:val="009975AA"/>
    <w:rPr>
      <w:rFonts w:ascii="Tahoma" w:hAnsi="Tahoma" w:cs="Tahoma"/>
      <w:sz w:val="18"/>
      <w:szCs w:val="18"/>
    </w:rPr>
  </w:style>
  <w:style w:type="character" w:styleId="Hyperlink">
    <w:name w:val="Hyperlink"/>
    <w:basedOn w:val="a1"/>
    <w:uiPriority w:val="99"/>
    <w:unhideWhenUsed/>
    <w:rsid w:val="00B8762E"/>
    <w:rPr>
      <w:color w:val="0563C1" w:themeColor="hyperlink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B8762E"/>
    <w:rPr>
      <w:color w:val="954F72" w:themeColor="followed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433379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433379"/>
    <w:pPr>
      <w:spacing w:after="200" w:line="240" w:lineRule="auto"/>
    </w:pPr>
    <w:rPr>
      <w:sz w:val="20"/>
      <w:szCs w:val="20"/>
    </w:rPr>
  </w:style>
  <w:style w:type="character" w:customStyle="1" w:styleId="af1">
    <w:name w:val="טקסט הערה תו"/>
    <w:basedOn w:val="a1"/>
    <w:link w:val="af0"/>
    <w:uiPriority w:val="99"/>
    <w:rsid w:val="00433379"/>
    <w:rPr>
      <w:sz w:val="20"/>
      <w:szCs w:val="20"/>
    </w:rPr>
  </w:style>
  <w:style w:type="paragraph" w:styleId="af2">
    <w:name w:val="List Paragraph"/>
    <w:basedOn w:val="a0"/>
    <w:uiPriority w:val="34"/>
    <w:qFormat/>
    <w:rsid w:val="00433379"/>
    <w:pPr>
      <w:ind w:left="720"/>
    </w:pPr>
  </w:style>
  <w:style w:type="paragraph" w:styleId="NormalWeb">
    <w:name w:val="Normal (Web)"/>
    <w:basedOn w:val="a0"/>
    <w:uiPriority w:val="99"/>
    <w:unhideWhenUsed/>
    <w:rsid w:val="00D265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2178D"/>
    <w:pPr>
      <w:spacing w:after="160"/>
    </w:pPr>
    <w:rPr>
      <w:b/>
      <w:bCs/>
    </w:rPr>
  </w:style>
  <w:style w:type="character" w:customStyle="1" w:styleId="af4">
    <w:name w:val="נושא הערה תו"/>
    <w:basedOn w:val="af1"/>
    <w:link w:val="af3"/>
    <w:uiPriority w:val="99"/>
    <w:semiHidden/>
    <w:rsid w:val="00A2178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7A54B2"/>
    <w:pPr>
      <w:spacing w:after="0" w:line="240" w:lineRule="auto"/>
    </w:pPr>
  </w:style>
  <w:style w:type="table" w:customStyle="1" w:styleId="21">
    <w:name w:val="טבלת רשת21"/>
    <w:basedOn w:val="a2"/>
    <w:next w:val="a7"/>
    <w:rsid w:val="003B2D4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כותרת ראשית"/>
    <w:basedOn w:val="a0"/>
    <w:next w:val="a0"/>
    <w:link w:val="af7"/>
    <w:qFormat/>
    <w:rsid w:val="00910C95"/>
    <w:pPr>
      <w:spacing w:after="240"/>
      <w:ind w:left="23"/>
      <w:jc w:val="center"/>
      <w:outlineLvl w:val="0"/>
    </w:pPr>
    <w:rPr>
      <w:b/>
      <w:bCs/>
      <w:spacing w:val="5"/>
      <w:kern w:val="28"/>
      <w:sz w:val="28"/>
      <w:szCs w:val="28"/>
    </w:rPr>
  </w:style>
  <w:style w:type="paragraph" w:customStyle="1" w:styleId="a">
    <w:name w:val="כותרת משנה ממוספרת"/>
    <w:basedOn w:val="a0"/>
    <w:next w:val="a0"/>
    <w:link w:val="af8"/>
    <w:qFormat/>
    <w:rsid w:val="00910C95"/>
    <w:pPr>
      <w:keepNext/>
      <w:numPr>
        <w:numId w:val="9"/>
      </w:numPr>
      <w:spacing w:before="240" w:after="120"/>
      <w:ind w:left="714" w:hanging="357"/>
      <w:jc w:val="both"/>
    </w:pPr>
    <w:rPr>
      <w:rFonts w:eastAsia="Times New Roman"/>
      <w:bCs/>
      <w:sz w:val="28"/>
    </w:rPr>
  </w:style>
  <w:style w:type="character" w:customStyle="1" w:styleId="af7">
    <w:name w:val="כותרת ראשית תו"/>
    <w:basedOn w:val="a1"/>
    <w:link w:val="af6"/>
    <w:rsid w:val="00910C95"/>
    <w:rPr>
      <w:rFonts w:ascii="David" w:hAnsi="David" w:cs="David"/>
      <w:b/>
      <w:bCs/>
      <w:spacing w:val="5"/>
      <w:kern w:val="28"/>
      <w:sz w:val="28"/>
      <w:szCs w:val="28"/>
    </w:rPr>
  </w:style>
  <w:style w:type="paragraph" w:customStyle="1" w:styleId="1">
    <w:name w:val="כותרת משנה רמה 1"/>
    <w:basedOn w:val="a0"/>
    <w:next w:val="a0"/>
    <w:link w:val="10"/>
    <w:qFormat/>
    <w:rsid w:val="00597143"/>
    <w:pPr>
      <w:keepNext/>
      <w:spacing w:before="240" w:after="120"/>
      <w:ind w:left="23"/>
      <w:jc w:val="both"/>
      <w:outlineLvl w:val="0"/>
    </w:pPr>
    <w:rPr>
      <w:rFonts w:eastAsia="Calibri"/>
      <w:b/>
      <w:bCs/>
    </w:rPr>
  </w:style>
  <w:style w:type="character" w:customStyle="1" w:styleId="af8">
    <w:name w:val="כותרת משנה ממוספרת תו"/>
    <w:basedOn w:val="a1"/>
    <w:link w:val="a"/>
    <w:rsid w:val="00910C95"/>
    <w:rPr>
      <w:rFonts w:ascii="David" w:eastAsia="Times New Roman" w:hAnsi="David" w:cs="David"/>
      <w:bCs/>
      <w:sz w:val="28"/>
      <w:szCs w:val="24"/>
    </w:rPr>
  </w:style>
  <w:style w:type="character" w:customStyle="1" w:styleId="10">
    <w:name w:val="כותרת משנה רמה 1 תו"/>
    <w:basedOn w:val="a1"/>
    <w:link w:val="1"/>
    <w:rsid w:val="00597143"/>
    <w:rPr>
      <w:rFonts w:ascii="David" w:eastAsia="Calibri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4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2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012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829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7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727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998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34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100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408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36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209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874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media/ybvpydng/dp12065e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3D7D-B0DB-4B4C-89AA-7A05A4BA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5480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2023-07-10T12:21:00Z</dcterms:created>
  <dcterms:modified xsi:type="dcterms:W3CDTF">2023-07-10T12:24:00Z</dcterms:modified>
</cp:coreProperties>
</file>