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E31FC" w14:textId="73D526BC" w:rsidR="00165ABB" w:rsidRPr="00A74002" w:rsidRDefault="00165ABB" w:rsidP="00165ABB">
      <w:pPr>
        <w:jc w:val="center"/>
        <w:rPr>
          <w:rFonts w:asciiTheme="minorHAnsi" w:hAnsiTheme="minorHAnsi" w:cstheme="minorHAnsi"/>
          <w:b/>
          <w:bCs/>
          <w:sz w:val="32"/>
          <w:szCs w:val="32"/>
        </w:rPr>
      </w:pPr>
      <w:r w:rsidRPr="00A74002">
        <w:rPr>
          <w:rFonts w:asciiTheme="minorHAnsi" w:hAnsiTheme="minorHAnsi" w:cstheme="minorHAnsi"/>
          <w:b/>
          <w:noProof/>
        </w:rPr>
        <w:drawing>
          <wp:inline distT="0" distB="0" distL="0" distR="0" wp14:anchorId="2E8D1120" wp14:editId="74D6B983">
            <wp:extent cx="1390000" cy="13900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731" cy="1403731"/>
                    </a:xfrm>
                    <a:prstGeom prst="rect">
                      <a:avLst/>
                    </a:prstGeom>
                    <a:noFill/>
                  </pic:spPr>
                </pic:pic>
              </a:graphicData>
            </a:graphic>
          </wp:inline>
        </w:drawing>
      </w:r>
    </w:p>
    <w:p w14:paraId="5E106537" w14:textId="77777777" w:rsidR="00165ABB" w:rsidRPr="00A74002" w:rsidRDefault="00165ABB" w:rsidP="00165ABB">
      <w:pPr>
        <w:spacing w:line="300" w:lineRule="atLeast"/>
        <w:jc w:val="center"/>
        <w:rPr>
          <w:rFonts w:asciiTheme="minorHAnsi" w:hAnsiTheme="minorHAnsi" w:cstheme="minorHAnsi"/>
          <w:b/>
        </w:rPr>
      </w:pPr>
      <w:r w:rsidRPr="00A74002">
        <w:rPr>
          <w:rFonts w:asciiTheme="minorHAnsi" w:hAnsiTheme="minorHAnsi" w:cstheme="minorHAnsi"/>
          <w:b/>
        </w:rPr>
        <w:t>BANK OF ISRAEL</w:t>
      </w:r>
    </w:p>
    <w:p w14:paraId="3607D290" w14:textId="77777777" w:rsidR="00165ABB" w:rsidRPr="00A74002" w:rsidRDefault="00165ABB" w:rsidP="00165ABB">
      <w:pPr>
        <w:spacing w:line="300" w:lineRule="atLeast"/>
        <w:jc w:val="center"/>
        <w:rPr>
          <w:rFonts w:asciiTheme="minorHAnsi" w:hAnsiTheme="minorHAnsi" w:cstheme="minorHAnsi"/>
          <w:b/>
          <w:sz w:val="26"/>
          <w:szCs w:val="26"/>
        </w:rPr>
      </w:pPr>
      <w:r w:rsidRPr="00A74002">
        <w:rPr>
          <w:rFonts w:asciiTheme="minorHAnsi" w:hAnsiTheme="minorHAnsi" w:cstheme="minorHAnsi"/>
          <w:sz w:val="26"/>
          <w:szCs w:val="26"/>
        </w:rPr>
        <w:t>Office of the Spokesperson and Economic Information</w:t>
      </w:r>
    </w:p>
    <w:p w14:paraId="6525A126" w14:textId="77777777" w:rsidR="00165ABB" w:rsidRPr="00A74002" w:rsidRDefault="00165ABB" w:rsidP="00165ABB">
      <w:pPr>
        <w:tabs>
          <w:tab w:val="center" w:pos="4153"/>
          <w:tab w:val="right" w:pos="8306"/>
        </w:tabs>
        <w:rPr>
          <w:rFonts w:asciiTheme="minorHAnsi" w:hAnsiTheme="minorHAnsi" w:cstheme="minorHAnsi"/>
        </w:rPr>
      </w:pPr>
    </w:p>
    <w:p w14:paraId="6FA4098A" w14:textId="77777777" w:rsidR="00165ABB" w:rsidRPr="00A74002" w:rsidRDefault="00165ABB" w:rsidP="00165ABB">
      <w:pPr>
        <w:pStyle w:val="Letterhead2"/>
        <w:tabs>
          <w:tab w:val="center" w:pos="5174"/>
          <w:tab w:val="left" w:pos="9088"/>
        </w:tabs>
        <w:jc w:val="left"/>
        <w:rPr>
          <w:rFonts w:asciiTheme="minorHAnsi" w:hAnsiTheme="minorHAnsi" w:cstheme="minorHAnsi"/>
          <w:sz w:val="24"/>
          <w:szCs w:val="24"/>
        </w:rPr>
      </w:pPr>
    </w:p>
    <w:p w14:paraId="030EF211" w14:textId="77777777" w:rsidR="00165ABB" w:rsidRPr="00A74002" w:rsidRDefault="00165ABB" w:rsidP="00165ABB">
      <w:pPr>
        <w:pStyle w:val="Letterhead2"/>
        <w:tabs>
          <w:tab w:val="center" w:pos="5174"/>
          <w:tab w:val="left" w:pos="9088"/>
        </w:tabs>
        <w:jc w:val="left"/>
        <w:rPr>
          <w:rFonts w:asciiTheme="minorHAnsi" w:hAnsiTheme="minorHAnsi" w:cstheme="minorHAnsi"/>
          <w:sz w:val="24"/>
          <w:szCs w:val="24"/>
        </w:rPr>
      </w:pPr>
      <w:bookmarkStart w:id="0" w:name="_GoBack"/>
    </w:p>
    <w:bookmarkEnd w:id="0"/>
    <w:p w14:paraId="6F691E43" w14:textId="77777777" w:rsidR="00165ABB" w:rsidRPr="00A74002" w:rsidRDefault="00165ABB" w:rsidP="00165ABB">
      <w:pPr>
        <w:pStyle w:val="Letterhead2"/>
        <w:tabs>
          <w:tab w:val="center" w:pos="5174"/>
          <w:tab w:val="left" w:pos="9088"/>
        </w:tabs>
        <w:jc w:val="left"/>
        <w:rPr>
          <w:rFonts w:asciiTheme="minorHAnsi" w:hAnsiTheme="minorHAnsi" w:cstheme="minorHAnsi"/>
          <w:b/>
          <w:sz w:val="24"/>
          <w:szCs w:val="24"/>
        </w:rPr>
      </w:pPr>
      <w:r w:rsidRPr="00A74002">
        <w:rPr>
          <w:rFonts w:asciiTheme="minorHAnsi" w:hAnsiTheme="minorHAnsi" w:cstheme="minorHAnsi"/>
          <w:sz w:val="24"/>
          <w:szCs w:val="24"/>
        </w:rPr>
        <w:tab/>
      </w:r>
    </w:p>
    <w:p w14:paraId="2EBAD100" w14:textId="77777777" w:rsidR="00165ABB" w:rsidRPr="00A74002" w:rsidRDefault="00165ABB" w:rsidP="00165ABB">
      <w:pPr>
        <w:rPr>
          <w:rFonts w:asciiTheme="minorHAnsi" w:hAnsiTheme="minorHAnsi" w:cstheme="minorHAnsi"/>
        </w:rPr>
      </w:pPr>
    </w:p>
    <w:p w14:paraId="63122C20" w14:textId="77777777" w:rsidR="00165ABB" w:rsidRPr="00A74002" w:rsidRDefault="00165ABB" w:rsidP="00165ABB">
      <w:pPr>
        <w:ind w:left="720" w:right="283"/>
        <w:jc w:val="right"/>
        <w:rPr>
          <w:rFonts w:asciiTheme="minorHAnsi" w:hAnsiTheme="minorHAnsi" w:cstheme="minorHAnsi"/>
        </w:rPr>
      </w:pPr>
      <w:r w:rsidRPr="00A74002">
        <w:rPr>
          <w:rFonts w:asciiTheme="minorHAnsi" w:hAnsiTheme="minorHAnsi" w:cstheme="minorHAnsi"/>
          <w:lang w:val="en"/>
        </w:rPr>
        <w:t>January</w:t>
      </w:r>
    </w:p>
    <w:p w14:paraId="4FF0C3B1" w14:textId="68B42C3E" w:rsidR="00165ABB" w:rsidRPr="00A74002" w:rsidRDefault="00165ABB" w:rsidP="00165ABB">
      <w:pPr>
        <w:ind w:left="720" w:right="283"/>
        <w:jc w:val="right"/>
        <w:rPr>
          <w:rFonts w:asciiTheme="minorHAnsi" w:hAnsiTheme="minorHAnsi" w:cstheme="minorHAnsi"/>
        </w:rPr>
      </w:pPr>
      <w:r w:rsidRPr="00A74002">
        <w:rPr>
          <w:rFonts w:asciiTheme="minorHAnsi" w:hAnsiTheme="minorHAnsi" w:cstheme="minorHAnsi"/>
        </w:rPr>
        <w:t>21</w:t>
      </w:r>
      <w:r w:rsidRPr="00A74002">
        <w:rPr>
          <w:rFonts w:asciiTheme="minorHAnsi" w:hAnsiTheme="minorHAnsi" w:cstheme="minorHAnsi"/>
        </w:rPr>
        <w:t>, 202</w:t>
      </w:r>
      <w:r w:rsidRPr="00A74002">
        <w:rPr>
          <w:rFonts w:asciiTheme="minorHAnsi" w:hAnsiTheme="minorHAnsi" w:cstheme="minorHAnsi"/>
        </w:rPr>
        <w:t>4</w:t>
      </w:r>
    </w:p>
    <w:p w14:paraId="62903D35" w14:textId="77777777" w:rsidR="00165ABB" w:rsidRPr="00A74002" w:rsidRDefault="00165ABB" w:rsidP="00165ABB">
      <w:pPr>
        <w:pStyle w:val="PressReleaseTitle"/>
        <w:ind w:left="720"/>
        <w:rPr>
          <w:rFonts w:asciiTheme="minorHAnsi" w:hAnsiTheme="minorHAnsi" w:cstheme="minorHAnsi"/>
          <w:sz w:val="24"/>
          <w:szCs w:val="24"/>
        </w:rPr>
      </w:pPr>
    </w:p>
    <w:p w14:paraId="6B43461E" w14:textId="0C337CA1" w:rsidR="00165ABB" w:rsidRPr="00A74002" w:rsidRDefault="00165ABB" w:rsidP="00165ABB">
      <w:pPr>
        <w:pStyle w:val="PressReleaseTitle"/>
        <w:ind w:left="720"/>
        <w:jc w:val="left"/>
        <w:rPr>
          <w:rFonts w:asciiTheme="minorHAnsi" w:hAnsiTheme="minorHAnsi" w:cstheme="minorHAnsi"/>
          <w:b w:val="0"/>
          <w:bCs w:val="0"/>
          <w:sz w:val="24"/>
          <w:szCs w:val="24"/>
        </w:rPr>
      </w:pPr>
      <w:r w:rsidRPr="00A74002">
        <w:rPr>
          <w:rFonts w:asciiTheme="minorHAnsi" w:hAnsiTheme="minorHAnsi" w:cstheme="minorHAnsi"/>
          <w:b w:val="0"/>
          <w:bCs w:val="0"/>
          <w:sz w:val="24"/>
          <w:szCs w:val="24"/>
        </w:rPr>
        <w:t>Press Release:</w:t>
      </w:r>
    </w:p>
    <w:p w14:paraId="2272F67A" w14:textId="2F665886" w:rsidR="00165ABB" w:rsidRPr="00A74002" w:rsidRDefault="00165ABB" w:rsidP="00D50E59">
      <w:pPr>
        <w:jc w:val="center"/>
        <w:rPr>
          <w:rFonts w:asciiTheme="minorHAnsi" w:hAnsiTheme="minorHAnsi" w:cstheme="minorHAnsi"/>
          <w:b/>
          <w:bCs/>
          <w:sz w:val="32"/>
          <w:szCs w:val="32"/>
        </w:rPr>
      </w:pPr>
    </w:p>
    <w:p w14:paraId="14670924" w14:textId="364C5DE3" w:rsidR="00165ABB" w:rsidRPr="00A74002" w:rsidRDefault="00165ABB" w:rsidP="00165ABB">
      <w:pPr>
        <w:rPr>
          <w:rFonts w:asciiTheme="minorHAnsi" w:hAnsiTheme="minorHAnsi" w:cstheme="minorHAnsi"/>
          <w:b/>
          <w:bCs/>
          <w:sz w:val="32"/>
          <w:szCs w:val="32"/>
        </w:rPr>
      </w:pPr>
    </w:p>
    <w:p w14:paraId="6EEC7574" w14:textId="77777777" w:rsidR="00165ABB" w:rsidRPr="00A74002" w:rsidRDefault="00165ABB" w:rsidP="00D50E59">
      <w:pPr>
        <w:jc w:val="center"/>
        <w:rPr>
          <w:rFonts w:asciiTheme="minorHAnsi" w:hAnsiTheme="minorHAnsi" w:cstheme="minorHAnsi"/>
          <w:b/>
          <w:bCs/>
          <w:sz w:val="32"/>
          <w:szCs w:val="32"/>
        </w:rPr>
      </w:pPr>
    </w:p>
    <w:p w14:paraId="40CD1C11" w14:textId="77777777" w:rsidR="00165ABB" w:rsidRPr="00A74002" w:rsidRDefault="00165ABB" w:rsidP="00165ABB">
      <w:pPr>
        <w:jc w:val="center"/>
        <w:rPr>
          <w:rFonts w:asciiTheme="minorHAnsi" w:hAnsiTheme="minorHAnsi" w:cstheme="minorHAnsi"/>
          <w:b/>
          <w:bCs/>
          <w:sz w:val="32"/>
          <w:szCs w:val="32"/>
        </w:rPr>
      </w:pPr>
      <w:r w:rsidRPr="00A74002">
        <w:rPr>
          <w:rFonts w:asciiTheme="minorHAnsi" w:hAnsiTheme="minorHAnsi" w:cstheme="minorHAnsi"/>
          <w:b/>
          <w:bCs/>
          <w:sz w:val="32"/>
          <w:szCs w:val="32"/>
        </w:rPr>
        <w:t>Monetary Policy Report</w:t>
      </w:r>
    </w:p>
    <w:p w14:paraId="0E2AAC53" w14:textId="6BE1642E" w:rsidR="00165ABB" w:rsidRPr="00A74002" w:rsidRDefault="00165ABB" w:rsidP="00165ABB">
      <w:pPr>
        <w:jc w:val="center"/>
        <w:rPr>
          <w:rFonts w:asciiTheme="minorHAnsi" w:hAnsiTheme="minorHAnsi" w:cstheme="minorHAnsi"/>
          <w:b/>
          <w:bCs/>
          <w:sz w:val="32"/>
          <w:szCs w:val="32"/>
        </w:rPr>
      </w:pPr>
      <w:r w:rsidRPr="00A74002">
        <w:rPr>
          <w:rFonts w:asciiTheme="minorHAnsi" w:hAnsiTheme="minorHAnsi" w:cstheme="minorHAnsi"/>
          <w:b/>
          <w:bCs/>
          <w:sz w:val="32"/>
          <w:szCs w:val="32"/>
        </w:rPr>
        <w:t xml:space="preserve"> </w:t>
      </w:r>
      <w:r w:rsidRPr="00A74002">
        <w:rPr>
          <w:rFonts w:asciiTheme="minorHAnsi" w:hAnsiTheme="minorHAnsi" w:cstheme="minorHAnsi"/>
          <w:b/>
          <w:bCs/>
          <w:sz w:val="32"/>
          <w:szCs w:val="32"/>
        </w:rPr>
        <w:t>Second Half of 2023</w:t>
      </w:r>
    </w:p>
    <w:p w14:paraId="28A25772" w14:textId="77777777" w:rsidR="00165ABB" w:rsidRPr="00A74002" w:rsidRDefault="00165ABB" w:rsidP="00165ABB">
      <w:pPr>
        <w:jc w:val="center"/>
        <w:rPr>
          <w:rFonts w:asciiTheme="minorHAnsi" w:hAnsiTheme="minorHAnsi" w:cstheme="minorHAnsi"/>
          <w:b/>
          <w:bCs/>
          <w:sz w:val="32"/>
          <w:szCs w:val="32"/>
        </w:rPr>
      </w:pPr>
    </w:p>
    <w:p w14:paraId="5CAF0908" w14:textId="42FC1F6C" w:rsidR="00F9571E" w:rsidRPr="00A74002" w:rsidRDefault="00F9571E" w:rsidP="00D50E59">
      <w:pPr>
        <w:jc w:val="center"/>
        <w:rPr>
          <w:rFonts w:asciiTheme="minorHAnsi" w:hAnsiTheme="minorHAnsi" w:cstheme="minorHAnsi"/>
          <w:b/>
          <w:bCs/>
          <w:sz w:val="28"/>
          <w:szCs w:val="28"/>
        </w:rPr>
      </w:pPr>
      <w:r w:rsidRPr="00A74002">
        <w:rPr>
          <w:rFonts w:asciiTheme="minorHAnsi" w:hAnsiTheme="minorHAnsi" w:cstheme="minorHAnsi"/>
          <w:b/>
          <w:bCs/>
          <w:sz w:val="28"/>
          <w:szCs w:val="28"/>
        </w:rPr>
        <w:t>Abstract</w:t>
      </w:r>
    </w:p>
    <w:p w14:paraId="41FA54F8" w14:textId="77777777" w:rsidR="00EC0015" w:rsidRPr="00A74002" w:rsidRDefault="00EC0015" w:rsidP="00F9571E">
      <w:pPr>
        <w:jc w:val="both"/>
        <w:rPr>
          <w:rFonts w:asciiTheme="minorHAnsi" w:hAnsiTheme="minorHAnsi" w:cstheme="minorHAnsi"/>
        </w:rPr>
      </w:pPr>
    </w:p>
    <w:p w14:paraId="3B9A7880" w14:textId="3108DF58" w:rsidR="00F9571E" w:rsidRPr="00A74002" w:rsidRDefault="00F9571E" w:rsidP="009B0AA6">
      <w:pPr>
        <w:jc w:val="center"/>
        <w:rPr>
          <w:rFonts w:asciiTheme="minorHAnsi" w:hAnsiTheme="minorHAnsi" w:cstheme="minorHAnsi"/>
          <w:b/>
          <w:bCs/>
        </w:rPr>
      </w:pPr>
      <w:r w:rsidRPr="00A74002">
        <w:rPr>
          <w:rFonts w:asciiTheme="minorHAnsi" w:hAnsiTheme="minorHAnsi" w:cstheme="minorHAnsi"/>
          <w:b/>
          <w:bCs/>
        </w:rPr>
        <w:t xml:space="preserve">This report surveys monetary policy during the </w:t>
      </w:r>
      <w:r w:rsidR="00585321" w:rsidRPr="00A74002">
        <w:rPr>
          <w:rFonts w:asciiTheme="minorHAnsi" w:hAnsiTheme="minorHAnsi" w:cstheme="minorHAnsi"/>
          <w:b/>
          <w:bCs/>
        </w:rPr>
        <w:t xml:space="preserve">second </w:t>
      </w:r>
      <w:r w:rsidRPr="00A74002">
        <w:rPr>
          <w:rFonts w:asciiTheme="minorHAnsi" w:hAnsiTheme="minorHAnsi" w:cstheme="minorHAnsi"/>
          <w:b/>
          <w:bCs/>
        </w:rPr>
        <w:t>half of 202</w:t>
      </w:r>
      <w:r w:rsidR="00EC0015" w:rsidRPr="00A74002">
        <w:rPr>
          <w:rFonts w:asciiTheme="minorHAnsi" w:hAnsiTheme="minorHAnsi" w:cstheme="minorHAnsi"/>
          <w:b/>
          <w:bCs/>
        </w:rPr>
        <w:t>3</w:t>
      </w:r>
      <w:r w:rsidRPr="00A74002">
        <w:rPr>
          <w:rFonts w:asciiTheme="minorHAnsi" w:hAnsiTheme="minorHAnsi" w:cstheme="minorHAnsi"/>
          <w:b/>
          <w:bCs/>
        </w:rPr>
        <w:t>.</w:t>
      </w:r>
    </w:p>
    <w:p w14:paraId="4572EEDA" w14:textId="77777777" w:rsidR="00EC0015" w:rsidRPr="00A74002" w:rsidRDefault="00EC0015" w:rsidP="00F9571E">
      <w:pPr>
        <w:jc w:val="both"/>
        <w:rPr>
          <w:rFonts w:asciiTheme="minorHAnsi" w:hAnsiTheme="minorHAnsi" w:cstheme="minorHAnsi"/>
          <w:b/>
          <w:bCs/>
        </w:rPr>
      </w:pPr>
    </w:p>
    <w:p w14:paraId="1E6CD427" w14:textId="542D6A07" w:rsidR="00840F4F" w:rsidRPr="00A74002" w:rsidRDefault="00F9571E" w:rsidP="007356FA">
      <w:pPr>
        <w:jc w:val="both"/>
        <w:rPr>
          <w:rFonts w:asciiTheme="minorHAnsi" w:hAnsiTheme="minorHAnsi" w:cstheme="minorHAnsi"/>
        </w:rPr>
      </w:pPr>
      <w:r w:rsidRPr="00A74002">
        <w:rPr>
          <w:rFonts w:asciiTheme="minorHAnsi" w:hAnsiTheme="minorHAnsi" w:cstheme="minorHAnsi"/>
          <w:b/>
          <w:bCs/>
        </w:rPr>
        <w:t xml:space="preserve">Monetary policy: </w:t>
      </w:r>
      <w:r w:rsidR="00840F4F" w:rsidRPr="00A74002">
        <w:rPr>
          <w:rFonts w:asciiTheme="minorHAnsi" w:hAnsiTheme="minorHAnsi" w:cstheme="minorHAnsi"/>
        </w:rPr>
        <w:t xml:space="preserve">During the second half of 2023, the Bank of Israel kept the interest rate unchanged at a restrictive level of 4.75 percent. At the beginning of 2024, on January 1, the Monetary Committee decided to reduce the interest rate by 0.25 percentage points, to 4.5 percent. Until the war erupted at the beginning of October, the policy </w:t>
      </w:r>
      <w:r w:rsidR="005151BF" w:rsidRPr="00A74002">
        <w:rPr>
          <w:rFonts w:asciiTheme="minorHAnsi" w:hAnsiTheme="minorHAnsi" w:cstheme="minorHAnsi"/>
        </w:rPr>
        <w:t xml:space="preserve">had been </w:t>
      </w:r>
      <w:r w:rsidR="00840F4F" w:rsidRPr="00A74002">
        <w:rPr>
          <w:rFonts w:asciiTheme="minorHAnsi" w:hAnsiTheme="minorHAnsi" w:cstheme="minorHAnsi"/>
        </w:rPr>
        <w:t xml:space="preserve">operating in an environment of a </w:t>
      </w:r>
      <w:r w:rsidR="005151BF" w:rsidRPr="00A74002">
        <w:rPr>
          <w:rFonts w:asciiTheme="minorHAnsi" w:hAnsiTheme="minorHAnsi" w:cstheme="minorHAnsi"/>
        </w:rPr>
        <w:t xml:space="preserve">depreciating </w:t>
      </w:r>
      <w:r w:rsidR="00840F4F" w:rsidRPr="00A74002">
        <w:rPr>
          <w:rFonts w:asciiTheme="minorHAnsi" w:hAnsiTheme="minorHAnsi" w:cstheme="minorHAnsi"/>
        </w:rPr>
        <w:t>trend of the shekel, against the background of</w:t>
      </w:r>
      <w:r w:rsidR="005151BF" w:rsidRPr="00A74002">
        <w:rPr>
          <w:rFonts w:asciiTheme="minorHAnsi" w:hAnsiTheme="minorHAnsi" w:cstheme="minorHAnsi"/>
        </w:rPr>
        <w:t xml:space="preserve"> increasing </w:t>
      </w:r>
      <w:r w:rsidR="00840F4F" w:rsidRPr="00A74002">
        <w:rPr>
          <w:rFonts w:asciiTheme="minorHAnsi" w:hAnsiTheme="minorHAnsi" w:cstheme="minorHAnsi"/>
        </w:rPr>
        <w:t>uncertainty regarding the impacts of the proposed legislative change on the economy, alongside above-target inflation. In the second part of the half year, in view of the war that began on October 7, the monetary policy focused first on stabilizing the financial markets, particularly the foreign exchange market, and in reducing the uncertainty.</w:t>
      </w:r>
      <w:r w:rsidR="003E5908" w:rsidRPr="00A74002">
        <w:rPr>
          <w:rFonts w:asciiTheme="minorHAnsi" w:hAnsiTheme="minorHAnsi" w:cstheme="minorHAnsi"/>
        </w:rPr>
        <w:t xml:space="preserve"> This was alongside maintaining price stability and support</w:t>
      </w:r>
      <w:r w:rsidR="007356FA" w:rsidRPr="00A74002">
        <w:rPr>
          <w:rFonts w:asciiTheme="minorHAnsi" w:hAnsiTheme="minorHAnsi" w:cstheme="minorHAnsi"/>
        </w:rPr>
        <w:t xml:space="preserve">ing </w:t>
      </w:r>
      <w:r w:rsidR="003E5908" w:rsidRPr="00A74002">
        <w:rPr>
          <w:rFonts w:asciiTheme="minorHAnsi" w:hAnsiTheme="minorHAnsi" w:cstheme="minorHAnsi"/>
        </w:rPr>
        <w:t>economic activity. Accordingly, the Committee implemented a program to sell foreign exchange, and pursuant to the Governor’s decision, it also activated a plan to supply liquidity in the swap and repo market</w:t>
      </w:r>
      <w:r w:rsidR="005704DA" w:rsidRPr="00A74002">
        <w:rPr>
          <w:rFonts w:asciiTheme="minorHAnsi" w:hAnsiTheme="minorHAnsi" w:cstheme="minorHAnsi"/>
        </w:rPr>
        <w:t>s</w:t>
      </w:r>
      <w:r w:rsidR="003E5908" w:rsidRPr="00A74002">
        <w:rPr>
          <w:rFonts w:asciiTheme="minorHAnsi" w:hAnsiTheme="minorHAnsi" w:cstheme="minorHAnsi"/>
        </w:rPr>
        <w:t>.</w:t>
      </w:r>
      <w:r w:rsidR="005704DA" w:rsidRPr="00A74002">
        <w:rPr>
          <w:rFonts w:asciiTheme="minorHAnsi" w:hAnsiTheme="minorHAnsi" w:cstheme="minorHAnsi"/>
        </w:rPr>
        <w:t xml:space="preserve"> In addition, the Bank of Israel put into operation a focused program of monetary loans aimed at easing credit terms for small and micro businesses that were negatively impacted by the war. These steps came in addition to the broad framework promoted by the Banking Supervision Department to defer repayments on loans from banks and credit card </w:t>
      </w:r>
      <w:r w:rsidR="00625B97" w:rsidRPr="00A74002">
        <w:rPr>
          <w:rFonts w:asciiTheme="minorHAnsi" w:hAnsiTheme="minorHAnsi" w:cstheme="minorHAnsi"/>
        </w:rPr>
        <w:t>companies to</w:t>
      </w:r>
      <w:r w:rsidR="005704DA" w:rsidRPr="00A74002">
        <w:rPr>
          <w:rFonts w:asciiTheme="minorHAnsi" w:hAnsiTheme="minorHAnsi" w:cstheme="minorHAnsi"/>
        </w:rPr>
        <w:t xml:space="preserve"> households.</w:t>
      </w:r>
    </w:p>
    <w:p w14:paraId="09EE002D" w14:textId="77777777" w:rsidR="005704DA" w:rsidRPr="00A74002" w:rsidRDefault="005704DA" w:rsidP="005704DA">
      <w:pPr>
        <w:jc w:val="both"/>
        <w:rPr>
          <w:rFonts w:asciiTheme="minorHAnsi" w:hAnsiTheme="minorHAnsi" w:cstheme="minorHAnsi"/>
          <w:b/>
          <w:bCs/>
        </w:rPr>
      </w:pPr>
    </w:p>
    <w:p w14:paraId="58B4DCBC" w14:textId="3C6D04CA" w:rsidR="005704DA" w:rsidRPr="00A74002" w:rsidRDefault="005704DA" w:rsidP="004A48E2">
      <w:pPr>
        <w:jc w:val="both"/>
        <w:rPr>
          <w:rFonts w:asciiTheme="minorHAnsi" w:hAnsiTheme="minorHAnsi" w:cstheme="minorHAnsi"/>
        </w:rPr>
      </w:pPr>
      <w:r w:rsidRPr="00A74002">
        <w:rPr>
          <w:rFonts w:asciiTheme="minorHAnsi" w:hAnsiTheme="minorHAnsi" w:cstheme="minorHAnsi"/>
          <w:b/>
          <w:bCs/>
        </w:rPr>
        <w:t xml:space="preserve">Domestic real activity and the labor market: </w:t>
      </w:r>
      <w:r w:rsidRPr="00A74002">
        <w:rPr>
          <w:rFonts w:asciiTheme="minorHAnsi" w:hAnsiTheme="minorHAnsi" w:cstheme="minorHAnsi"/>
        </w:rPr>
        <w:t>The third quarter of 2023</w:t>
      </w:r>
      <w:r w:rsidR="003000E7" w:rsidRPr="00A74002">
        <w:rPr>
          <w:rFonts w:asciiTheme="minorHAnsi" w:hAnsiTheme="minorHAnsi" w:cstheme="minorHAnsi"/>
        </w:rPr>
        <w:t xml:space="preserve"> was characterized by some slowing of activity, while the labor market remained tight. At the beginning of the fourth quarter</w:t>
      </w:r>
      <w:r w:rsidR="001C07CD" w:rsidRPr="00A74002">
        <w:rPr>
          <w:rFonts w:asciiTheme="minorHAnsi" w:hAnsiTheme="minorHAnsi" w:cstheme="minorHAnsi"/>
        </w:rPr>
        <w:t>,</w:t>
      </w:r>
      <w:r w:rsidR="003000E7" w:rsidRPr="00A74002">
        <w:rPr>
          <w:rFonts w:asciiTheme="minorHAnsi" w:hAnsiTheme="minorHAnsi" w:cstheme="minorHAnsi"/>
        </w:rPr>
        <w:t xml:space="preserve"> the “Swords of Iron” War broke out, and its impacts were felt </w:t>
      </w:r>
      <w:r w:rsidR="004B2E64" w:rsidRPr="00A74002">
        <w:rPr>
          <w:rFonts w:asciiTheme="minorHAnsi" w:hAnsiTheme="minorHAnsi" w:cstheme="minorHAnsi"/>
        </w:rPr>
        <w:t xml:space="preserve">on both the supply and demand sides; a decline in current consumption, absence of employees from workplaces due to reserves duty and the closing of educational institutions; </w:t>
      </w:r>
      <w:r w:rsidR="001C07CD" w:rsidRPr="00A74002">
        <w:rPr>
          <w:rFonts w:asciiTheme="minorHAnsi" w:hAnsiTheme="minorHAnsi" w:cstheme="minorHAnsi"/>
        </w:rPr>
        <w:t xml:space="preserve">and </w:t>
      </w:r>
      <w:r w:rsidR="004B2E64" w:rsidRPr="00A74002">
        <w:rPr>
          <w:rFonts w:asciiTheme="minorHAnsi" w:hAnsiTheme="minorHAnsi" w:cstheme="minorHAnsi"/>
        </w:rPr>
        <w:t xml:space="preserve">a marked adverse impact </w:t>
      </w:r>
      <w:r w:rsidR="001C07CD" w:rsidRPr="00A74002">
        <w:rPr>
          <w:rFonts w:asciiTheme="minorHAnsi" w:hAnsiTheme="minorHAnsi" w:cstheme="minorHAnsi"/>
        </w:rPr>
        <w:t xml:space="preserve">on </w:t>
      </w:r>
      <w:r w:rsidR="004B2E64" w:rsidRPr="00A74002">
        <w:rPr>
          <w:rFonts w:asciiTheme="minorHAnsi" w:hAnsiTheme="minorHAnsi" w:cstheme="minorHAnsi"/>
        </w:rPr>
        <w:t>the construction and agriculture industries, as well as the tourism, entertainment, and leisure industries. Supply limitations alongsi</w:t>
      </w:r>
      <w:r w:rsidR="00B9141F" w:rsidRPr="00A74002">
        <w:rPr>
          <w:rFonts w:asciiTheme="minorHAnsi" w:hAnsiTheme="minorHAnsi" w:cstheme="minorHAnsi"/>
        </w:rPr>
        <w:t>d</w:t>
      </w:r>
      <w:r w:rsidR="004B2E64" w:rsidRPr="00A74002">
        <w:rPr>
          <w:rFonts w:asciiTheme="minorHAnsi" w:hAnsiTheme="minorHAnsi" w:cstheme="minorHAnsi"/>
        </w:rPr>
        <w:t xml:space="preserve">e the marked decline of demand in the beginning </w:t>
      </w:r>
      <w:r w:rsidR="00625B97" w:rsidRPr="00A74002">
        <w:rPr>
          <w:rFonts w:asciiTheme="minorHAnsi" w:hAnsiTheme="minorHAnsi" w:cstheme="minorHAnsi"/>
        </w:rPr>
        <w:t xml:space="preserve">of the </w:t>
      </w:r>
      <w:r w:rsidR="004B2E64" w:rsidRPr="00A74002">
        <w:rPr>
          <w:rFonts w:asciiTheme="minorHAnsi" w:hAnsiTheme="minorHAnsi" w:cstheme="minorHAnsi"/>
        </w:rPr>
        <w:t xml:space="preserve">war were </w:t>
      </w:r>
      <w:r w:rsidR="00625B97" w:rsidRPr="00A74002">
        <w:rPr>
          <w:rFonts w:asciiTheme="minorHAnsi" w:hAnsiTheme="minorHAnsi" w:cstheme="minorHAnsi"/>
        </w:rPr>
        <w:t>reflected</w:t>
      </w:r>
      <w:r w:rsidR="004B2E64" w:rsidRPr="00A74002">
        <w:rPr>
          <w:rFonts w:asciiTheme="minorHAnsi" w:hAnsiTheme="minorHAnsi" w:cstheme="minorHAnsi"/>
        </w:rPr>
        <w:t xml:space="preserve"> in a </w:t>
      </w:r>
      <w:r w:rsidR="00080F4D" w:rsidRPr="00A74002">
        <w:rPr>
          <w:rFonts w:asciiTheme="minorHAnsi" w:hAnsiTheme="minorHAnsi" w:cstheme="minorHAnsi"/>
        </w:rPr>
        <w:t xml:space="preserve">decrease </w:t>
      </w:r>
      <w:r w:rsidR="004B2E64" w:rsidRPr="00A74002">
        <w:rPr>
          <w:rFonts w:asciiTheme="minorHAnsi" w:hAnsiTheme="minorHAnsi" w:cstheme="minorHAnsi"/>
        </w:rPr>
        <w:t>o</w:t>
      </w:r>
      <w:r w:rsidR="00625B97" w:rsidRPr="00A74002">
        <w:rPr>
          <w:rFonts w:asciiTheme="minorHAnsi" w:hAnsiTheme="minorHAnsi" w:cstheme="minorHAnsi"/>
        </w:rPr>
        <w:t>f</w:t>
      </w:r>
      <w:r w:rsidR="004B2E64" w:rsidRPr="00A74002">
        <w:rPr>
          <w:rFonts w:asciiTheme="minorHAnsi" w:hAnsiTheme="minorHAnsi" w:cstheme="minorHAnsi"/>
        </w:rPr>
        <w:t xml:space="preserve"> </w:t>
      </w:r>
      <w:r w:rsidR="00625B97" w:rsidRPr="00A74002">
        <w:rPr>
          <w:rFonts w:asciiTheme="minorHAnsi" w:hAnsiTheme="minorHAnsi" w:cstheme="minorHAnsi"/>
        </w:rPr>
        <w:t>private</w:t>
      </w:r>
      <w:r w:rsidR="004B2E64" w:rsidRPr="00A74002">
        <w:rPr>
          <w:rFonts w:asciiTheme="minorHAnsi" w:hAnsiTheme="minorHAnsi" w:cstheme="minorHAnsi"/>
        </w:rPr>
        <w:t xml:space="preserve"> expenditure and in a </w:t>
      </w:r>
      <w:r w:rsidR="00625B97" w:rsidRPr="00A74002">
        <w:rPr>
          <w:rFonts w:asciiTheme="minorHAnsi" w:hAnsiTheme="minorHAnsi" w:cstheme="minorHAnsi"/>
        </w:rPr>
        <w:t>marked</w:t>
      </w:r>
      <w:r w:rsidR="004B2E64" w:rsidRPr="00A74002">
        <w:rPr>
          <w:rFonts w:asciiTheme="minorHAnsi" w:hAnsiTheme="minorHAnsi" w:cstheme="minorHAnsi"/>
        </w:rPr>
        <w:t xml:space="preserve"> decline in the scope of busine</w:t>
      </w:r>
      <w:r w:rsidR="00625B97" w:rsidRPr="00A74002">
        <w:rPr>
          <w:rFonts w:asciiTheme="minorHAnsi" w:hAnsiTheme="minorHAnsi" w:cstheme="minorHAnsi"/>
        </w:rPr>
        <w:t>ss</w:t>
      </w:r>
      <w:r w:rsidR="004B2E64" w:rsidRPr="00A74002">
        <w:rPr>
          <w:rFonts w:asciiTheme="minorHAnsi" w:hAnsiTheme="minorHAnsi" w:cstheme="minorHAnsi"/>
        </w:rPr>
        <w:t xml:space="preserve"> sector </w:t>
      </w:r>
      <w:r w:rsidR="00625B97" w:rsidRPr="00A74002">
        <w:rPr>
          <w:rFonts w:asciiTheme="minorHAnsi" w:hAnsiTheme="minorHAnsi" w:cstheme="minorHAnsi"/>
        </w:rPr>
        <w:t>revenues</w:t>
      </w:r>
      <w:r w:rsidR="004B2E64" w:rsidRPr="00A74002">
        <w:rPr>
          <w:rFonts w:asciiTheme="minorHAnsi" w:hAnsiTheme="minorHAnsi" w:cstheme="minorHAnsi"/>
        </w:rPr>
        <w:t xml:space="preserve">. The most severe adverse impact was on the food </w:t>
      </w:r>
      <w:r w:rsidR="00DB531B" w:rsidRPr="00A74002">
        <w:rPr>
          <w:rFonts w:asciiTheme="minorHAnsi" w:hAnsiTheme="minorHAnsi" w:cstheme="minorHAnsi"/>
        </w:rPr>
        <w:t xml:space="preserve">services </w:t>
      </w:r>
      <w:r w:rsidR="004B2E64" w:rsidRPr="00A74002">
        <w:rPr>
          <w:rFonts w:asciiTheme="minorHAnsi" w:hAnsiTheme="minorHAnsi" w:cstheme="minorHAnsi"/>
        </w:rPr>
        <w:t xml:space="preserve">and </w:t>
      </w:r>
      <w:r w:rsidR="00DB531B" w:rsidRPr="00A74002">
        <w:rPr>
          <w:rFonts w:asciiTheme="minorHAnsi" w:hAnsiTheme="minorHAnsi" w:cstheme="minorHAnsi"/>
        </w:rPr>
        <w:t xml:space="preserve">the </w:t>
      </w:r>
      <w:r w:rsidR="004B2E64" w:rsidRPr="00A74002">
        <w:rPr>
          <w:rFonts w:asciiTheme="minorHAnsi" w:hAnsiTheme="minorHAnsi" w:cstheme="minorHAnsi"/>
        </w:rPr>
        <w:t>construction industries. Later in the quarter, some recovery in activity was seen: credit card expenditure</w:t>
      </w:r>
      <w:r w:rsidR="00902492" w:rsidRPr="00A74002">
        <w:rPr>
          <w:rFonts w:asciiTheme="minorHAnsi" w:hAnsiTheme="minorHAnsi" w:cstheme="minorHAnsi"/>
        </w:rPr>
        <w:t>s</w:t>
      </w:r>
      <w:r w:rsidR="004B2E64" w:rsidRPr="00A74002">
        <w:rPr>
          <w:rFonts w:asciiTheme="minorHAnsi" w:hAnsiTheme="minorHAnsi" w:cstheme="minorHAnsi"/>
        </w:rPr>
        <w:t xml:space="preserve"> </w:t>
      </w:r>
      <w:r w:rsidR="00B9141F" w:rsidRPr="00A74002">
        <w:rPr>
          <w:rFonts w:asciiTheme="minorHAnsi" w:hAnsiTheme="minorHAnsi" w:cstheme="minorHAnsi"/>
        </w:rPr>
        <w:t>returned to routine levels, and the level of mobility in the economy improved considerably.</w:t>
      </w:r>
      <w:r w:rsidR="006B333E" w:rsidRPr="00A74002">
        <w:rPr>
          <w:rFonts w:asciiTheme="minorHAnsi" w:hAnsiTheme="minorHAnsi" w:cstheme="minorHAnsi"/>
        </w:rPr>
        <w:t xml:space="preserve"> Flash surveys by the Central Bureau of Statistics also indicated a notable </w:t>
      </w:r>
      <w:r w:rsidR="00625B97" w:rsidRPr="00A74002">
        <w:rPr>
          <w:rFonts w:asciiTheme="minorHAnsi" w:hAnsiTheme="minorHAnsi" w:cstheme="minorHAnsi"/>
        </w:rPr>
        <w:t>improvement in</w:t>
      </w:r>
      <w:r w:rsidR="006B333E" w:rsidRPr="00A74002">
        <w:rPr>
          <w:rFonts w:asciiTheme="minorHAnsi" w:hAnsiTheme="minorHAnsi" w:cstheme="minorHAnsi"/>
        </w:rPr>
        <w:t xml:space="preserve"> </w:t>
      </w:r>
      <w:r w:rsidR="008F2097" w:rsidRPr="00A74002">
        <w:rPr>
          <w:rFonts w:asciiTheme="minorHAnsi" w:hAnsiTheme="minorHAnsi" w:cstheme="minorHAnsi"/>
        </w:rPr>
        <w:t xml:space="preserve">employment in </w:t>
      </w:r>
      <w:r w:rsidR="006B333E" w:rsidRPr="00A74002">
        <w:rPr>
          <w:rFonts w:asciiTheme="minorHAnsi" w:hAnsiTheme="minorHAnsi" w:cstheme="minorHAnsi"/>
        </w:rPr>
        <w:t xml:space="preserve">all industries examined, particularly in view of the renewed opening of the education system; at the end of the half </w:t>
      </w:r>
      <w:r w:rsidR="00625B97" w:rsidRPr="00A74002">
        <w:rPr>
          <w:rFonts w:asciiTheme="minorHAnsi" w:hAnsiTheme="minorHAnsi" w:cstheme="minorHAnsi"/>
        </w:rPr>
        <w:t>year</w:t>
      </w:r>
      <w:r w:rsidR="006B333E" w:rsidRPr="00A74002">
        <w:rPr>
          <w:rFonts w:asciiTheme="minorHAnsi" w:hAnsiTheme="minorHAnsi" w:cstheme="minorHAnsi"/>
        </w:rPr>
        <w:t xml:space="preserve">, </w:t>
      </w:r>
      <w:r w:rsidR="007841CB" w:rsidRPr="00A74002">
        <w:rPr>
          <w:rFonts w:asciiTheme="minorHAnsi" w:hAnsiTheme="minorHAnsi" w:cstheme="minorHAnsi"/>
        </w:rPr>
        <w:t xml:space="preserve">in some industries </w:t>
      </w:r>
      <w:r w:rsidR="006B333E" w:rsidRPr="00A74002">
        <w:rPr>
          <w:rFonts w:asciiTheme="minorHAnsi" w:hAnsiTheme="minorHAnsi" w:cstheme="minorHAnsi"/>
        </w:rPr>
        <w:t>there was a recovery in the job vacancy rate, which had declined significantly with the war’s eruption.</w:t>
      </w:r>
    </w:p>
    <w:p w14:paraId="44F6D928" w14:textId="4CF5B889" w:rsidR="0089530F" w:rsidRPr="00A74002" w:rsidRDefault="0089530F" w:rsidP="00B9141F">
      <w:pPr>
        <w:jc w:val="both"/>
        <w:rPr>
          <w:rFonts w:asciiTheme="minorHAnsi" w:hAnsiTheme="minorHAnsi" w:cstheme="minorHAnsi"/>
          <w:b/>
          <w:bCs/>
        </w:rPr>
      </w:pPr>
    </w:p>
    <w:p w14:paraId="1A05387D" w14:textId="24CBB47D" w:rsidR="00D83197" w:rsidRPr="00A74002" w:rsidRDefault="00B8599E">
      <w:pPr>
        <w:jc w:val="both"/>
        <w:rPr>
          <w:rFonts w:asciiTheme="minorHAnsi" w:hAnsiTheme="minorHAnsi" w:cstheme="minorHAnsi"/>
        </w:rPr>
      </w:pPr>
      <w:r w:rsidRPr="00A74002">
        <w:rPr>
          <w:rFonts w:asciiTheme="minorHAnsi" w:hAnsiTheme="minorHAnsi" w:cstheme="minorHAnsi"/>
          <w:b/>
          <w:bCs/>
        </w:rPr>
        <w:t>The i</w:t>
      </w:r>
      <w:r w:rsidR="00F9571E" w:rsidRPr="00A74002">
        <w:rPr>
          <w:rFonts w:asciiTheme="minorHAnsi" w:hAnsiTheme="minorHAnsi" w:cstheme="minorHAnsi"/>
          <w:b/>
          <w:bCs/>
        </w:rPr>
        <w:t>nflation environment:</w:t>
      </w:r>
      <w:r w:rsidR="00F9571E" w:rsidRPr="00A74002">
        <w:rPr>
          <w:rFonts w:asciiTheme="minorHAnsi" w:hAnsiTheme="minorHAnsi" w:cstheme="minorHAnsi"/>
        </w:rPr>
        <w:t xml:space="preserve"> </w:t>
      </w:r>
      <w:r w:rsidR="00BA3E0C" w:rsidRPr="00A74002">
        <w:rPr>
          <w:rFonts w:asciiTheme="minorHAnsi" w:hAnsiTheme="minorHAnsi" w:cstheme="minorHAnsi"/>
        </w:rPr>
        <w:t>During the reviewed half year, the year over year inflation rate moderated gradually, in both the tradable component and the nontradable component</w:t>
      </w:r>
      <w:r w:rsidR="00E25E27" w:rsidRPr="00A74002">
        <w:rPr>
          <w:rFonts w:asciiTheme="minorHAnsi" w:hAnsiTheme="minorHAnsi" w:cstheme="minorHAnsi"/>
        </w:rPr>
        <w:t xml:space="preserve">. With the interest rate decision on January 1, 2024, the </w:t>
      </w:r>
      <w:r w:rsidR="00BA3E0C" w:rsidRPr="00A74002">
        <w:rPr>
          <w:rFonts w:asciiTheme="minorHAnsi" w:hAnsiTheme="minorHAnsi" w:cstheme="minorHAnsi"/>
        </w:rPr>
        <w:t>year over year inflation rate declined to 3.3 percent (</w:t>
      </w:r>
      <w:r w:rsidR="00E25E27" w:rsidRPr="00A74002">
        <w:rPr>
          <w:rFonts w:asciiTheme="minorHAnsi" w:hAnsiTheme="minorHAnsi" w:cstheme="minorHAnsi"/>
        </w:rPr>
        <w:t xml:space="preserve">based on the CPI for </w:t>
      </w:r>
      <w:r w:rsidR="00BA3E0C" w:rsidRPr="00A74002">
        <w:rPr>
          <w:rFonts w:asciiTheme="minorHAnsi" w:hAnsiTheme="minorHAnsi" w:cstheme="minorHAnsi"/>
        </w:rPr>
        <w:t>November</w:t>
      </w:r>
      <w:r w:rsidR="00E25E27" w:rsidRPr="00A74002">
        <w:rPr>
          <w:rFonts w:asciiTheme="minorHAnsi" w:hAnsiTheme="minorHAnsi" w:cstheme="minorHAnsi"/>
        </w:rPr>
        <w:t xml:space="preserve">, which is what was known at the time), after </w:t>
      </w:r>
      <w:r w:rsidR="00DF0328" w:rsidRPr="00A74002">
        <w:rPr>
          <w:rFonts w:asciiTheme="minorHAnsi" w:hAnsiTheme="minorHAnsi" w:cstheme="minorHAnsi"/>
        </w:rPr>
        <w:t xml:space="preserve">having been </w:t>
      </w:r>
      <w:r w:rsidR="006B7731" w:rsidRPr="00A74002">
        <w:rPr>
          <w:rFonts w:asciiTheme="minorHAnsi" w:hAnsiTheme="minorHAnsi" w:cstheme="minorHAnsi"/>
        </w:rPr>
        <w:t>5.4 percent in January 2023.</w:t>
      </w:r>
      <w:r w:rsidR="00EF3276" w:rsidRPr="00A74002">
        <w:rPr>
          <w:rFonts w:asciiTheme="minorHAnsi" w:hAnsiTheme="minorHAnsi" w:cstheme="minorHAnsi"/>
        </w:rPr>
        <w:t xml:space="preserve"> The annual growth rate of the core CPI (excluding fruit and vegetables and energy) declined to 2.9 percent. </w:t>
      </w:r>
      <w:r w:rsidR="00625B97" w:rsidRPr="00A74002">
        <w:rPr>
          <w:rFonts w:asciiTheme="minorHAnsi" w:hAnsiTheme="minorHAnsi" w:cstheme="minorHAnsi"/>
        </w:rPr>
        <w:t>It</w:t>
      </w:r>
      <w:r w:rsidR="00EF3276" w:rsidRPr="00A74002">
        <w:rPr>
          <w:rFonts w:asciiTheme="minorHAnsi" w:hAnsiTheme="minorHAnsi" w:cstheme="minorHAnsi"/>
        </w:rPr>
        <w:t xml:space="preserve"> appears that the war did not contribute to </w:t>
      </w:r>
      <w:r w:rsidR="00E25E27" w:rsidRPr="00A74002">
        <w:rPr>
          <w:rFonts w:asciiTheme="minorHAnsi" w:hAnsiTheme="minorHAnsi" w:cstheme="minorHAnsi"/>
        </w:rPr>
        <w:t xml:space="preserve">an increase in </w:t>
      </w:r>
      <w:r w:rsidR="00EF3276" w:rsidRPr="00A74002">
        <w:rPr>
          <w:rFonts w:asciiTheme="minorHAnsi" w:hAnsiTheme="minorHAnsi" w:cstheme="minorHAnsi"/>
        </w:rPr>
        <w:t>inflation in the immediate term.</w:t>
      </w:r>
      <w:r w:rsidR="00C95E91" w:rsidRPr="00A74002">
        <w:rPr>
          <w:rFonts w:asciiTheme="minorHAnsi" w:hAnsiTheme="minorHAnsi" w:cstheme="minorHAnsi"/>
        </w:rPr>
        <w:t xml:space="preserve"> In contrast to previous security occurrences, 1-year inflation expectations declined</w:t>
      </w:r>
      <w:r w:rsidR="004A48E2" w:rsidRPr="00A74002">
        <w:rPr>
          <w:rFonts w:asciiTheme="minorHAnsi" w:hAnsiTheme="minorHAnsi" w:cstheme="minorHAnsi"/>
        </w:rPr>
        <w:t xml:space="preserve"> at the beginning of the war</w:t>
      </w:r>
      <w:r w:rsidR="00C95E91" w:rsidRPr="00A74002">
        <w:rPr>
          <w:rFonts w:asciiTheme="minorHAnsi" w:hAnsiTheme="minorHAnsi" w:cstheme="minorHAnsi"/>
        </w:rPr>
        <w:t xml:space="preserve">, but later on returned to their </w:t>
      </w:r>
      <w:r w:rsidR="00D83197" w:rsidRPr="00A74002">
        <w:rPr>
          <w:rFonts w:asciiTheme="minorHAnsi" w:hAnsiTheme="minorHAnsi" w:cstheme="minorHAnsi"/>
        </w:rPr>
        <w:t>pre-war level. The interest rate path expected according to the Telbor curve declined during the reviewed half year, and at the end indicated an interest rate of 3.4 percent in another year</w:t>
      </w:r>
      <w:r w:rsidR="00E25E27" w:rsidRPr="00A74002">
        <w:rPr>
          <w:rFonts w:asciiTheme="minorHAnsi" w:hAnsiTheme="minorHAnsi" w:cstheme="minorHAnsi"/>
        </w:rPr>
        <w:t>. T</w:t>
      </w:r>
      <w:r w:rsidR="00D83197" w:rsidRPr="00A74002">
        <w:rPr>
          <w:rFonts w:asciiTheme="minorHAnsi" w:hAnsiTheme="minorHAnsi" w:cstheme="minorHAnsi"/>
        </w:rPr>
        <w:t>his is in contrast to a level of 4.6 percent just before the war.</w:t>
      </w:r>
      <w:r w:rsidR="00E25E27" w:rsidRPr="00A74002">
        <w:rPr>
          <w:rFonts w:asciiTheme="minorHAnsi" w:hAnsiTheme="minorHAnsi" w:cstheme="minorHAnsi"/>
        </w:rPr>
        <w:t xml:space="preserve"> After the decision that was reached at the beginning of January, the last decision covered by this report</w:t>
      </w:r>
      <w:r w:rsidR="004D5EF3" w:rsidRPr="00A74002">
        <w:rPr>
          <w:rFonts w:asciiTheme="minorHAnsi" w:hAnsiTheme="minorHAnsi" w:cstheme="minorHAnsi"/>
        </w:rPr>
        <w:t>, the CPI for December 2023 was published, indicating that the inflation rate was 3 percent in 2023. This means that the inflation rate entered the price-stability target range set in the Bank of Israel Law, against the background of the restrictive monetary policy as described in the report.</w:t>
      </w:r>
    </w:p>
    <w:p w14:paraId="1AD98DF9" w14:textId="77777777" w:rsidR="004E5715" w:rsidRPr="00A74002" w:rsidRDefault="004E5715" w:rsidP="00D83197">
      <w:pPr>
        <w:jc w:val="both"/>
        <w:rPr>
          <w:rFonts w:asciiTheme="minorHAnsi" w:hAnsiTheme="minorHAnsi" w:cstheme="minorHAnsi"/>
        </w:rPr>
      </w:pPr>
    </w:p>
    <w:p w14:paraId="2DE572A6" w14:textId="32BAFC66" w:rsidR="004F1E23" w:rsidRPr="00A74002" w:rsidRDefault="00F9571E" w:rsidP="00996B8C">
      <w:pPr>
        <w:jc w:val="both"/>
        <w:rPr>
          <w:rFonts w:asciiTheme="minorHAnsi" w:hAnsiTheme="minorHAnsi" w:cstheme="minorHAnsi"/>
        </w:rPr>
      </w:pPr>
      <w:r w:rsidRPr="00A74002">
        <w:rPr>
          <w:rFonts w:asciiTheme="minorHAnsi" w:hAnsiTheme="minorHAnsi" w:cstheme="minorHAnsi"/>
          <w:b/>
          <w:bCs/>
        </w:rPr>
        <w:t>Exchange rate:</w:t>
      </w:r>
      <w:r w:rsidRPr="00A74002">
        <w:rPr>
          <w:rFonts w:asciiTheme="minorHAnsi" w:hAnsiTheme="minorHAnsi" w:cstheme="minorHAnsi"/>
        </w:rPr>
        <w:t xml:space="preserve"> </w:t>
      </w:r>
      <w:r w:rsidR="004F1E23" w:rsidRPr="00A74002">
        <w:rPr>
          <w:rFonts w:asciiTheme="minorHAnsi" w:hAnsiTheme="minorHAnsi" w:cstheme="minorHAnsi"/>
        </w:rPr>
        <w:t xml:space="preserve">With the eruption of the war, Israel’s risk premium </w:t>
      </w:r>
      <w:r w:rsidR="00BA09B3" w:rsidRPr="00A74002">
        <w:rPr>
          <w:rFonts w:asciiTheme="minorHAnsi" w:hAnsiTheme="minorHAnsi" w:cstheme="minorHAnsi"/>
        </w:rPr>
        <w:t xml:space="preserve">increased sharply, and the shekel depreciated markedly against the dollar and euro. In order to moderate the fluctuations in the exchange rate and to supply the liquidity required for continued orderly activity of the markets, the Bank of Israel announced, before the first trading day after the war broke out, a program to sell </w:t>
      </w:r>
      <w:r w:rsidR="00D702D8" w:rsidRPr="00A74002">
        <w:rPr>
          <w:rFonts w:asciiTheme="minorHAnsi" w:hAnsiTheme="minorHAnsi" w:cstheme="minorHAnsi"/>
        </w:rPr>
        <w:t xml:space="preserve">up to </w:t>
      </w:r>
      <w:r w:rsidR="00BA09B3" w:rsidRPr="00A74002">
        <w:rPr>
          <w:rFonts w:asciiTheme="minorHAnsi" w:hAnsiTheme="minorHAnsi" w:cstheme="minorHAnsi"/>
        </w:rPr>
        <w:t xml:space="preserve">$30 billion </w:t>
      </w:r>
      <w:r w:rsidR="00996B8C" w:rsidRPr="00A74002">
        <w:rPr>
          <w:rFonts w:asciiTheme="minorHAnsi" w:hAnsiTheme="minorHAnsi" w:cstheme="minorHAnsi"/>
        </w:rPr>
        <w:t>of</w:t>
      </w:r>
      <w:r w:rsidR="00BA09B3" w:rsidRPr="00A74002">
        <w:rPr>
          <w:rFonts w:asciiTheme="minorHAnsi" w:hAnsiTheme="minorHAnsi" w:cstheme="minorHAnsi"/>
        </w:rPr>
        <w:t xml:space="preserve"> fore</w:t>
      </w:r>
      <w:r w:rsidR="00D702D8" w:rsidRPr="00A74002">
        <w:rPr>
          <w:rFonts w:asciiTheme="minorHAnsi" w:hAnsiTheme="minorHAnsi" w:cstheme="minorHAnsi"/>
        </w:rPr>
        <w:t>ign currency. Within the framework of that program, the Bank of Israel sold $8.2 billion in October and approximately $338 million in November.</w:t>
      </w:r>
      <w:r w:rsidR="00220F94" w:rsidRPr="00A74002">
        <w:rPr>
          <w:rFonts w:asciiTheme="minorHAnsi" w:hAnsiTheme="minorHAnsi" w:cstheme="minorHAnsi"/>
        </w:rPr>
        <w:t xml:space="preserve"> At the beginning of November, the trend reversed, and a trend of notable appreciation of the shekel began. This trend continued until the end of the reviewed half year, so that at its end, the shekel was appreciated compared to </w:t>
      </w:r>
      <w:r w:rsidR="00756D17" w:rsidRPr="00A74002">
        <w:rPr>
          <w:rFonts w:asciiTheme="minorHAnsi" w:hAnsiTheme="minorHAnsi" w:cstheme="minorHAnsi"/>
        </w:rPr>
        <w:t xml:space="preserve">the </w:t>
      </w:r>
      <w:r w:rsidR="00220F94" w:rsidRPr="00A74002">
        <w:rPr>
          <w:rFonts w:asciiTheme="minorHAnsi" w:hAnsiTheme="minorHAnsi" w:cstheme="minorHAnsi"/>
        </w:rPr>
        <w:t xml:space="preserve">level at </w:t>
      </w:r>
      <w:r w:rsidR="00756D17" w:rsidRPr="00A74002">
        <w:rPr>
          <w:rFonts w:asciiTheme="minorHAnsi" w:hAnsiTheme="minorHAnsi" w:cstheme="minorHAnsi"/>
        </w:rPr>
        <w:t xml:space="preserve">its </w:t>
      </w:r>
      <w:r w:rsidR="00220F94" w:rsidRPr="00A74002">
        <w:rPr>
          <w:rFonts w:asciiTheme="minorHAnsi" w:hAnsiTheme="minorHAnsi" w:cstheme="minorHAnsi"/>
        </w:rPr>
        <w:t>beginning.</w:t>
      </w:r>
    </w:p>
    <w:p w14:paraId="0A255103" w14:textId="54A18627" w:rsidR="00756D17" w:rsidRPr="00A74002" w:rsidRDefault="00756D17" w:rsidP="00756D17">
      <w:pPr>
        <w:jc w:val="both"/>
        <w:rPr>
          <w:rFonts w:asciiTheme="minorHAnsi" w:hAnsiTheme="minorHAnsi" w:cstheme="minorHAnsi"/>
        </w:rPr>
      </w:pPr>
    </w:p>
    <w:p w14:paraId="4E984B33" w14:textId="3137386E" w:rsidR="00F451D7" w:rsidRPr="00A74002" w:rsidRDefault="00756D17" w:rsidP="00225C96">
      <w:pPr>
        <w:jc w:val="both"/>
        <w:rPr>
          <w:rFonts w:asciiTheme="minorHAnsi" w:hAnsiTheme="minorHAnsi" w:cstheme="minorHAnsi"/>
          <w:b/>
          <w:bCs/>
        </w:rPr>
      </w:pPr>
      <w:r w:rsidRPr="00A74002">
        <w:rPr>
          <w:rFonts w:asciiTheme="minorHAnsi" w:hAnsiTheme="minorHAnsi" w:cstheme="minorHAnsi"/>
          <w:b/>
          <w:bCs/>
        </w:rPr>
        <w:t>Fiscal policy:</w:t>
      </w:r>
      <w:r w:rsidRPr="00A74002">
        <w:rPr>
          <w:rFonts w:asciiTheme="minorHAnsi" w:hAnsiTheme="minorHAnsi" w:cstheme="minorHAnsi"/>
        </w:rPr>
        <w:t xml:space="preserve"> </w:t>
      </w:r>
      <w:r w:rsidR="00D53744" w:rsidRPr="00A74002">
        <w:rPr>
          <w:rFonts w:asciiTheme="minorHAnsi" w:hAnsiTheme="minorHAnsi" w:cstheme="minorHAnsi"/>
        </w:rPr>
        <w:t>Against the background of the war, t</w:t>
      </w:r>
      <w:r w:rsidR="00F451D7" w:rsidRPr="00A74002">
        <w:rPr>
          <w:rFonts w:asciiTheme="minorHAnsi" w:hAnsiTheme="minorHAnsi" w:cstheme="minorHAnsi"/>
        </w:rPr>
        <w:t xml:space="preserve">he </w:t>
      </w:r>
      <w:r w:rsidR="00E77414" w:rsidRPr="00A74002">
        <w:rPr>
          <w:rFonts w:asciiTheme="minorHAnsi" w:hAnsiTheme="minorHAnsi" w:cstheme="minorHAnsi"/>
        </w:rPr>
        <w:t xml:space="preserve">deficit in the </w:t>
      </w:r>
      <w:r w:rsidR="00F451D7" w:rsidRPr="00A74002">
        <w:rPr>
          <w:rFonts w:asciiTheme="minorHAnsi" w:hAnsiTheme="minorHAnsi" w:cstheme="minorHAnsi"/>
        </w:rPr>
        <w:t>government</w:t>
      </w:r>
      <w:r w:rsidR="00EA762B" w:rsidRPr="00A74002">
        <w:rPr>
          <w:rFonts w:asciiTheme="minorHAnsi" w:hAnsiTheme="minorHAnsi" w:cstheme="minorHAnsi"/>
        </w:rPr>
        <w:t xml:space="preserve"> </w:t>
      </w:r>
      <w:r w:rsidR="00E77414" w:rsidRPr="00A74002">
        <w:rPr>
          <w:rFonts w:asciiTheme="minorHAnsi" w:hAnsiTheme="minorHAnsi" w:cstheme="minorHAnsi"/>
        </w:rPr>
        <w:t xml:space="preserve">budget </w:t>
      </w:r>
      <w:r w:rsidR="00F451D7" w:rsidRPr="00A74002">
        <w:rPr>
          <w:rFonts w:asciiTheme="minorHAnsi" w:hAnsiTheme="minorHAnsi" w:cstheme="minorHAnsi"/>
        </w:rPr>
        <w:t>increased</w:t>
      </w:r>
      <w:r w:rsidR="00D83DF3" w:rsidRPr="00A74002">
        <w:rPr>
          <w:rFonts w:asciiTheme="minorHAnsi" w:hAnsiTheme="minorHAnsi" w:cstheme="minorHAnsi"/>
        </w:rPr>
        <w:t xml:space="preserve"> in 2023</w:t>
      </w:r>
      <w:r w:rsidR="00F451D7" w:rsidRPr="00A74002">
        <w:rPr>
          <w:rFonts w:asciiTheme="minorHAnsi" w:hAnsiTheme="minorHAnsi" w:cstheme="minorHAnsi"/>
        </w:rPr>
        <w:t xml:space="preserve">, </w:t>
      </w:r>
      <w:r w:rsidR="00BB76B2" w:rsidRPr="00A74002">
        <w:rPr>
          <w:rFonts w:asciiTheme="minorHAnsi" w:hAnsiTheme="minorHAnsi" w:cstheme="minorHAnsi"/>
        </w:rPr>
        <w:t>reaching 4.2 percent of GDP</w:t>
      </w:r>
      <w:r w:rsidR="00D83DF3" w:rsidRPr="00A74002">
        <w:rPr>
          <w:rFonts w:asciiTheme="minorHAnsi" w:hAnsiTheme="minorHAnsi" w:cstheme="minorHAnsi"/>
        </w:rPr>
        <w:t xml:space="preserve">, compared to a surplus of 0.6 percent of GDP in 2022. The </w:t>
      </w:r>
      <w:r w:rsidR="00BB76B2" w:rsidRPr="00A74002">
        <w:rPr>
          <w:rFonts w:asciiTheme="minorHAnsi" w:hAnsiTheme="minorHAnsi" w:cstheme="minorHAnsi"/>
        </w:rPr>
        <w:t>deficit in the updated 2024 budget is expected to be 6.</w:t>
      </w:r>
      <w:r w:rsidR="00D83DF3" w:rsidRPr="00A74002">
        <w:rPr>
          <w:rFonts w:asciiTheme="minorHAnsi" w:hAnsiTheme="minorHAnsi" w:cstheme="minorHAnsi"/>
        </w:rPr>
        <w:t>6</w:t>
      </w:r>
      <w:r w:rsidR="00BB76B2" w:rsidRPr="00A74002">
        <w:rPr>
          <w:rFonts w:asciiTheme="minorHAnsi" w:hAnsiTheme="minorHAnsi" w:cstheme="minorHAnsi"/>
        </w:rPr>
        <w:t xml:space="preserve"> percent of GDP</w:t>
      </w:r>
      <w:r w:rsidR="00D83DF3" w:rsidRPr="00A74002">
        <w:rPr>
          <w:rFonts w:asciiTheme="minorHAnsi" w:hAnsiTheme="minorHAnsi" w:cstheme="minorHAnsi"/>
        </w:rPr>
        <w:t xml:space="preserve">, and the debt to GDP ratio is expected to increase to 66 percent at the end of 2024, from </w:t>
      </w:r>
      <w:r w:rsidR="00661F37" w:rsidRPr="00A74002">
        <w:rPr>
          <w:rFonts w:asciiTheme="minorHAnsi" w:hAnsiTheme="minorHAnsi" w:cstheme="minorHAnsi"/>
        </w:rPr>
        <w:t xml:space="preserve">60 percent </w:t>
      </w:r>
      <w:r w:rsidR="009C3138" w:rsidRPr="00A74002">
        <w:rPr>
          <w:rFonts w:asciiTheme="minorHAnsi" w:hAnsiTheme="minorHAnsi" w:cstheme="minorHAnsi"/>
        </w:rPr>
        <w:t xml:space="preserve">of GDP </w:t>
      </w:r>
      <w:r w:rsidR="00661F37" w:rsidRPr="00A74002">
        <w:rPr>
          <w:rFonts w:asciiTheme="minorHAnsi" w:hAnsiTheme="minorHAnsi" w:cstheme="minorHAnsi"/>
        </w:rPr>
        <w:t xml:space="preserve">just before </w:t>
      </w:r>
      <w:r w:rsidR="00661F37" w:rsidRPr="00A74002">
        <w:rPr>
          <w:rFonts w:asciiTheme="minorHAnsi" w:hAnsiTheme="minorHAnsi" w:cstheme="minorHAnsi"/>
        </w:rPr>
        <w:lastRenderedPageBreak/>
        <w:t>the war.</w:t>
      </w:r>
      <w:r w:rsidR="00D83DF3" w:rsidRPr="00A74002">
        <w:rPr>
          <w:rFonts w:asciiTheme="minorHAnsi" w:hAnsiTheme="minorHAnsi" w:cstheme="minorHAnsi"/>
        </w:rPr>
        <w:t xml:space="preserve"> </w:t>
      </w:r>
      <w:r w:rsidR="00661F37" w:rsidRPr="00A74002">
        <w:rPr>
          <w:rFonts w:asciiTheme="minorHAnsi" w:hAnsiTheme="minorHAnsi" w:cstheme="minorHAnsi"/>
        </w:rPr>
        <w:t xml:space="preserve">The war’s costs on the defense and civilian expenditures side </w:t>
      </w:r>
      <w:r w:rsidR="00BB76B2" w:rsidRPr="00A74002">
        <w:rPr>
          <w:rFonts w:asciiTheme="minorHAnsi" w:hAnsiTheme="minorHAnsi" w:cstheme="minorHAnsi"/>
        </w:rPr>
        <w:t xml:space="preserve">as well as </w:t>
      </w:r>
      <w:r w:rsidR="00661F37" w:rsidRPr="00A74002">
        <w:rPr>
          <w:rFonts w:asciiTheme="minorHAnsi" w:hAnsiTheme="minorHAnsi" w:cstheme="minorHAnsi"/>
        </w:rPr>
        <w:t xml:space="preserve">the loss of revenues </w:t>
      </w:r>
      <w:r w:rsidR="0008506B" w:rsidRPr="00A74002">
        <w:rPr>
          <w:rFonts w:asciiTheme="minorHAnsi" w:hAnsiTheme="minorHAnsi" w:cstheme="minorHAnsi"/>
        </w:rPr>
        <w:t xml:space="preserve">are </w:t>
      </w:r>
      <w:r w:rsidR="00661F37" w:rsidRPr="00A74002">
        <w:rPr>
          <w:rFonts w:asciiTheme="minorHAnsi" w:hAnsiTheme="minorHAnsi" w:cstheme="minorHAnsi"/>
        </w:rPr>
        <w:t xml:space="preserve">estimated </w:t>
      </w:r>
      <w:r w:rsidR="0008506B" w:rsidRPr="00A74002">
        <w:rPr>
          <w:rFonts w:asciiTheme="minorHAnsi" w:hAnsiTheme="minorHAnsi" w:cstheme="minorHAnsi"/>
        </w:rPr>
        <w:t xml:space="preserve">by the </w:t>
      </w:r>
      <w:r w:rsidR="00BB76B2" w:rsidRPr="00A74002">
        <w:rPr>
          <w:rFonts w:asciiTheme="minorHAnsi" w:hAnsiTheme="minorHAnsi" w:cstheme="minorHAnsi"/>
        </w:rPr>
        <w:t xml:space="preserve">Research </w:t>
      </w:r>
      <w:r w:rsidR="0008506B" w:rsidRPr="00A74002">
        <w:rPr>
          <w:rFonts w:asciiTheme="minorHAnsi" w:hAnsiTheme="minorHAnsi" w:cstheme="minorHAnsi"/>
        </w:rPr>
        <w:t xml:space="preserve">Department </w:t>
      </w:r>
      <w:r w:rsidR="00661F37" w:rsidRPr="00A74002">
        <w:rPr>
          <w:rFonts w:asciiTheme="minorHAnsi" w:hAnsiTheme="minorHAnsi" w:cstheme="minorHAnsi"/>
        </w:rPr>
        <w:t xml:space="preserve">to be </w:t>
      </w:r>
      <w:r w:rsidR="00D83DF3" w:rsidRPr="00A74002">
        <w:rPr>
          <w:rFonts w:asciiTheme="minorHAnsi" w:hAnsiTheme="minorHAnsi" w:cstheme="minorHAnsi"/>
        </w:rPr>
        <w:t xml:space="preserve">more than </w:t>
      </w:r>
      <w:r w:rsidR="00661F37" w:rsidRPr="00A74002">
        <w:rPr>
          <w:rFonts w:asciiTheme="minorHAnsi" w:hAnsiTheme="minorHAnsi" w:cstheme="minorHAnsi"/>
        </w:rPr>
        <w:t>NIS 2</w:t>
      </w:r>
      <w:r w:rsidR="00D83DF3" w:rsidRPr="00A74002">
        <w:rPr>
          <w:rFonts w:asciiTheme="minorHAnsi" w:hAnsiTheme="minorHAnsi" w:cstheme="minorHAnsi"/>
        </w:rPr>
        <w:t>0</w:t>
      </w:r>
      <w:r w:rsidR="00661F37" w:rsidRPr="00A74002">
        <w:rPr>
          <w:rFonts w:asciiTheme="minorHAnsi" w:hAnsiTheme="minorHAnsi" w:cstheme="minorHAnsi"/>
        </w:rPr>
        <w:t xml:space="preserve">0 </w:t>
      </w:r>
      <w:r w:rsidR="00036B95" w:rsidRPr="00A74002">
        <w:rPr>
          <w:rFonts w:asciiTheme="minorHAnsi" w:hAnsiTheme="minorHAnsi" w:cstheme="minorHAnsi"/>
        </w:rPr>
        <w:t>b</w:t>
      </w:r>
      <w:r w:rsidR="00661F37" w:rsidRPr="00A74002">
        <w:rPr>
          <w:rFonts w:asciiTheme="minorHAnsi" w:hAnsiTheme="minorHAnsi" w:cstheme="minorHAnsi"/>
        </w:rPr>
        <w:t xml:space="preserve">illion. </w:t>
      </w:r>
      <w:r w:rsidR="00D83DF3" w:rsidRPr="00A74002">
        <w:rPr>
          <w:rFonts w:asciiTheme="minorHAnsi" w:hAnsiTheme="minorHAnsi" w:cstheme="minorHAnsi"/>
        </w:rPr>
        <w:t>On January 15, the government approved the updated government budget for 2024, which includes budget adjustments of NIS 17 billion for 2024 and 2025. However, the marked increase expected in expenditures, even after the adjustments, is liable to create inflation</w:t>
      </w:r>
      <w:r w:rsidR="00E77414" w:rsidRPr="00A74002">
        <w:rPr>
          <w:rFonts w:asciiTheme="minorHAnsi" w:hAnsiTheme="minorHAnsi" w:cstheme="minorHAnsi"/>
        </w:rPr>
        <w:t xml:space="preserve"> </w:t>
      </w:r>
      <w:r w:rsidR="00D83DF3" w:rsidRPr="00A74002">
        <w:rPr>
          <w:rFonts w:asciiTheme="minorHAnsi" w:hAnsiTheme="minorHAnsi" w:cstheme="minorHAnsi"/>
        </w:rPr>
        <w:t xml:space="preserve">pressures </w:t>
      </w:r>
      <w:r w:rsidR="00EF780A" w:rsidRPr="00A74002">
        <w:rPr>
          <w:rFonts w:asciiTheme="minorHAnsi" w:hAnsiTheme="minorHAnsi" w:cstheme="minorHAnsi"/>
        </w:rPr>
        <w:t>in the short-medium term</w:t>
      </w:r>
      <w:r w:rsidR="00D83DF3" w:rsidRPr="00A74002">
        <w:rPr>
          <w:rFonts w:asciiTheme="minorHAnsi" w:hAnsiTheme="minorHAnsi" w:cstheme="minorHAnsi"/>
        </w:rPr>
        <w:t xml:space="preserve"> </w:t>
      </w:r>
      <w:r w:rsidR="00BE7001" w:rsidRPr="00A74002">
        <w:rPr>
          <w:rFonts w:asciiTheme="minorHAnsi" w:hAnsiTheme="minorHAnsi" w:cstheme="minorHAnsi"/>
        </w:rPr>
        <w:t>commitment</w:t>
      </w:r>
      <w:r w:rsidR="00357EE1" w:rsidRPr="00A74002">
        <w:rPr>
          <w:rFonts w:asciiTheme="minorHAnsi" w:hAnsiTheme="minorHAnsi" w:cstheme="minorHAnsi"/>
        </w:rPr>
        <w:t xml:space="preserve"> to </w:t>
      </w:r>
      <w:r w:rsidR="00625B97" w:rsidRPr="00A74002">
        <w:rPr>
          <w:rFonts w:asciiTheme="minorHAnsi" w:hAnsiTheme="minorHAnsi" w:cstheme="minorHAnsi"/>
        </w:rPr>
        <w:t xml:space="preserve">maintain </w:t>
      </w:r>
      <w:r w:rsidR="00357EE1" w:rsidRPr="00A74002">
        <w:rPr>
          <w:rFonts w:asciiTheme="minorHAnsi" w:hAnsiTheme="minorHAnsi" w:cstheme="minorHAnsi"/>
        </w:rPr>
        <w:t>price stability.</w:t>
      </w:r>
      <w:r w:rsidR="00357EE1" w:rsidRPr="00A74002">
        <w:rPr>
          <w:rFonts w:asciiTheme="minorHAnsi" w:hAnsiTheme="minorHAnsi" w:cstheme="minorHAnsi"/>
          <w:b/>
          <w:bCs/>
        </w:rPr>
        <w:t xml:space="preserve"> </w:t>
      </w:r>
    </w:p>
    <w:p w14:paraId="429ABDAD" w14:textId="64ABC087" w:rsidR="00756D17" w:rsidRPr="00A74002" w:rsidRDefault="00756D17" w:rsidP="00756D17">
      <w:pPr>
        <w:jc w:val="both"/>
        <w:rPr>
          <w:rFonts w:asciiTheme="minorHAnsi" w:hAnsiTheme="minorHAnsi" w:cstheme="minorHAnsi"/>
          <w:b/>
          <w:bCs/>
        </w:rPr>
      </w:pPr>
    </w:p>
    <w:p w14:paraId="2C05E298" w14:textId="4C3C3B2D" w:rsidR="00625B97" w:rsidRPr="00A74002" w:rsidRDefault="00625B97" w:rsidP="00A16450">
      <w:pPr>
        <w:jc w:val="both"/>
        <w:rPr>
          <w:rFonts w:asciiTheme="minorHAnsi" w:hAnsiTheme="minorHAnsi" w:cstheme="minorHAnsi"/>
        </w:rPr>
      </w:pPr>
      <w:r w:rsidRPr="00A74002">
        <w:rPr>
          <w:rFonts w:asciiTheme="minorHAnsi" w:hAnsiTheme="minorHAnsi" w:cstheme="minorHAnsi"/>
          <w:b/>
          <w:bCs/>
        </w:rPr>
        <w:t>Financial stability:</w:t>
      </w:r>
      <w:r w:rsidR="00EA2BC4" w:rsidRPr="00A74002">
        <w:rPr>
          <w:rFonts w:asciiTheme="minorHAnsi" w:hAnsiTheme="minorHAnsi" w:cstheme="minorHAnsi"/>
          <w:b/>
          <w:bCs/>
        </w:rPr>
        <w:t xml:space="preserve"> </w:t>
      </w:r>
      <w:r w:rsidR="00EA2BC4" w:rsidRPr="00A74002">
        <w:rPr>
          <w:rFonts w:asciiTheme="minorHAnsi" w:hAnsiTheme="minorHAnsi" w:cstheme="minorHAnsi"/>
        </w:rPr>
        <w:t xml:space="preserve">Equity indices in Israel increased in the third quarter of 2023, and thus </w:t>
      </w:r>
      <w:r w:rsidR="00734F93" w:rsidRPr="00A74002">
        <w:rPr>
          <w:rFonts w:asciiTheme="minorHAnsi" w:hAnsiTheme="minorHAnsi" w:cstheme="minorHAnsi"/>
        </w:rPr>
        <w:t xml:space="preserve">were notable compared to the global trend. However, equity indices in Israel since the beginning of 2023 have been characterized by </w:t>
      </w:r>
      <w:r w:rsidR="00BE7001" w:rsidRPr="00A74002">
        <w:rPr>
          <w:rFonts w:asciiTheme="minorHAnsi" w:hAnsiTheme="minorHAnsi" w:cstheme="minorHAnsi"/>
        </w:rPr>
        <w:t>significant</w:t>
      </w:r>
      <w:r w:rsidR="00734F93" w:rsidRPr="00A74002">
        <w:rPr>
          <w:rFonts w:asciiTheme="minorHAnsi" w:hAnsiTheme="minorHAnsi" w:cstheme="minorHAnsi"/>
        </w:rPr>
        <w:t xml:space="preserve"> underperformance compared to indices worldwide. The considerable uncertainty in the first days of the war were reflected in sharp declines in prices of financial assets—stocks, corporate bonds, and government bonds—with increasing volatility of prices </w:t>
      </w:r>
      <w:r w:rsidR="009D04CE" w:rsidRPr="00A74002">
        <w:rPr>
          <w:rFonts w:asciiTheme="minorHAnsi" w:hAnsiTheme="minorHAnsi" w:cstheme="minorHAnsi"/>
        </w:rPr>
        <w:t xml:space="preserve">and </w:t>
      </w:r>
      <w:r w:rsidR="00734F93" w:rsidRPr="00A74002">
        <w:rPr>
          <w:rFonts w:asciiTheme="minorHAnsi" w:hAnsiTheme="minorHAnsi" w:cstheme="minorHAnsi"/>
        </w:rPr>
        <w:t>a declin</w:t>
      </w:r>
      <w:r w:rsidR="00470015" w:rsidRPr="00A74002">
        <w:rPr>
          <w:rFonts w:asciiTheme="minorHAnsi" w:hAnsiTheme="minorHAnsi" w:cstheme="minorHAnsi"/>
        </w:rPr>
        <w:t>e</w:t>
      </w:r>
      <w:r w:rsidR="00734F93" w:rsidRPr="00A74002">
        <w:rPr>
          <w:rFonts w:asciiTheme="minorHAnsi" w:hAnsiTheme="minorHAnsi" w:cstheme="minorHAnsi"/>
        </w:rPr>
        <w:t xml:space="preserve"> in l</w:t>
      </w:r>
      <w:r w:rsidR="00470015" w:rsidRPr="00A74002">
        <w:rPr>
          <w:rFonts w:asciiTheme="minorHAnsi" w:hAnsiTheme="minorHAnsi" w:cstheme="minorHAnsi"/>
        </w:rPr>
        <w:t>i</w:t>
      </w:r>
      <w:r w:rsidR="00734F93" w:rsidRPr="00A74002">
        <w:rPr>
          <w:rFonts w:asciiTheme="minorHAnsi" w:hAnsiTheme="minorHAnsi" w:cstheme="minorHAnsi"/>
        </w:rPr>
        <w:t>q</w:t>
      </w:r>
      <w:r w:rsidR="00470015" w:rsidRPr="00A74002">
        <w:rPr>
          <w:rFonts w:asciiTheme="minorHAnsi" w:hAnsiTheme="minorHAnsi" w:cstheme="minorHAnsi"/>
        </w:rPr>
        <w:t>ui</w:t>
      </w:r>
      <w:r w:rsidR="00734F93" w:rsidRPr="00A74002">
        <w:rPr>
          <w:rFonts w:asciiTheme="minorHAnsi" w:hAnsiTheme="minorHAnsi" w:cstheme="minorHAnsi"/>
        </w:rPr>
        <w:t xml:space="preserve">dity levels. Most of the </w:t>
      </w:r>
      <w:r w:rsidR="00470015" w:rsidRPr="00A74002">
        <w:rPr>
          <w:rFonts w:asciiTheme="minorHAnsi" w:hAnsiTheme="minorHAnsi" w:cstheme="minorHAnsi"/>
        </w:rPr>
        <w:t>i</w:t>
      </w:r>
      <w:r w:rsidR="00734F93" w:rsidRPr="00A74002">
        <w:rPr>
          <w:rFonts w:asciiTheme="minorHAnsi" w:hAnsiTheme="minorHAnsi" w:cstheme="minorHAnsi"/>
        </w:rPr>
        <w:t>m</w:t>
      </w:r>
      <w:r w:rsidR="00470015" w:rsidRPr="00A74002">
        <w:rPr>
          <w:rFonts w:asciiTheme="minorHAnsi" w:hAnsiTheme="minorHAnsi" w:cstheme="minorHAnsi"/>
        </w:rPr>
        <w:t>p</w:t>
      </w:r>
      <w:r w:rsidR="00734F93" w:rsidRPr="00A74002">
        <w:rPr>
          <w:rFonts w:asciiTheme="minorHAnsi" w:hAnsiTheme="minorHAnsi" w:cstheme="minorHAnsi"/>
        </w:rPr>
        <w:t>act</w:t>
      </w:r>
      <w:r w:rsidR="009D04CE" w:rsidRPr="00A74002">
        <w:rPr>
          <w:rFonts w:asciiTheme="minorHAnsi" w:hAnsiTheme="minorHAnsi" w:cstheme="minorHAnsi"/>
        </w:rPr>
        <w:t>s</w:t>
      </w:r>
      <w:r w:rsidR="00734F93" w:rsidRPr="00A74002">
        <w:rPr>
          <w:rFonts w:asciiTheme="minorHAnsi" w:hAnsiTheme="minorHAnsi" w:cstheme="minorHAnsi"/>
        </w:rPr>
        <w:t xml:space="preserve"> </w:t>
      </w:r>
      <w:r w:rsidR="00BE7001" w:rsidRPr="00A74002">
        <w:rPr>
          <w:rFonts w:asciiTheme="minorHAnsi" w:hAnsiTheme="minorHAnsi" w:cstheme="minorHAnsi"/>
        </w:rPr>
        <w:t>dissipated</w:t>
      </w:r>
      <w:r w:rsidR="00734F93" w:rsidRPr="00A74002">
        <w:rPr>
          <w:rFonts w:asciiTheme="minorHAnsi" w:hAnsiTheme="minorHAnsi" w:cstheme="minorHAnsi"/>
        </w:rPr>
        <w:t xml:space="preserve"> after a</w:t>
      </w:r>
      <w:r w:rsidR="00BE7001" w:rsidRPr="00A74002">
        <w:rPr>
          <w:rFonts w:asciiTheme="minorHAnsi" w:hAnsiTheme="minorHAnsi" w:cstheme="minorHAnsi"/>
        </w:rPr>
        <w:t xml:space="preserve"> short </w:t>
      </w:r>
      <w:r w:rsidR="00734F93" w:rsidRPr="00A74002">
        <w:rPr>
          <w:rFonts w:asciiTheme="minorHAnsi" w:hAnsiTheme="minorHAnsi" w:cstheme="minorHAnsi"/>
        </w:rPr>
        <w:t>time, b</w:t>
      </w:r>
      <w:r w:rsidR="00470015" w:rsidRPr="00A74002">
        <w:rPr>
          <w:rFonts w:asciiTheme="minorHAnsi" w:hAnsiTheme="minorHAnsi" w:cstheme="minorHAnsi"/>
        </w:rPr>
        <w:t>ut market volatility remai</w:t>
      </w:r>
      <w:r w:rsidR="00734F93" w:rsidRPr="00A74002">
        <w:rPr>
          <w:rFonts w:asciiTheme="minorHAnsi" w:hAnsiTheme="minorHAnsi" w:cstheme="minorHAnsi"/>
        </w:rPr>
        <w:t>n</w:t>
      </w:r>
      <w:r w:rsidR="00470015" w:rsidRPr="00A74002">
        <w:rPr>
          <w:rFonts w:asciiTheme="minorHAnsi" w:hAnsiTheme="minorHAnsi" w:cstheme="minorHAnsi"/>
        </w:rPr>
        <w:t>e</w:t>
      </w:r>
      <w:r w:rsidR="00734F93" w:rsidRPr="00A74002">
        <w:rPr>
          <w:rFonts w:asciiTheme="minorHAnsi" w:hAnsiTheme="minorHAnsi" w:cstheme="minorHAnsi"/>
        </w:rPr>
        <w:t>d hig</w:t>
      </w:r>
      <w:r w:rsidR="00470015" w:rsidRPr="00A74002">
        <w:rPr>
          <w:rFonts w:asciiTheme="minorHAnsi" w:hAnsiTheme="minorHAnsi" w:cstheme="minorHAnsi"/>
        </w:rPr>
        <w:t>h</w:t>
      </w:r>
      <w:r w:rsidR="00734F93" w:rsidRPr="00A74002">
        <w:rPr>
          <w:rFonts w:asciiTheme="minorHAnsi" w:hAnsiTheme="minorHAnsi" w:cstheme="minorHAnsi"/>
        </w:rPr>
        <w:t xml:space="preserve">, </w:t>
      </w:r>
      <w:r w:rsidR="00470015" w:rsidRPr="00A74002">
        <w:rPr>
          <w:rFonts w:asciiTheme="minorHAnsi" w:hAnsiTheme="minorHAnsi" w:cstheme="minorHAnsi"/>
        </w:rPr>
        <w:t xml:space="preserve">as did the </w:t>
      </w:r>
      <w:r w:rsidR="00734F93" w:rsidRPr="00A74002">
        <w:rPr>
          <w:rFonts w:asciiTheme="minorHAnsi" w:hAnsiTheme="minorHAnsi" w:cstheme="minorHAnsi"/>
        </w:rPr>
        <w:t>country’s risk pre</w:t>
      </w:r>
      <w:r w:rsidR="00470015" w:rsidRPr="00A74002">
        <w:rPr>
          <w:rFonts w:asciiTheme="minorHAnsi" w:hAnsiTheme="minorHAnsi" w:cstheme="minorHAnsi"/>
        </w:rPr>
        <w:t>m</w:t>
      </w:r>
      <w:r w:rsidR="00734F93" w:rsidRPr="00A74002">
        <w:rPr>
          <w:rFonts w:asciiTheme="minorHAnsi" w:hAnsiTheme="minorHAnsi" w:cstheme="minorHAnsi"/>
        </w:rPr>
        <w:t>ium</w:t>
      </w:r>
      <w:r w:rsidR="00470015" w:rsidRPr="00A74002">
        <w:rPr>
          <w:rFonts w:asciiTheme="minorHAnsi" w:hAnsiTheme="minorHAnsi" w:cstheme="minorHAnsi"/>
        </w:rPr>
        <w:t>. In view of the war in Israel, two of leading rating</w:t>
      </w:r>
      <w:r w:rsidR="00A16450" w:rsidRPr="00A74002">
        <w:rPr>
          <w:rFonts w:asciiTheme="minorHAnsi" w:hAnsiTheme="minorHAnsi" w:cstheme="minorHAnsi"/>
        </w:rPr>
        <w:t xml:space="preserve">s agencies </w:t>
      </w:r>
      <w:r w:rsidR="00470015" w:rsidRPr="00A74002">
        <w:rPr>
          <w:rFonts w:asciiTheme="minorHAnsi" w:hAnsiTheme="minorHAnsi" w:cstheme="minorHAnsi"/>
        </w:rPr>
        <w:t xml:space="preserve">announced that they are placing </w:t>
      </w:r>
      <w:r w:rsidR="00BE7001" w:rsidRPr="00A74002">
        <w:rPr>
          <w:rFonts w:asciiTheme="minorHAnsi" w:hAnsiTheme="minorHAnsi" w:cstheme="minorHAnsi"/>
        </w:rPr>
        <w:t>Israel’s</w:t>
      </w:r>
      <w:r w:rsidR="00470015" w:rsidRPr="00A74002">
        <w:rPr>
          <w:rFonts w:asciiTheme="minorHAnsi" w:hAnsiTheme="minorHAnsi" w:cstheme="minorHAnsi"/>
        </w:rPr>
        <w:t xml:space="preserve"> credit rating </w:t>
      </w:r>
      <w:r w:rsidR="009D04CE" w:rsidRPr="00A74002">
        <w:rPr>
          <w:rFonts w:asciiTheme="minorHAnsi" w:hAnsiTheme="minorHAnsi" w:cstheme="minorHAnsi"/>
        </w:rPr>
        <w:t xml:space="preserve">on </w:t>
      </w:r>
      <w:r w:rsidR="00470015" w:rsidRPr="00A74002">
        <w:rPr>
          <w:rFonts w:asciiTheme="minorHAnsi" w:hAnsiTheme="minorHAnsi" w:cstheme="minorHAnsi"/>
        </w:rPr>
        <w:t xml:space="preserve">a “negative outlook” and rating </w:t>
      </w:r>
      <w:r w:rsidR="00A16450" w:rsidRPr="00A74002">
        <w:rPr>
          <w:rFonts w:asciiTheme="minorHAnsi" w:hAnsiTheme="minorHAnsi" w:cstheme="minorHAnsi"/>
        </w:rPr>
        <w:t xml:space="preserve">agency </w:t>
      </w:r>
      <w:r w:rsidR="00470015" w:rsidRPr="00A74002">
        <w:rPr>
          <w:rFonts w:asciiTheme="minorHAnsi" w:hAnsiTheme="minorHAnsi" w:cstheme="minorHAnsi"/>
        </w:rPr>
        <w:t xml:space="preserve">S&amp;P decided to </w:t>
      </w:r>
      <w:r w:rsidR="00A16450" w:rsidRPr="00A74002">
        <w:rPr>
          <w:rFonts w:asciiTheme="minorHAnsi" w:hAnsiTheme="minorHAnsi" w:cstheme="minorHAnsi"/>
        </w:rPr>
        <w:t xml:space="preserve">downgrade </w:t>
      </w:r>
      <w:r w:rsidR="00470015" w:rsidRPr="00A74002">
        <w:rPr>
          <w:rFonts w:asciiTheme="minorHAnsi" w:hAnsiTheme="minorHAnsi" w:cstheme="minorHAnsi"/>
        </w:rPr>
        <w:t xml:space="preserve">its </w:t>
      </w:r>
      <w:r w:rsidR="00A16450" w:rsidRPr="00A74002">
        <w:rPr>
          <w:rFonts w:asciiTheme="minorHAnsi" w:hAnsiTheme="minorHAnsi" w:cstheme="minorHAnsi"/>
        </w:rPr>
        <w:t xml:space="preserve">credit </w:t>
      </w:r>
      <w:r w:rsidR="00470015" w:rsidRPr="00A74002">
        <w:rPr>
          <w:rFonts w:asciiTheme="minorHAnsi" w:hAnsiTheme="minorHAnsi" w:cstheme="minorHAnsi"/>
        </w:rPr>
        <w:t xml:space="preserve">rating outlook. During the reviewed half year, the </w:t>
      </w:r>
      <w:r w:rsidR="00BE7001" w:rsidRPr="00A74002">
        <w:rPr>
          <w:rFonts w:asciiTheme="minorHAnsi" w:hAnsiTheme="minorHAnsi" w:cstheme="minorHAnsi"/>
        </w:rPr>
        <w:t>credit</w:t>
      </w:r>
      <w:r w:rsidR="00470015" w:rsidRPr="00A74002">
        <w:rPr>
          <w:rFonts w:asciiTheme="minorHAnsi" w:hAnsiTheme="minorHAnsi" w:cstheme="minorHAnsi"/>
        </w:rPr>
        <w:t xml:space="preserve"> balance increased </w:t>
      </w:r>
      <w:r w:rsidR="00BE7001" w:rsidRPr="00A74002">
        <w:rPr>
          <w:rFonts w:asciiTheme="minorHAnsi" w:hAnsiTheme="minorHAnsi" w:cstheme="minorHAnsi"/>
        </w:rPr>
        <w:t>slightly</w:t>
      </w:r>
      <w:r w:rsidR="00470015" w:rsidRPr="00A74002">
        <w:rPr>
          <w:rFonts w:asciiTheme="minorHAnsi" w:hAnsiTheme="minorHAnsi" w:cstheme="minorHAnsi"/>
        </w:rPr>
        <w:t xml:space="preserve"> </w:t>
      </w:r>
      <w:r w:rsidR="00BE7001" w:rsidRPr="00A74002">
        <w:rPr>
          <w:rFonts w:asciiTheme="minorHAnsi" w:hAnsiTheme="minorHAnsi" w:cstheme="minorHAnsi"/>
        </w:rPr>
        <w:t>only</w:t>
      </w:r>
      <w:r w:rsidR="00470015" w:rsidRPr="00A74002">
        <w:rPr>
          <w:rFonts w:asciiTheme="minorHAnsi" w:hAnsiTheme="minorHAnsi" w:cstheme="minorHAnsi"/>
        </w:rPr>
        <w:t xml:space="preserve"> for large </w:t>
      </w:r>
      <w:r w:rsidR="00BE7001" w:rsidRPr="00A74002">
        <w:rPr>
          <w:rFonts w:asciiTheme="minorHAnsi" w:hAnsiTheme="minorHAnsi" w:cstheme="minorHAnsi"/>
        </w:rPr>
        <w:t>and</w:t>
      </w:r>
      <w:r w:rsidR="00470015" w:rsidRPr="00A74002">
        <w:rPr>
          <w:rFonts w:asciiTheme="minorHAnsi" w:hAnsiTheme="minorHAnsi" w:cstheme="minorHAnsi"/>
        </w:rPr>
        <w:t xml:space="preserve"> medium sized companies—further to the trend that began before the eruption of the war. After the war broke out,</w:t>
      </w:r>
      <w:r w:rsidR="00BE7001" w:rsidRPr="00A74002">
        <w:rPr>
          <w:rFonts w:asciiTheme="minorHAnsi" w:hAnsiTheme="minorHAnsi" w:cstheme="minorHAnsi"/>
        </w:rPr>
        <w:t xml:space="preserve"> </w:t>
      </w:r>
      <w:r w:rsidR="00470015" w:rsidRPr="00A74002">
        <w:rPr>
          <w:rFonts w:asciiTheme="minorHAnsi" w:hAnsiTheme="minorHAnsi" w:cstheme="minorHAnsi"/>
        </w:rPr>
        <w:t xml:space="preserve">the Monetary Committee </w:t>
      </w:r>
      <w:r w:rsidR="00BE7001" w:rsidRPr="00A74002">
        <w:rPr>
          <w:rFonts w:asciiTheme="minorHAnsi" w:hAnsiTheme="minorHAnsi" w:cstheme="minorHAnsi"/>
        </w:rPr>
        <w:t>announced</w:t>
      </w:r>
      <w:r w:rsidR="00470015" w:rsidRPr="00A74002">
        <w:rPr>
          <w:rFonts w:asciiTheme="minorHAnsi" w:hAnsiTheme="minorHAnsi" w:cstheme="minorHAnsi"/>
        </w:rPr>
        <w:t xml:space="preserve"> a </w:t>
      </w:r>
      <w:r w:rsidR="00BE7001" w:rsidRPr="00A74002">
        <w:rPr>
          <w:rFonts w:asciiTheme="minorHAnsi" w:hAnsiTheme="minorHAnsi" w:cstheme="minorHAnsi"/>
        </w:rPr>
        <w:t>monetary</w:t>
      </w:r>
      <w:r w:rsidR="00470015" w:rsidRPr="00A74002">
        <w:rPr>
          <w:rFonts w:asciiTheme="minorHAnsi" w:hAnsiTheme="minorHAnsi" w:cstheme="minorHAnsi"/>
        </w:rPr>
        <w:t xml:space="preserve"> program focused on easing the </w:t>
      </w:r>
      <w:r w:rsidR="00BE7001" w:rsidRPr="00A74002">
        <w:rPr>
          <w:rFonts w:asciiTheme="minorHAnsi" w:hAnsiTheme="minorHAnsi" w:cstheme="minorHAnsi"/>
        </w:rPr>
        <w:t>terms</w:t>
      </w:r>
      <w:r w:rsidR="00470015" w:rsidRPr="00A74002">
        <w:rPr>
          <w:rFonts w:asciiTheme="minorHAnsi" w:hAnsiTheme="minorHAnsi" w:cstheme="minorHAnsi"/>
        </w:rPr>
        <w:t xml:space="preserve"> </w:t>
      </w:r>
      <w:r w:rsidR="00BE7001" w:rsidRPr="00A74002">
        <w:rPr>
          <w:rFonts w:asciiTheme="minorHAnsi" w:hAnsiTheme="minorHAnsi" w:cstheme="minorHAnsi"/>
        </w:rPr>
        <w:t>of</w:t>
      </w:r>
      <w:r w:rsidR="00470015" w:rsidRPr="00A74002">
        <w:rPr>
          <w:rFonts w:asciiTheme="minorHAnsi" w:hAnsiTheme="minorHAnsi" w:cstheme="minorHAnsi"/>
        </w:rPr>
        <w:t xml:space="preserve"> credit </w:t>
      </w:r>
      <w:r w:rsidR="00BE7001" w:rsidRPr="00A74002">
        <w:rPr>
          <w:rFonts w:asciiTheme="minorHAnsi" w:hAnsiTheme="minorHAnsi" w:cstheme="minorHAnsi"/>
        </w:rPr>
        <w:t>for</w:t>
      </w:r>
      <w:r w:rsidR="00470015" w:rsidRPr="00A74002">
        <w:rPr>
          <w:rFonts w:asciiTheme="minorHAnsi" w:hAnsiTheme="minorHAnsi" w:cstheme="minorHAnsi"/>
        </w:rPr>
        <w:t xml:space="preserve"> small an</w:t>
      </w:r>
      <w:r w:rsidR="00BE7001" w:rsidRPr="00A74002">
        <w:rPr>
          <w:rFonts w:asciiTheme="minorHAnsi" w:hAnsiTheme="minorHAnsi" w:cstheme="minorHAnsi"/>
        </w:rPr>
        <w:t>d</w:t>
      </w:r>
      <w:r w:rsidR="00470015" w:rsidRPr="00A74002">
        <w:rPr>
          <w:rFonts w:asciiTheme="minorHAnsi" w:hAnsiTheme="minorHAnsi" w:cstheme="minorHAnsi"/>
        </w:rPr>
        <w:t xml:space="preserve"> </w:t>
      </w:r>
      <w:r w:rsidR="00BE7001" w:rsidRPr="00A74002">
        <w:rPr>
          <w:rFonts w:asciiTheme="minorHAnsi" w:hAnsiTheme="minorHAnsi" w:cstheme="minorHAnsi"/>
        </w:rPr>
        <w:t>micro</w:t>
      </w:r>
      <w:r w:rsidR="00470015" w:rsidRPr="00A74002">
        <w:rPr>
          <w:rFonts w:asciiTheme="minorHAnsi" w:hAnsiTheme="minorHAnsi" w:cstheme="minorHAnsi"/>
        </w:rPr>
        <w:t xml:space="preserve"> businesses that </w:t>
      </w:r>
      <w:r w:rsidR="00263B54" w:rsidRPr="00A74002">
        <w:rPr>
          <w:rFonts w:asciiTheme="minorHAnsi" w:hAnsiTheme="minorHAnsi" w:cstheme="minorHAnsi"/>
        </w:rPr>
        <w:t xml:space="preserve">had been </w:t>
      </w:r>
      <w:r w:rsidR="00470015" w:rsidRPr="00A74002">
        <w:rPr>
          <w:rFonts w:asciiTheme="minorHAnsi" w:hAnsiTheme="minorHAnsi" w:cstheme="minorHAnsi"/>
        </w:rPr>
        <w:t>adver</w:t>
      </w:r>
      <w:r w:rsidR="00BE7001" w:rsidRPr="00A74002">
        <w:rPr>
          <w:rFonts w:asciiTheme="minorHAnsi" w:hAnsiTheme="minorHAnsi" w:cstheme="minorHAnsi"/>
        </w:rPr>
        <w:t>se</w:t>
      </w:r>
      <w:r w:rsidR="00470015" w:rsidRPr="00A74002">
        <w:rPr>
          <w:rFonts w:asciiTheme="minorHAnsi" w:hAnsiTheme="minorHAnsi" w:cstheme="minorHAnsi"/>
        </w:rPr>
        <w:t xml:space="preserve">ly </w:t>
      </w:r>
      <w:r w:rsidR="00BE7001" w:rsidRPr="00A74002">
        <w:rPr>
          <w:rFonts w:asciiTheme="minorHAnsi" w:hAnsiTheme="minorHAnsi" w:cstheme="minorHAnsi"/>
        </w:rPr>
        <w:t>impacted</w:t>
      </w:r>
      <w:r w:rsidR="00470015" w:rsidRPr="00A74002">
        <w:rPr>
          <w:rFonts w:asciiTheme="minorHAnsi" w:hAnsiTheme="minorHAnsi" w:cstheme="minorHAnsi"/>
        </w:rPr>
        <w:t xml:space="preserve"> by </w:t>
      </w:r>
      <w:r w:rsidR="00BE7001" w:rsidRPr="00A74002">
        <w:rPr>
          <w:rFonts w:asciiTheme="minorHAnsi" w:hAnsiTheme="minorHAnsi" w:cstheme="minorHAnsi"/>
        </w:rPr>
        <w:t>the</w:t>
      </w:r>
      <w:r w:rsidR="00470015" w:rsidRPr="00A74002">
        <w:rPr>
          <w:rFonts w:asciiTheme="minorHAnsi" w:hAnsiTheme="minorHAnsi" w:cstheme="minorHAnsi"/>
        </w:rPr>
        <w:t xml:space="preserve"> war. With </w:t>
      </w:r>
      <w:r w:rsidR="00BE7001" w:rsidRPr="00A74002">
        <w:rPr>
          <w:rFonts w:asciiTheme="minorHAnsi" w:hAnsiTheme="minorHAnsi" w:cstheme="minorHAnsi"/>
        </w:rPr>
        <w:t>r</w:t>
      </w:r>
      <w:r w:rsidR="00470015" w:rsidRPr="00A74002">
        <w:rPr>
          <w:rFonts w:asciiTheme="minorHAnsi" w:hAnsiTheme="minorHAnsi" w:cstheme="minorHAnsi"/>
        </w:rPr>
        <w:t xml:space="preserve">egard to the financial </w:t>
      </w:r>
      <w:r w:rsidR="00BE7001" w:rsidRPr="00A74002">
        <w:rPr>
          <w:rFonts w:asciiTheme="minorHAnsi" w:hAnsiTheme="minorHAnsi" w:cstheme="minorHAnsi"/>
        </w:rPr>
        <w:t>risks</w:t>
      </w:r>
      <w:r w:rsidR="00470015" w:rsidRPr="00A74002">
        <w:rPr>
          <w:rFonts w:asciiTheme="minorHAnsi" w:hAnsiTheme="minorHAnsi" w:cstheme="minorHAnsi"/>
        </w:rPr>
        <w:t>, the cons</w:t>
      </w:r>
      <w:r w:rsidR="00BE7001" w:rsidRPr="00A74002">
        <w:rPr>
          <w:rFonts w:asciiTheme="minorHAnsi" w:hAnsiTheme="minorHAnsi" w:cstheme="minorHAnsi"/>
        </w:rPr>
        <w:t>tr</w:t>
      </w:r>
      <w:r w:rsidR="00470015" w:rsidRPr="00A74002">
        <w:rPr>
          <w:rFonts w:asciiTheme="minorHAnsi" w:hAnsiTheme="minorHAnsi" w:cstheme="minorHAnsi"/>
        </w:rPr>
        <w:t>u</w:t>
      </w:r>
      <w:r w:rsidR="00BE7001" w:rsidRPr="00A74002">
        <w:rPr>
          <w:rFonts w:asciiTheme="minorHAnsi" w:hAnsiTheme="minorHAnsi" w:cstheme="minorHAnsi"/>
        </w:rPr>
        <w:t xml:space="preserve">ction and </w:t>
      </w:r>
      <w:r w:rsidR="00470015" w:rsidRPr="00A74002">
        <w:rPr>
          <w:rFonts w:asciiTheme="minorHAnsi" w:hAnsiTheme="minorHAnsi" w:cstheme="minorHAnsi"/>
        </w:rPr>
        <w:t>real esta</w:t>
      </w:r>
      <w:r w:rsidR="00BE7001" w:rsidRPr="00A74002">
        <w:rPr>
          <w:rFonts w:asciiTheme="minorHAnsi" w:hAnsiTheme="minorHAnsi" w:cstheme="minorHAnsi"/>
        </w:rPr>
        <w:t>t</w:t>
      </w:r>
      <w:r w:rsidR="00470015" w:rsidRPr="00A74002">
        <w:rPr>
          <w:rFonts w:asciiTheme="minorHAnsi" w:hAnsiTheme="minorHAnsi" w:cstheme="minorHAnsi"/>
        </w:rPr>
        <w:t xml:space="preserve">e industry </w:t>
      </w:r>
      <w:r w:rsidR="00BE7001" w:rsidRPr="00A74002">
        <w:rPr>
          <w:rFonts w:asciiTheme="minorHAnsi" w:hAnsiTheme="minorHAnsi" w:cstheme="minorHAnsi"/>
        </w:rPr>
        <w:t>should</w:t>
      </w:r>
      <w:r w:rsidR="00470015" w:rsidRPr="00A74002">
        <w:rPr>
          <w:rFonts w:asciiTheme="minorHAnsi" w:hAnsiTheme="minorHAnsi" w:cstheme="minorHAnsi"/>
        </w:rPr>
        <w:t xml:space="preserve"> be </w:t>
      </w:r>
      <w:r w:rsidR="00BE7001" w:rsidRPr="00A74002">
        <w:rPr>
          <w:rFonts w:asciiTheme="minorHAnsi" w:hAnsiTheme="minorHAnsi" w:cstheme="minorHAnsi"/>
        </w:rPr>
        <w:t>emphasized</w:t>
      </w:r>
      <w:r w:rsidR="00470015" w:rsidRPr="00A74002">
        <w:rPr>
          <w:rFonts w:asciiTheme="minorHAnsi" w:hAnsiTheme="minorHAnsi" w:cstheme="minorHAnsi"/>
        </w:rPr>
        <w:t xml:space="preserve"> in </w:t>
      </w:r>
      <w:r w:rsidR="00BE7001" w:rsidRPr="00A74002">
        <w:rPr>
          <w:rFonts w:asciiTheme="minorHAnsi" w:hAnsiTheme="minorHAnsi" w:cstheme="minorHAnsi"/>
        </w:rPr>
        <w:t>particular</w:t>
      </w:r>
      <w:r w:rsidR="00470015" w:rsidRPr="00A74002">
        <w:rPr>
          <w:rFonts w:asciiTheme="minorHAnsi" w:hAnsiTheme="minorHAnsi" w:cstheme="minorHAnsi"/>
        </w:rPr>
        <w:t xml:space="preserve">, as even just before the war it </w:t>
      </w:r>
      <w:r w:rsidR="00263B54" w:rsidRPr="00A74002">
        <w:rPr>
          <w:rFonts w:asciiTheme="minorHAnsi" w:hAnsiTheme="minorHAnsi" w:cstheme="minorHAnsi"/>
        </w:rPr>
        <w:t xml:space="preserve">was </w:t>
      </w:r>
      <w:r w:rsidR="00BE7001" w:rsidRPr="00A74002">
        <w:rPr>
          <w:rFonts w:asciiTheme="minorHAnsi" w:hAnsiTheme="minorHAnsi" w:cstheme="minorHAnsi"/>
        </w:rPr>
        <w:t xml:space="preserve">dealing with </w:t>
      </w:r>
      <w:r w:rsidR="00263B54" w:rsidRPr="00A74002">
        <w:rPr>
          <w:rFonts w:asciiTheme="minorHAnsi" w:hAnsiTheme="minorHAnsi" w:cstheme="minorHAnsi"/>
        </w:rPr>
        <w:t xml:space="preserve">rising </w:t>
      </w:r>
      <w:r w:rsidR="00470015" w:rsidRPr="00A74002">
        <w:rPr>
          <w:rFonts w:asciiTheme="minorHAnsi" w:hAnsiTheme="minorHAnsi" w:cstheme="minorHAnsi"/>
        </w:rPr>
        <w:t>finan</w:t>
      </w:r>
      <w:r w:rsidR="00BE7001" w:rsidRPr="00A74002">
        <w:rPr>
          <w:rFonts w:asciiTheme="minorHAnsi" w:hAnsiTheme="minorHAnsi" w:cstheme="minorHAnsi"/>
        </w:rPr>
        <w:t xml:space="preserve">cing </w:t>
      </w:r>
      <w:r w:rsidR="00470015" w:rsidRPr="00A74002">
        <w:rPr>
          <w:rFonts w:asciiTheme="minorHAnsi" w:hAnsiTheme="minorHAnsi" w:cstheme="minorHAnsi"/>
        </w:rPr>
        <w:t xml:space="preserve">costs and a marked </w:t>
      </w:r>
      <w:r w:rsidR="00E826E0" w:rsidRPr="00A74002">
        <w:rPr>
          <w:rFonts w:asciiTheme="minorHAnsi" w:hAnsiTheme="minorHAnsi" w:cstheme="minorHAnsi"/>
        </w:rPr>
        <w:t xml:space="preserve">decrease </w:t>
      </w:r>
      <w:r w:rsidR="00470015" w:rsidRPr="00A74002">
        <w:rPr>
          <w:rFonts w:asciiTheme="minorHAnsi" w:hAnsiTheme="minorHAnsi" w:cstheme="minorHAnsi"/>
        </w:rPr>
        <w:t xml:space="preserve">in demand, alongside </w:t>
      </w:r>
      <w:r w:rsidR="00BE7001" w:rsidRPr="00A74002">
        <w:rPr>
          <w:rFonts w:asciiTheme="minorHAnsi" w:hAnsiTheme="minorHAnsi" w:cstheme="minorHAnsi"/>
        </w:rPr>
        <w:t>a moderate</w:t>
      </w:r>
      <w:r w:rsidR="00470015" w:rsidRPr="00A74002">
        <w:rPr>
          <w:rFonts w:asciiTheme="minorHAnsi" w:hAnsiTheme="minorHAnsi" w:cstheme="minorHAnsi"/>
        </w:rPr>
        <w:t xml:space="preserve"> </w:t>
      </w:r>
      <w:r w:rsidR="00BE7001" w:rsidRPr="00A74002">
        <w:rPr>
          <w:rFonts w:asciiTheme="minorHAnsi" w:hAnsiTheme="minorHAnsi" w:cstheme="minorHAnsi"/>
        </w:rPr>
        <w:t>trend</w:t>
      </w:r>
      <w:r w:rsidR="00470015" w:rsidRPr="00A74002">
        <w:rPr>
          <w:rFonts w:asciiTheme="minorHAnsi" w:hAnsiTheme="minorHAnsi" w:cstheme="minorHAnsi"/>
        </w:rPr>
        <w:t xml:space="preserve"> of price declines. With the eruption of the war, most construction sides closed due to the absence of Palestinian employees.</w:t>
      </w:r>
      <w:r w:rsidR="008F3861" w:rsidRPr="00A74002">
        <w:rPr>
          <w:rFonts w:asciiTheme="minorHAnsi" w:hAnsiTheme="minorHAnsi" w:cstheme="minorHAnsi"/>
        </w:rPr>
        <w:t xml:space="preserve"> Credit to the </w:t>
      </w:r>
      <w:r w:rsidR="00BE7001" w:rsidRPr="00A74002">
        <w:rPr>
          <w:rFonts w:asciiTheme="minorHAnsi" w:hAnsiTheme="minorHAnsi" w:cstheme="minorHAnsi"/>
        </w:rPr>
        <w:t>construction</w:t>
      </w:r>
      <w:r w:rsidR="008F3861" w:rsidRPr="00A74002">
        <w:rPr>
          <w:rFonts w:asciiTheme="minorHAnsi" w:hAnsiTheme="minorHAnsi" w:cstheme="minorHAnsi"/>
        </w:rPr>
        <w:t xml:space="preserve"> and </w:t>
      </w:r>
      <w:r w:rsidR="00BE7001" w:rsidRPr="00A74002">
        <w:rPr>
          <w:rFonts w:asciiTheme="minorHAnsi" w:hAnsiTheme="minorHAnsi" w:cstheme="minorHAnsi"/>
        </w:rPr>
        <w:t>real</w:t>
      </w:r>
      <w:r w:rsidR="008F3861" w:rsidRPr="00A74002">
        <w:rPr>
          <w:rFonts w:asciiTheme="minorHAnsi" w:hAnsiTheme="minorHAnsi" w:cstheme="minorHAnsi"/>
        </w:rPr>
        <w:t xml:space="preserve"> </w:t>
      </w:r>
      <w:r w:rsidR="00BE7001" w:rsidRPr="00A74002">
        <w:rPr>
          <w:rFonts w:asciiTheme="minorHAnsi" w:hAnsiTheme="minorHAnsi" w:cstheme="minorHAnsi"/>
        </w:rPr>
        <w:t>estate</w:t>
      </w:r>
      <w:r w:rsidR="008F3861" w:rsidRPr="00A74002">
        <w:rPr>
          <w:rFonts w:asciiTheme="minorHAnsi" w:hAnsiTheme="minorHAnsi" w:cstheme="minorHAnsi"/>
        </w:rPr>
        <w:t xml:space="preserve"> industry makes up </w:t>
      </w:r>
      <w:r w:rsidR="00BE7001" w:rsidRPr="00A74002">
        <w:rPr>
          <w:rFonts w:asciiTheme="minorHAnsi" w:hAnsiTheme="minorHAnsi" w:cstheme="minorHAnsi"/>
        </w:rPr>
        <w:t>appoint</w:t>
      </w:r>
      <w:r w:rsidR="008F3861" w:rsidRPr="00A74002">
        <w:rPr>
          <w:rFonts w:asciiTheme="minorHAnsi" w:hAnsiTheme="minorHAnsi" w:cstheme="minorHAnsi"/>
        </w:rPr>
        <w:t xml:space="preserve"> 38 percent of total </w:t>
      </w:r>
      <w:r w:rsidR="00BE7001" w:rsidRPr="00A74002">
        <w:rPr>
          <w:rFonts w:asciiTheme="minorHAnsi" w:hAnsiTheme="minorHAnsi" w:cstheme="minorHAnsi"/>
        </w:rPr>
        <w:t>bank</w:t>
      </w:r>
      <w:r w:rsidR="008F3861" w:rsidRPr="00A74002">
        <w:rPr>
          <w:rFonts w:asciiTheme="minorHAnsi" w:hAnsiTheme="minorHAnsi" w:cstheme="minorHAnsi"/>
        </w:rPr>
        <w:t xml:space="preserve"> credit and about 44 percent of the trad</w:t>
      </w:r>
      <w:r w:rsidR="00BE7001" w:rsidRPr="00A74002">
        <w:rPr>
          <w:rFonts w:asciiTheme="minorHAnsi" w:hAnsiTheme="minorHAnsi" w:cstheme="minorHAnsi"/>
        </w:rPr>
        <w:t xml:space="preserve">able </w:t>
      </w:r>
      <w:r w:rsidR="008F3861" w:rsidRPr="00A74002">
        <w:rPr>
          <w:rFonts w:asciiTheme="minorHAnsi" w:hAnsiTheme="minorHAnsi" w:cstheme="minorHAnsi"/>
        </w:rPr>
        <w:t>corporate bond balance, so the const</w:t>
      </w:r>
      <w:r w:rsidR="00BE7001" w:rsidRPr="00A74002">
        <w:rPr>
          <w:rFonts w:asciiTheme="minorHAnsi" w:hAnsiTheme="minorHAnsi" w:cstheme="minorHAnsi"/>
        </w:rPr>
        <w:t>r</w:t>
      </w:r>
      <w:r w:rsidR="008F3861" w:rsidRPr="00A74002">
        <w:rPr>
          <w:rFonts w:asciiTheme="minorHAnsi" w:hAnsiTheme="minorHAnsi" w:cstheme="minorHAnsi"/>
        </w:rPr>
        <w:t>uc</w:t>
      </w:r>
      <w:r w:rsidR="00BE7001" w:rsidRPr="00A74002">
        <w:rPr>
          <w:rFonts w:asciiTheme="minorHAnsi" w:hAnsiTheme="minorHAnsi" w:cstheme="minorHAnsi"/>
        </w:rPr>
        <w:t>t</w:t>
      </w:r>
      <w:r w:rsidR="008F3861" w:rsidRPr="00A74002">
        <w:rPr>
          <w:rFonts w:asciiTheme="minorHAnsi" w:hAnsiTheme="minorHAnsi" w:cstheme="minorHAnsi"/>
        </w:rPr>
        <w:t xml:space="preserve">ion companies’ ability to deal with the high financing </w:t>
      </w:r>
      <w:r w:rsidR="00BE7001" w:rsidRPr="00A74002">
        <w:rPr>
          <w:rFonts w:asciiTheme="minorHAnsi" w:hAnsiTheme="minorHAnsi" w:cstheme="minorHAnsi"/>
        </w:rPr>
        <w:t>costs</w:t>
      </w:r>
      <w:r w:rsidR="008F3861" w:rsidRPr="00A74002">
        <w:rPr>
          <w:rFonts w:asciiTheme="minorHAnsi" w:hAnsiTheme="minorHAnsi" w:cstheme="minorHAnsi"/>
        </w:rPr>
        <w:t xml:space="preserve"> alongside a decline in their </w:t>
      </w:r>
      <w:r w:rsidR="00E826E0" w:rsidRPr="00A74002">
        <w:rPr>
          <w:rFonts w:asciiTheme="minorHAnsi" w:hAnsiTheme="minorHAnsi" w:cstheme="minorHAnsi"/>
        </w:rPr>
        <w:t xml:space="preserve">revenue </w:t>
      </w:r>
      <w:r w:rsidR="008F3861" w:rsidRPr="00A74002">
        <w:rPr>
          <w:rFonts w:asciiTheme="minorHAnsi" w:hAnsiTheme="minorHAnsi" w:cstheme="minorHAnsi"/>
        </w:rPr>
        <w:t xml:space="preserve">has an </w:t>
      </w:r>
      <w:r w:rsidR="00BE7001" w:rsidRPr="00A74002">
        <w:rPr>
          <w:rFonts w:asciiTheme="minorHAnsi" w:hAnsiTheme="minorHAnsi" w:cstheme="minorHAnsi"/>
        </w:rPr>
        <w:t>important</w:t>
      </w:r>
      <w:r w:rsidR="008F3861" w:rsidRPr="00A74002">
        <w:rPr>
          <w:rFonts w:asciiTheme="minorHAnsi" w:hAnsiTheme="minorHAnsi" w:cstheme="minorHAnsi"/>
        </w:rPr>
        <w:t xml:space="preserve"> impact </w:t>
      </w:r>
      <w:r w:rsidR="00BE7001" w:rsidRPr="00A74002">
        <w:rPr>
          <w:rFonts w:asciiTheme="minorHAnsi" w:hAnsiTheme="minorHAnsi" w:cstheme="minorHAnsi"/>
        </w:rPr>
        <w:t>on the perfo</w:t>
      </w:r>
      <w:r w:rsidR="008F3861" w:rsidRPr="00A74002">
        <w:rPr>
          <w:rFonts w:asciiTheme="minorHAnsi" w:hAnsiTheme="minorHAnsi" w:cstheme="minorHAnsi"/>
        </w:rPr>
        <w:t>rm</w:t>
      </w:r>
      <w:r w:rsidR="00BE7001" w:rsidRPr="00A74002">
        <w:rPr>
          <w:rFonts w:asciiTheme="minorHAnsi" w:hAnsiTheme="minorHAnsi" w:cstheme="minorHAnsi"/>
        </w:rPr>
        <w:t>a</w:t>
      </w:r>
      <w:r w:rsidR="008F3861" w:rsidRPr="00A74002">
        <w:rPr>
          <w:rFonts w:asciiTheme="minorHAnsi" w:hAnsiTheme="minorHAnsi" w:cstheme="minorHAnsi"/>
        </w:rPr>
        <w:t>nc</w:t>
      </w:r>
      <w:r w:rsidR="00BE7001" w:rsidRPr="00A74002">
        <w:rPr>
          <w:rFonts w:asciiTheme="minorHAnsi" w:hAnsiTheme="minorHAnsi" w:cstheme="minorHAnsi"/>
        </w:rPr>
        <w:t>e</w:t>
      </w:r>
      <w:r w:rsidR="008F3861" w:rsidRPr="00A74002">
        <w:rPr>
          <w:rFonts w:asciiTheme="minorHAnsi" w:hAnsiTheme="minorHAnsi" w:cstheme="minorHAnsi"/>
        </w:rPr>
        <w:t xml:space="preserve"> of the </w:t>
      </w:r>
      <w:r w:rsidR="00BE7001" w:rsidRPr="00A74002">
        <w:rPr>
          <w:rFonts w:asciiTheme="minorHAnsi" w:hAnsiTheme="minorHAnsi" w:cstheme="minorHAnsi"/>
        </w:rPr>
        <w:t xml:space="preserve">financial </w:t>
      </w:r>
      <w:r w:rsidR="008F3861" w:rsidRPr="00A74002">
        <w:rPr>
          <w:rFonts w:asciiTheme="minorHAnsi" w:hAnsiTheme="minorHAnsi" w:cstheme="minorHAnsi"/>
        </w:rPr>
        <w:t>system.</w:t>
      </w:r>
    </w:p>
    <w:p w14:paraId="5D705D80" w14:textId="0954B8CF" w:rsidR="00625B97" w:rsidRPr="00A74002" w:rsidRDefault="00625B97" w:rsidP="00756D17">
      <w:pPr>
        <w:jc w:val="both"/>
        <w:rPr>
          <w:rFonts w:asciiTheme="minorHAnsi" w:hAnsiTheme="minorHAnsi" w:cstheme="minorHAnsi"/>
        </w:rPr>
      </w:pPr>
    </w:p>
    <w:p w14:paraId="28E66115" w14:textId="7F20BBA9" w:rsidR="003D41BF" w:rsidRPr="00A74002" w:rsidRDefault="003D41BF" w:rsidP="00FA290B">
      <w:pPr>
        <w:jc w:val="both"/>
        <w:rPr>
          <w:rFonts w:asciiTheme="minorHAnsi" w:hAnsiTheme="minorHAnsi" w:cstheme="minorHAnsi"/>
          <w:b/>
          <w:bCs/>
        </w:rPr>
      </w:pPr>
      <w:r w:rsidRPr="00A74002">
        <w:rPr>
          <w:rFonts w:asciiTheme="minorHAnsi" w:hAnsiTheme="minorHAnsi" w:cstheme="minorHAnsi"/>
          <w:b/>
          <w:bCs/>
        </w:rPr>
        <w:t>The housing market:</w:t>
      </w:r>
      <w:r w:rsidRPr="00A74002">
        <w:rPr>
          <w:rFonts w:asciiTheme="minorHAnsi" w:hAnsiTheme="minorHAnsi" w:cstheme="minorHAnsi"/>
        </w:rPr>
        <w:t xml:space="preserve"> During the half year, the increase in home prices halted, and </w:t>
      </w:r>
      <w:r w:rsidR="004A48E2" w:rsidRPr="00A74002">
        <w:rPr>
          <w:rFonts w:asciiTheme="minorHAnsi" w:hAnsiTheme="minorHAnsi" w:cstheme="minorHAnsi"/>
        </w:rPr>
        <w:t xml:space="preserve">a decline was </w:t>
      </w:r>
      <w:r w:rsidR="00311271" w:rsidRPr="00A74002">
        <w:rPr>
          <w:rFonts w:asciiTheme="minorHAnsi" w:hAnsiTheme="minorHAnsi" w:cstheme="minorHAnsi"/>
        </w:rPr>
        <w:t>seen</w:t>
      </w:r>
      <w:r w:rsidRPr="00A74002">
        <w:rPr>
          <w:rFonts w:asciiTheme="minorHAnsi" w:hAnsiTheme="minorHAnsi" w:cstheme="minorHAnsi"/>
        </w:rPr>
        <w:t>. For the first time since 2018, the annual rate of incre</w:t>
      </w:r>
      <w:r w:rsidR="00286747" w:rsidRPr="00A74002">
        <w:rPr>
          <w:rFonts w:asciiTheme="minorHAnsi" w:hAnsiTheme="minorHAnsi" w:cstheme="minorHAnsi"/>
        </w:rPr>
        <w:t>ase</w:t>
      </w:r>
      <w:r w:rsidRPr="00A74002">
        <w:rPr>
          <w:rFonts w:asciiTheme="minorHAnsi" w:hAnsiTheme="minorHAnsi" w:cstheme="minorHAnsi"/>
        </w:rPr>
        <w:t xml:space="preserve"> of home prices was negative, at -1.3 percent. </w:t>
      </w:r>
      <w:r w:rsidR="00772488" w:rsidRPr="00A74002">
        <w:rPr>
          <w:rFonts w:asciiTheme="minorHAnsi" w:hAnsiTheme="minorHAnsi" w:cstheme="minorHAnsi"/>
        </w:rPr>
        <w:t>T</w:t>
      </w:r>
      <w:r w:rsidRPr="00A74002">
        <w:rPr>
          <w:rFonts w:asciiTheme="minorHAnsi" w:hAnsiTheme="minorHAnsi" w:cstheme="minorHAnsi"/>
        </w:rPr>
        <w:t>his is in</w:t>
      </w:r>
      <w:r w:rsidR="00772488" w:rsidRPr="00A74002">
        <w:rPr>
          <w:rFonts w:asciiTheme="minorHAnsi" w:hAnsiTheme="minorHAnsi" w:cstheme="minorHAnsi"/>
        </w:rPr>
        <w:t xml:space="preserve"> </w:t>
      </w:r>
      <w:r w:rsidRPr="00A74002">
        <w:rPr>
          <w:rFonts w:asciiTheme="minorHAnsi" w:hAnsiTheme="minorHAnsi" w:cstheme="minorHAnsi"/>
        </w:rPr>
        <w:t>contra</w:t>
      </w:r>
      <w:r w:rsidR="00772488" w:rsidRPr="00A74002">
        <w:rPr>
          <w:rFonts w:asciiTheme="minorHAnsi" w:hAnsiTheme="minorHAnsi" w:cstheme="minorHAnsi"/>
        </w:rPr>
        <w:t>s</w:t>
      </w:r>
      <w:r w:rsidRPr="00A74002">
        <w:rPr>
          <w:rFonts w:asciiTheme="minorHAnsi" w:hAnsiTheme="minorHAnsi" w:cstheme="minorHAnsi"/>
        </w:rPr>
        <w:t>t to the parallel figure of 9.8 percent at the end of the previ</w:t>
      </w:r>
      <w:r w:rsidR="00772488" w:rsidRPr="00A74002">
        <w:rPr>
          <w:rFonts w:asciiTheme="minorHAnsi" w:hAnsiTheme="minorHAnsi" w:cstheme="minorHAnsi"/>
        </w:rPr>
        <w:t xml:space="preserve">ous </w:t>
      </w:r>
      <w:r w:rsidRPr="00A74002">
        <w:rPr>
          <w:rFonts w:asciiTheme="minorHAnsi" w:hAnsiTheme="minorHAnsi" w:cstheme="minorHAnsi"/>
        </w:rPr>
        <w:t xml:space="preserve">half </w:t>
      </w:r>
      <w:r w:rsidR="00772488" w:rsidRPr="00A74002">
        <w:rPr>
          <w:rFonts w:asciiTheme="minorHAnsi" w:hAnsiTheme="minorHAnsi" w:cstheme="minorHAnsi"/>
        </w:rPr>
        <w:t>y</w:t>
      </w:r>
      <w:r w:rsidRPr="00A74002">
        <w:rPr>
          <w:rFonts w:asciiTheme="minorHAnsi" w:hAnsiTheme="minorHAnsi" w:cstheme="minorHAnsi"/>
        </w:rPr>
        <w:t>ear, and the rate of increase that reached a peak of 20 percent in September 2022.</w:t>
      </w:r>
      <w:r w:rsidR="00772488" w:rsidRPr="00A74002">
        <w:rPr>
          <w:rFonts w:asciiTheme="minorHAnsi" w:hAnsiTheme="minorHAnsi" w:cstheme="minorHAnsi"/>
        </w:rPr>
        <w:t xml:space="preserve"> The </w:t>
      </w:r>
      <w:r w:rsidR="00286747" w:rsidRPr="00A74002">
        <w:rPr>
          <w:rFonts w:asciiTheme="minorHAnsi" w:hAnsiTheme="minorHAnsi" w:cstheme="minorHAnsi"/>
        </w:rPr>
        <w:t xml:space="preserve">halting of the price increase was accompanied by a </w:t>
      </w:r>
      <w:r w:rsidR="00691F36" w:rsidRPr="00A74002">
        <w:rPr>
          <w:rFonts w:asciiTheme="minorHAnsi" w:hAnsiTheme="minorHAnsi" w:cstheme="minorHAnsi"/>
        </w:rPr>
        <w:t>sharp</w:t>
      </w:r>
      <w:r w:rsidR="00286747" w:rsidRPr="00A74002">
        <w:rPr>
          <w:rFonts w:asciiTheme="minorHAnsi" w:hAnsiTheme="minorHAnsi" w:cstheme="minorHAnsi"/>
        </w:rPr>
        <w:t xml:space="preserve"> decline </w:t>
      </w:r>
      <w:r w:rsidR="00691F36" w:rsidRPr="00A74002">
        <w:rPr>
          <w:rFonts w:asciiTheme="minorHAnsi" w:hAnsiTheme="minorHAnsi" w:cstheme="minorHAnsi"/>
        </w:rPr>
        <w:t xml:space="preserve">in </w:t>
      </w:r>
      <w:r w:rsidR="00286747" w:rsidRPr="00A74002">
        <w:rPr>
          <w:rFonts w:asciiTheme="minorHAnsi" w:hAnsiTheme="minorHAnsi" w:cstheme="minorHAnsi"/>
        </w:rPr>
        <w:t xml:space="preserve">mortgage </w:t>
      </w:r>
      <w:r w:rsidR="00691F36" w:rsidRPr="00A74002">
        <w:rPr>
          <w:rFonts w:asciiTheme="minorHAnsi" w:hAnsiTheme="minorHAnsi" w:cstheme="minorHAnsi"/>
        </w:rPr>
        <w:t xml:space="preserve">volume </w:t>
      </w:r>
      <w:r w:rsidR="00286747" w:rsidRPr="00A74002">
        <w:rPr>
          <w:rFonts w:asciiTheme="minorHAnsi" w:hAnsiTheme="minorHAnsi" w:cstheme="minorHAnsi"/>
        </w:rPr>
        <w:t xml:space="preserve">and </w:t>
      </w:r>
      <w:r w:rsidR="00643291" w:rsidRPr="00A74002">
        <w:rPr>
          <w:rFonts w:asciiTheme="minorHAnsi" w:hAnsiTheme="minorHAnsi" w:cstheme="minorHAnsi"/>
        </w:rPr>
        <w:t>in</w:t>
      </w:r>
      <w:r w:rsidR="00286747" w:rsidRPr="00A74002">
        <w:rPr>
          <w:rFonts w:asciiTheme="minorHAnsi" w:hAnsiTheme="minorHAnsi" w:cstheme="minorHAnsi"/>
        </w:rPr>
        <w:t xml:space="preserve"> the number of transaction</w:t>
      </w:r>
      <w:r w:rsidR="00691F36" w:rsidRPr="00A74002">
        <w:rPr>
          <w:rFonts w:asciiTheme="minorHAnsi" w:hAnsiTheme="minorHAnsi" w:cstheme="minorHAnsi"/>
        </w:rPr>
        <w:t>s</w:t>
      </w:r>
      <w:r w:rsidR="00286747" w:rsidRPr="00A74002">
        <w:rPr>
          <w:rFonts w:asciiTheme="minorHAnsi" w:hAnsiTheme="minorHAnsi" w:cstheme="minorHAnsi"/>
        </w:rPr>
        <w:t xml:space="preserve">. </w:t>
      </w:r>
      <w:r w:rsidR="00691F36" w:rsidRPr="00A74002">
        <w:rPr>
          <w:rFonts w:asciiTheme="minorHAnsi" w:hAnsiTheme="minorHAnsi" w:cstheme="minorHAnsi"/>
        </w:rPr>
        <w:t>A</w:t>
      </w:r>
      <w:r w:rsidR="00286747" w:rsidRPr="00A74002">
        <w:rPr>
          <w:rFonts w:asciiTheme="minorHAnsi" w:hAnsiTheme="minorHAnsi" w:cstheme="minorHAnsi"/>
        </w:rPr>
        <w:t xml:space="preserve"> sim</w:t>
      </w:r>
      <w:r w:rsidR="00691F36" w:rsidRPr="00A74002">
        <w:rPr>
          <w:rFonts w:asciiTheme="minorHAnsi" w:hAnsiTheme="minorHAnsi" w:cstheme="minorHAnsi"/>
        </w:rPr>
        <w:t xml:space="preserve">ilar trend </w:t>
      </w:r>
      <w:r w:rsidR="00286747" w:rsidRPr="00A74002">
        <w:rPr>
          <w:rFonts w:asciiTheme="minorHAnsi" w:hAnsiTheme="minorHAnsi" w:cstheme="minorHAnsi"/>
        </w:rPr>
        <w:t xml:space="preserve">can be seen in the </w:t>
      </w:r>
      <w:r w:rsidR="00691F36" w:rsidRPr="00A74002">
        <w:rPr>
          <w:rFonts w:asciiTheme="minorHAnsi" w:hAnsiTheme="minorHAnsi" w:cstheme="minorHAnsi"/>
        </w:rPr>
        <w:t>development</w:t>
      </w:r>
      <w:r w:rsidR="00286747" w:rsidRPr="00A74002">
        <w:rPr>
          <w:rFonts w:asciiTheme="minorHAnsi" w:hAnsiTheme="minorHAnsi" w:cstheme="minorHAnsi"/>
        </w:rPr>
        <w:t xml:space="preserve"> of rent prices – </w:t>
      </w:r>
      <w:r w:rsidR="00643291" w:rsidRPr="00A74002">
        <w:rPr>
          <w:rFonts w:asciiTheme="minorHAnsi" w:hAnsiTheme="minorHAnsi" w:cstheme="minorHAnsi"/>
        </w:rPr>
        <w:t xml:space="preserve">declines of 0.3 percent in </w:t>
      </w:r>
      <w:r w:rsidR="00286747" w:rsidRPr="00A74002">
        <w:rPr>
          <w:rFonts w:asciiTheme="minorHAnsi" w:hAnsiTheme="minorHAnsi" w:cstheme="minorHAnsi"/>
        </w:rPr>
        <w:t xml:space="preserve">October and </w:t>
      </w:r>
      <w:r w:rsidR="00643291" w:rsidRPr="00A74002">
        <w:rPr>
          <w:rFonts w:asciiTheme="minorHAnsi" w:hAnsiTheme="minorHAnsi" w:cstheme="minorHAnsi"/>
        </w:rPr>
        <w:t xml:space="preserve">of 0.8 percent in </w:t>
      </w:r>
      <w:r w:rsidR="00691F36" w:rsidRPr="00A74002">
        <w:rPr>
          <w:rFonts w:asciiTheme="minorHAnsi" w:hAnsiTheme="minorHAnsi" w:cstheme="minorHAnsi"/>
        </w:rPr>
        <w:t>November</w:t>
      </w:r>
      <w:r w:rsidR="00643291" w:rsidRPr="00A74002">
        <w:rPr>
          <w:rFonts w:asciiTheme="minorHAnsi" w:hAnsiTheme="minorHAnsi" w:cstheme="minorHAnsi"/>
        </w:rPr>
        <w:t xml:space="preserve"> </w:t>
      </w:r>
      <w:r w:rsidR="00286747" w:rsidRPr="00A74002">
        <w:rPr>
          <w:rFonts w:asciiTheme="minorHAnsi" w:hAnsiTheme="minorHAnsi" w:cstheme="minorHAnsi"/>
        </w:rPr>
        <w:t>were seen, for the first time in two and a half years.</w:t>
      </w:r>
      <w:r w:rsidR="00917C27" w:rsidRPr="00A74002">
        <w:rPr>
          <w:rFonts w:asciiTheme="minorHAnsi" w:hAnsiTheme="minorHAnsi" w:cstheme="minorHAnsi"/>
        </w:rPr>
        <w:t xml:space="preserve"> </w:t>
      </w:r>
      <w:r w:rsidR="00691F36" w:rsidRPr="00A74002">
        <w:rPr>
          <w:rFonts w:asciiTheme="minorHAnsi" w:hAnsiTheme="minorHAnsi" w:cstheme="minorHAnsi"/>
        </w:rPr>
        <w:t>However</w:t>
      </w:r>
      <w:r w:rsidR="00917C27" w:rsidRPr="00A74002">
        <w:rPr>
          <w:rFonts w:asciiTheme="minorHAnsi" w:hAnsiTheme="minorHAnsi" w:cstheme="minorHAnsi"/>
        </w:rPr>
        <w:t xml:space="preserve">, in contrast to home prices, the annual rate of increase at the end of </w:t>
      </w:r>
      <w:r w:rsidR="00691F36" w:rsidRPr="00A74002">
        <w:rPr>
          <w:rFonts w:asciiTheme="minorHAnsi" w:hAnsiTheme="minorHAnsi" w:cstheme="minorHAnsi"/>
        </w:rPr>
        <w:t>the half</w:t>
      </w:r>
      <w:r w:rsidR="00917C27" w:rsidRPr="00A74002">
        <w:rPr>
          <w:rFonts w:asciiTheme="minorHAnsi" w:hAnsiTheme="minorHAnsi" w:cstheme="minorHAnsi"/>
        </w:rPr>
        <w:t xml:space="preserve"> </w:t>
      </w:r>
      <w:r w:rsidR="00691F36" w:rsidRPr="00A74002">
        <w:rPr>
          <w:rFonts w:asciiTheme="minorHAnsi" w:hAnsiTheme="minorHAnsi" w:cstheme="minorHAnsi"/>
        </w:rPr>
        <w:t>year</w:t>
      </w:r>
      <w:r w:rsidR="00917C27" w:rsidRPr="00A74002">
        <w:rPr>
          <w:rFonts w:asciiTheme="minorHAnsi" w:hAnsiTheme="minorHAnsi" w:cstheme="minorHAnsi"/>
        </w:rPr>
        <w:t xml:space="preserve"> is </w:t>
      </w:r>
      <w:r w:rsidR="00691F36" w:rsidRPr="00A74002">
        <w:rPr>
          <w:rFonts w:asciiTheme="minorHAnsi" w:hAnsiTheme="minorHAnsi" w:cstheme="minorHAnsi"/>
        </w:rPr>
        <w:t>s</w:t>
      </w:r>
      <w:r w:rsidR="00917C27" w:rsidRPr="00A74002">
        <w:rPr>
          <w:rFonts w:asciiTheme="minorHAnsi" w:hAnsiTheme="minorHAnsi" w:cstheme="minorHAnsi"/>
        </w:rPr>
        <w:t xml:space="preserve">till </w:t>
      </w:r>
      <w:r w:rsidR="00691F36" w:rsidRPr="00A74002">
        <w:rPr>
          <w:rFonts w:asciiTheme="minorHAnsi" w:hAnsiTheme="minorHAnsi" w:cstheme="minorHAnsi"/>
        </w:rPr>
        <w:t>positive</w:t>
      </w:r>
      <w:r w:rsidR="00917C27" w:rsidRPr="00A74002">
        <w:rPr>
          <w:rFonts w:asciiTheme="minorHAnsi" w:hAnsiTheme="minorHAnsi" w:cstheme="minorHAnsi"/>
        </w:rPr>
        <w:t xml:space="preserve">, but it moderated to 3.9 </w:t>
      </w:r>
      <w:r w:rsidR="00691F36" w:rsidRPr="00A74002">
        <w:rPr>
          <w:rFonts w:asciiTheme="minorHAnsi" w:hAnsiTheme="minorHAnsi" w:cstheme="minorHAnsi"/>
        </w:rPr>
        <w:t>percent</w:t>
      </w:r>
      <w:r w:rsidR="00917C27" w:rsidRPr="00A74002">
        <w:rPr>
          <w:rFonts w:asciiTheme="minorHAnsi" w:hAnsiTheme="minorHAnsi" w:cstheme="minorHAnsi"/>
        </w:rPr>
        <w:t>.</w:t>
      </w:r>
    </w:p>
    <w:p w14:paraId="49C4D4DF" w14:textId="77777777" w:rsidR="00E7288F" w:rsidRPr="00A74002" w:rsidRDefault="00E7288F" w:rsidP="00286747">
      <w:pPr>
        <w:jc w:val="both"/>
        <w:rPr>
          <w:rFonts w:asciiTheme="minorHAnsi" w:hAnsiTheme="minorHAnsi" w:cstheme="minorHAnsi"/>
          <w:b/>
          <w:bCs/>
        </w:rPr>
      </w:pPr>
    </w:p>
    <w:p w14:paraId="417EA0BB" w14:textId="6E6E41EB" w:rsidR="00E7288F" w:rsidRPr="00A74002" w:rsidRDefault="00F9571E" w:rsidP="00003519">
      <w:pPr>
        <w:jc w:val="both"/>
        <w:rPr>
          <w:rFonts w:asciiTheme="minorHAnsi" w:hAnsiTheme="minorHAnsi" w:cstheme="minorHAnsi"/>
          <w:b/>
          <w:bCs/>
        </w:rPr>
      </w:pPr>
      <w:r w:rsidRPr="00A74002">
        <w:rPr>
          <w:rFonts w:asciiTheme="minorHAnsi" w:hAnsiTheme="minorHAnsi" w:cstheme="minorHAnsi"/>
          <w:b/>
          <w:bCs/>
        </w:rPr>
        <w:t>The global economy:</w:t>
      </w:r>
      <w:r w:rsidRPr="00A74002">
        <w:rPr>
          <w:rFonts w:asciiTheme="minorHAnsi" w:hAnsiTheme="minorHAnsi" w:cstheme="minorHAnsi"/>
        </w:rPr>
        <w:t xml:space="preserve"> </w:t>
      </w:r>
      <w:r w:rsidR="00E7288F" w:rsidRPr="00A74002">
        <w:rPr>
          <w:rFonts w:asciiTheme="minorHAnsi" w:hAnsiTheme="minorHAnsi" w:cstheme="minorHAnsi"/>
        </w:rPr>
        <w:t xml:space="preserve">In the second half of 2023, </w:t>
      </w:r>
      <w:r w:rsidR="00F94DEC" w:rsidRPr="00A74002">
        <w:rPr>
          <w:rFonts w:asciiTheme="minorHAnsi" w:hAnsiTheme="minorHAnsi" w:cstheme="minorHAnsi"/>
        </w:rPr>
        <w:t>central banks slowed the pace of inter</w:t>
      </w:r>
      <w:r w:rsidR="00431D73" w:rsidRPr="00A74002">
        <w:rPr>
          <w:rFonts w:asciiTheme="minorHAnsi" w:hAnsiTheme="minorHAnsi" w:cstheme="minorHAnsi"/>
        </w:rPr>
        <w:t>e</w:t>
      </w:r>
      <w:r w:rsidR="00F94DEC" w:rsidRPr="00A74002">
        <w:rPr>
          <w:rFonts w:asciiTheme="minorHAnsi" w:hAnsiTheme="minorHAnsi" w:cstheme="minorHAnsi"/>
        </w:rPr>
        <w:t>st rate increases, and currently it appears that the interest rate increase cycle has reached its end—among other things in view of the continued moderation in inflat</w:t>
      </w:r>
      <w:r w:rsidR="00003519" w:rsidRPr="00A74002">
        <w:rPr>
          <w:rFonts w:asciiTheme="minorHAnsi" w:hAnsiTheme="minorHAnsi" w:cstheme="minorHAnsi"/>
        </w:rPr>
        <w:t>ion. T</w:t>
      </w:r>
      <w:r w:rsidR="00431D73" w:rsidRPr="00A74002">
        <w:rPr>
          <w:rFonts w:asciiTheme="minorHAnsi" w:hAnsiTheme="minorHAnsi" w:cstheme="minorHAnsi"/>
        </w:rPr>
        <w:t xml:space="preserve">he interest rate path expected by the markets declined </w:t>
      </w:r>
      <w:r w:rsidR="00E36588" w:rsidRPr="00A74002">
        <w:rPr>
          <w:rFonts w:asciiTheme="minorHAnsi" w:hAnsiTheme="minorHAnsi" w:cstheme="minorHAnsi"/>
        </w:rPr>
        <w:t>markedly</w:t>
      </w:r>
      <w:r w:rsidR="00431D73" w:rsidRPr="00A74002">
        <w:rPr>
          <w:rFonts w:asciiTheme="minorHAnsi" w:hAnsiTheme="minorHAnsi" w:cstheme="minorHAnsi"/>
        </w:rPr>
        <w:t>, and according to it, several interest rate reduc</w:t>
      </w:r>
      <w:r w:rsidR="00691F36" w:rsidRPr="00A74002">
        <w:rPr>
          <w:rFonts w:asciiTheme="minorHAnsi" w:hAnsiTheme="minorHAnsi" w:cstheme="minorHAnsi"/>
        </w:rPr>
        <w:t xml:space="preserve">tions </w:t>
      </w:r>
      <w:r w:rsidR="00431D73" w:rsidRPr="00A74002">
        <w:rPr>
          <w:rFonts w:asciiTheme="minorHAnsi" w:hAnsiTheme="minorHAnsi" w:cstheme="minorHAnsi"/>
        </w:rPr>
        <w:t xml:space="preserve">are </w:t>
      </w:r>
      <w:r w:rsidR="00691F36" w:rsidRPr="00A74002">
        <w:rPr>
          <w:rFonts w:asciiTheme="minorHAnsi" w:hAnsiTheme="minorHAnsi" w:cstheme="minorHAnsi"/>
        </w:rPr>
        <w:t>expected</w:t>
      </w:r>
      <w:r w:rsidR="00431D73" w:rsidRPr="00A74002">
        <w:rPr>
          <w:rFonts w:asciiTheme="minorHAnsi" w:hAnsiTheme="minorHAnsi" w:cstheme="minorHAnsi"/>
        </w:rPr>
        <w:t xml:space="preserve"> </w:t>
      </w:r>
      <w:r w:rsidR="00691F36" w:rsidRPr="00A74002">
        <w:rPr>
          <w:rFonts w:asciiTheme="minorHAnsi" w:hAnsiTheme="minorHAnsi" w:cstheme="minorHAnsi"/>
        </w:rPr>
        <w:t>during</w:t>
      </w:r>
      <w:r w:rsidR="00431D73" w:rsidRPr="00A74002">
        <w:rPr>
          <w:rFonts w:asciiTheme="minorHAnsi" w:hAnsiTheme="minorHAnsi" w:cstheme="minorHAnsi"/>
        </w:rPr>
        <w:t xml:space="preserve"> the course of 2024. However, even at the end of the reviewed half year, inflation levels in major </w:t>
      </w:r>
      <w:r w:rsidR="00691F36" w:rsidRPr="00A74002">
        <w:rPr>
          <w:rFonts w:asciiTheme="minorHAnsi" w:hAnsiTheme="minorHAnsi" w:cstheme="minorHAnsi"/>
        </w:rPr>
        <w:t>blocs</w:t>
      </w:r>
      <w:r w:rsidR="00431D73" w:rsidRPr="00A74002">
        <w:rPr>
          <w:rFonts w:asciiTheme="minorHAnsi" w:hAnsiTheme="minorHAnsi" w:cstheme="minorHAnsi"/>
        </w:rPr>
        <w:t xml:space="preserve"> </w:t>
      </w:r>
      <w:r w:rsidR="00691F36" w:rsidRPr="00A74002">
        <w:rPr>
          <w:rFonts w:asciiTheme="minorHAnsi" w:hAnsiTheme="minorHAnsi" w:cstheme="minorHAnsi"/>
        </w:rPr>
        <w:t>remained</w:t>
      </w:r>
      <w:r w:rsidR="00431D73" w:rsidRPr="00A74002">
        <w:rPr>
          <w:rFonts w:asciiTheme="minorHAnsi" w:hAnsiTheme="minorHAnsi" w:cstheme="minorHAnsi"/>
        </w:rPr>
        <w:t xml:space="preserve"> higher than major central banks’ targets</w:t>
      </w:r>
      <w:r w:rsidR="00E36588" w:rsidRPr="00A74002">
        <w:rPr>
          <w:rFonts w:asciiTheme="minorHAnsi" w:hAnsiTheme="minorHAnsi" w:cstheme="minorHAnsi"/>
        </w:rPr>
        <w:t>,</w:t>
      </w:r>
      <w:r w:rsidR="00431D73" w:rsidRPr="00A74002">
        <w:rPr>
          <w:rFonts w:asciiTheme="minorHAnsi" w:hAnsiTheme="minorHAnsi" w:cstheme="minorHAnsi"/>
        </w:rPr>
        <w:t xml:space="preserve"> mainly beca</w:t>
      </w:r>
      <w:r w:rsidR="00691F36" w:rsidRPr="00A74002">
        <w:rPr>
          <w:rFonts w:asciiTheme="minorHAnsi" w:hAnsiTheme="minorHAnsi" w:cstheme="minorHAnsi"/>
        </w:rPr>
        <w:t xml:space="preserve">use </w:t>
      </w:r>
      <w:r w:rsidR="00431D73" w:rsidRPr="00A74002">
        <w:rPr>
          <w:rFonts w:asciiTheme="minorHAnsi" w:hAnsiTheme="minorHAnsi" w:cstheme="minorHAnsi"/>
        </w:rPr>
        <w:t xml:space="preserve">of the </w:t>
      </w:r>
      <w:r w:rsidR="00691F36" w:rsidRPr="00A74002">
        <w:rPr>
          <w:rFonts w:asciiTheme="minorHAnsi" w:hAnsiTheme="minorHAnsi" w:cstheme="minorHAnsi"/>
        </w:rPr>
        <w:t xml:space="preserve">continued </w:t>
      </w:r>
      <w:r w:rsidR="00431D73" w:rsidRPr="00A74002">
        <w:rPr>
          <w:rFonts w:asciiTheme="minorHAnsi" w:hAnsiTheme="minorHAnsi" w:cstheme="minorHAnsi"/>
        </w:rPr>
        <w:t>demand pressures in the services indu</w:t>
      </w:r>
      <w:r w:rsidR="00691F36" w:rsidRPr="00A74002">
        <w:rPr>
          <w:rFonts w:asciiTheme="minorHAnsi" w:hAnsiTheme="minorHAnsi" w:cstheme="minorHAnsi"/>
        </w:rPr>
        <w:t>s</w:t>
      </w:r>
      <w:r w:rsidR="00431D73" w:rsidRPr="00A74002">
        <w:rPr>
          <w:rFonts w:asciiTheme="minorHAnsi" w:hAnsiTheme="minorHAnsi" w:cstheme="minorHAnsi"/>
        </w:rPr>
        <w:t>t</w:t>
      </w:r>
      <w:r w:rsidR="00691F36" w:rsidRPr="00A74002">
        <w:rPr>
          <w:rFonts w:asciiTheme="minorHAnsi" w:hAnsiTheme="minorHAnsi" w:cstheme="minorHAnsi"/>
        </w:rPr>
        <w:t>r</w:t>
      </w:r>
      <w:r w:rsidR="00431D73" w:rsidRPr="00A74002">
        <w:rPr>
          <w:rFonts w:asciiTheme="minorHAnsi" w:hAnsiTheme="minorHAnsi" w:cstheme="minorHAnsi"/>
        </w:rPr>
        <w:t xml:space="preserve">ies. The </w:t>
      </w:r>
      <w:r w:rsidR="00691F36" w:rsidRPr="00A74002">
        <w:rPr>
          <w:rFonts w:asciiTheme="minorHAnsi" w:hAnsiTheme="minorHAnsi" w:cstheme="minorHAnsi"/>
        </w:rPr>
        <w:t>economic</w:t>
      </w:r>
      <w:r w:rsidR="00431D73" w:rsidRPr="00A74002">
        <w:rPr>
          <w:rFonts w:asciiTheme="minorHAnsi" w:hAnsiTheme="minorHAnsi" w:cstheme="minorHAnsi"/>
        </w:rPr>
        <w:t xml:space="preserve"> acti</w:t>
      </w:r>
      <w:r w:rsidR="00691F36" w:rsidRPr="00A74002">
        <w:rPr>
          <w:rFonts w:asciiTheme="minorHAnsi" w:hAnsiTheme="minorHAnsi" w:cstheme="minorHAnsi"/>
        </w:rPr>
        <w:t>vi</w:t>
      </w:r>
      <w:r w:rsidR="00431D73" w:rsidRPr="00A74002">
        <w:rPr>
          <w:rFonts w:asciiTheme="minorHAnsi" w:hAnsiTheme="minorHAnsi" w:cstheme="minorHAnsi"/>
        </w:rPr>
        <w:t xml:space="preserve">ty in major economies </w:t>
      </w:r>
      <w:r w:rsidR="00691F36" w:rsidRPr="00A74002">
        <w:rPr>
          <w:rFonts w:asciiTheme="minorHAnsi" w:hAnsiTheme="minorHAnsi" w:cstheme="minorHAnsi"/>
        </w:rPr>
        <w:t>m</w:t>
      </w:r>
      <w:r w:rsidR="00431D73" w:rsidRPr="00A74002">
        <w:rPr>
          <w:rFonts w:asciiTheme="minorHAnsi" w:hAnsiTheme="minorHAnsi" w:cstheme="minorHAnsi"/>
        </w:rPr>
        <w:t xml:space="preserve">oderated, and in the </w:t>
      </w:r>
      <w:r w:rsidR="00442287" w:rsidRPr="00A74002">
        <w:rPr>
          <w:rFonts w:asciiTheme="minorHAnsi" w:hAnsiTheme="minorHAnsi" w:cstheme="minorHAnsi"/>
        </w:rPr>
        <w:t>background,</w:t>
      </w:r>
      <w:r w:rsidR="00431D73" w:rsidRPr="00A74002">
        <w:rPr>
          <w:rFonts w:asciiTheme="minorHAnsi" w:hAnsiTheme="minorHAnsi" w:cstheme="minorHAnsi"/>
        </w:rPr>
        <w:t xml:space="preserve"> </w:t>
      </w:r>
      <w:r w:rsidR="00691F36" w:rsidRPr="00A74002">
        <w:rPr>
          <w:rFonts w:asciiTheme="minorHAnsi" w:hAnsiTheme="minorHAnsi" w:cstheme="minorHAnsi"/>
        </w:rPr>
        <w:t>there</w:t>
      </w:r>
      <w:r w:rsidR="00431D73" w:rsidRPr="00A74002">
        <w:rPr>
          <w:rFonts w:asciiTheme="minorHAnsi" w:hAnsiTheme="minorHAnsi" w:cstheme="minorHAnsi"/>
        </w:rPr>
        <w:t xml:space="preserve"> </w:t>
      </w:r>
      <w:r w:rsidR="00691F36" w:rsidRPr="00A74002">
        <w:rPr>
          <w:rFonts w:asciiTheme="minorHAnsi" w:hAnsiTheme="minorHAnsi" w:cstheme="minorHAnsi"/>
        </w:rPr>
        <w:t>was</w:t>
      </w:r>
      <w:r w:rsidR="00431D73" w:rsidRPr="00A74002">
        <w:rPr>
          <w:rFonts w:asciiTheme="minorHAnsi" w:hAnsiTheme="minorHAnsi" w:cstheme="minorHAnsi"/>
        </w:rPr>
        <w:t xml:space="preserve"> </w:t>
      </w:r>
      <w:r w:rsidR="00691F36" w:rsidRPr="00A74002">
        <w:rPr>
          <w:rFonts w:asciiTheme="minorHAnsi" w:hAnsiTheme="minorHAnsi" w:cstheme="minorHAnsi"/>
        </w:rPr>
        <w:t xml:space="preserve">continued </w:t>
      </w:r>
      <w:r w:rsidR="00431D73" w:rsidRPr="00A74002">
        <w:rPr>
          <w:rFonts w:asciiTheme="minorHAnsi" w:hAnsiTheme="minorHAnsi" w:cstheme="minorHAnsi"/>
        </w:rPr>
        <w:t xml:space="preserve">weakness in the global </w:t>
      </w:r>
      <w:r w:rsidR="00431D73" w:rsidRPr="00A74002">
        <w:rPr>
          <w:rFonts w:asciiTheme="minorHAnsi" w:hAnsiTheme="minorHAnsi" w:cstheme="minorHAnsi"/>
        </w:rPr>
        <w:lastRenderedPageBreak/>
        <w:t>manufacturin</w:t>
      </w:r>
      <w:r w:rsidR="00691F36" w:rsidRPr="00A74002">
        <w:rPr>
          <w:rFonts w:asciiTheme="minorHAnsi" w:hAnsiTheme="minorHAnsi" w:cstheme="minorHAnsi"/>
        </w:rPr>
        <w:t>g</w:t>
      </w:r>
      <w:r w:rsidR="00431D73" w:rsidRPr="00A74002">
        <w:rPr>
          <w:rFonts w:asciiTheme="minorHAnsi" w:hAnsiTheme="minorHAnsi" w:cstheme="minorHAnsi"/>
        </w:rPr>
        <w:t xml:space="preserve"> </w:t>
      </w:r>
      <w:r w:rsidR="00691F36" w:rsidRPr="00A74002">
        <w:rPr>
          <w:rFonts w:asciiTheme="minorHAnsi" w:hAnsiTheme="minorHAnsi" w:cstheme="minorHAnsi"/>
        </w:rPr>
        <w:t xml:space="preserve">sector and </w:t>
      </w:r>
      <w:r w:rsidR="00E36588" w:rsidRPr="00A74002">
        <w:rPr>
          <w:rFonts w:asciiTheme="minorHAnsi" w:hAnsiTheme="minorHAnsi" w:cstheme="minorHAnsi"/>
        </w:rPr>
        <w:t xml:space="preserve">in </w:t>
      </w:r>
      <w:r w:rsidR="00431D73" w:rsidRPr="00A74002">
        <w:rPr>
          <w:rFonts w:asciiTheme="minorHAnsi" w:hAnsiTheme="minorHAnsi" w:cstheme="minorHAnsi"/>
        </w:rPr>
        <w:t xml:space="preserve">world trade. </w:t>
      </w:r>
      <w:r w:rsidR="00675DC9" w:rsidRPr="00A74002">
        <w:rPr>
          <w:rFonts w:asciiTheme="minorHAnsi" w:hAnsiTheme="minorHAnsi" w:cstheme="minorHAnsi"/>
        </w:rPr>
        <w:t xml:space="preserve">Major </w:t>
      </w:r>
      <w:r w:rsidR="00431D73" w:rsidRPr="00A74002">
        <w:rPr>
          <w:rFonts w:asciiTheme="minorHAnsi" w:hAnsiTheme="minorHAnsi" w:cstheme="minorHAnsi"/>
        </w:rPr>
        <w:t>equity indices worldwide increased sharply, led by big technology comp</w:t>
      </w:r>
      <w:r w:rsidR="00691F36" w:rsidRPr="00A74002">
        <w:rPr>
          <w:rFonts w:asciiTheme="minorHAnsi" w:hAnsiTheme="minorHAnsi" w:cstheme="minorHAnsi"/>
        </w:rPr>
        <w:t>a</w:t>
      </w:r>
      <w:r w:rsidR="00431D73" w:rsidRPr="00A74002">
        <w:rPr>
          <w:rFonts w:asciiTheme="minorHAnsi" w:hAnsiTheme="minorHAnsi" w:cstheme="minorHAnsi"/>
        </w:rPr>
        <w:t>nies. With that, the trading was volati</w:t>
      </w:r>
      <w:r w:rsidR="00691F36" w:rsidRPr="00A74002">
        <w:rPr>
          <w:rFonts w:asciiTheme="minorHAnsi" w:hAnsiTheme="minorHAnsi" w:cstheme="minorHAnsi"/>
        </w:rPr>
        <w:t>l</w:t>
      </w:r>
      <w:r w:rsidR="00431D73" w:rsidRPr="00A74002">
        <w:rPr>
          <w:rFonts w:asciiTheme="minorHAnsi" w:hAnsiTheme="minorHAnsi" w:cstheme="minorHAnsi"/>
        </w:rPr>
        <w:t>e again</w:t>
      </w:r>
      <w:r w:rsidR="00691F36" w:rsidRPr="00A74002">
        <w:rPr>
          <w:rFonts w:asciiTheme="minorHAnsi" w:hAnsiTheme="minorHAnsi" w:cstheme="minorHAnsi"/>
        </w:rPr>
        <w:t>st</w:t>
      </w:r>
      <w:r w:rsidR="00431D73" w:rsidRPr="00A74002">
        <w:rPr>
          <w:rFonts w:asciiTheme="minorHAnsi" w:hAnsiTheme="minorHAnsi" w:cstheme="minorHAnsi"/>
        </w:rPr>
        <w:t xml:space="preserve"> the background of large lack of uncertainty, </w:t>
      </w:r>
      <w:r w:rsidR="00675DC9" w:rsidRPr="00A74002">
        <w:rPr>
          <w:rFonts w:asciiTheme="minorHAnsi" w:hAnsiTheme="minorHAnsi" w:cstheme="minorHAnsi"/>
        </w:rPr>
        <w:t xml:space="preserve">deriving from, </w:t>
      </w:r>
      <w:r w:rsidR="00431D73" w:rsidRPr="00A74002">
        <w:rPr>
          <w:rFonts w:asciiTheme="minorHAnsi" w:hAnsiTheme="minorHAnsi" w:cstheme="minorHAnsi"/>
        </w:rPr>
        <w:t>among other things</w:t>
      </w:r>
      <w:r w:rsidR="00675DC9" w:rsidRPr="00A74002">
        <w:rPr>
          <w:rFonts w:asciiTheme="minorHAnsi" w:hAnsiTheme="minorHAnsi" w:cstheme="minorHAnsi"/>
        </w:rPr>
        <w:t>,</w:t>
      </w:r>
      <w:r w:rsidR="00431D73" w:rsidRPr="00A74002">
        <w:rPr>
          <w:rFonts w:asciiTheme="minorHAnsi" w:hAnsiTheme="minorHAnsi" w:cstheme="minorHAnsi"/>
        </w:rPr>
        <w:t xml:space="preserve"> the conti</w:t>
      </w:r>
      <w:r w:rsidR="00691F36" w:rsidRPr="00A74002">
        <w:rPr>
          <w:rFonts w:asciiTheme="minorHAnsi" w:hAnsiTheme="minorHAnsi" w:cstheme="minorHAnsi"/>
        </w:rPr>
        <w:t xml:space="preserve">nuation </w:t>
      </w:r>
      <w:r w:rsidR="00431D73" w:rsidRPr="00A74002">
        <w:rPr>
          <w:rFonts w:asciiTheme="minorHAnsi" w:hAnsiTheme="minorHAnsi" w:cstheme="minorHAnsi"/>
        </w:rPr>
        <w:t>of tight monetary policy and concern of its ramific</w:t>
      </w:r>
      <w:r w:rsidR="00691F36" w:rsidRPr="00A74002">
        <w:rPr>
          <w:rFonts w:asciiTheme="minorHAnsi" w:hAnsiTheme="minorHAnsi" w:cstheme="minorHAnsi"/>
        </w:rPr>
        <w:t>a</w:t>
      </w:r>
      <w:r w:rsidR="00431D73" w:rsidRPr="00A74002">
        <w:rPr>
          <w:rFonts w:asciiTheme="minorHAnsi" w:hAnsiTheme="minorHAnsi" w:cstheme="minorHAnsi"/>
        </w:rPr>
        <w:t>tions on real and financial activity.</w:t>
      </w:r>
    </w:p>
    <w:p w14:paraId="01CF6846" w14:textId="0CE004D3" w:rsidR="00431D73" w:rsidRPr="00A74002" w:rsidRDefault="00431D73" w:rsidP="00431D73">
      <w:pPr>
        <w:jc w:val="both"/>
        <w:rPr>
          <w:rFonts w:asciiTheme="minorHAnsi" w:hAnsiTheme="minorHAnsi" w:cstheme="minorHAnsi"/>
          <w:b/>
          <w:bCs/>
        </w:rPr>
      </w:pPr>
    </w:p>
    <w:p w14:paraId="0C60348A" w14:textId="7DDE14BE" w:rsidR="00003519" w:rsidRPr="00A74002" w:rsidRDefault="00F9571E" w:rsidP="00003519">
      <w:pPr>
        <w:jc w:val="both"/>
        <w:rPr>
          <w:rFonts w:asciiTheme="minorHAnsi" w:hAnsiTheme="minorHAnsi" w:cstheme="minorHAnsi"/>
        </w:rPr>
      </w:pPr>
      <w:r w:rsidRPr="00A74002">
        <w:rPr>
          <w:rFonts w:asciiTheme="minorHAnsi" w:hAnsiTheme="minorHAnsi" w:cstheme="minorHAnsi"/>
          <w:b/>
          <w:bCs/>
        </w:rPr>
        <w:t xml:space="preserve">The Research Department </w:t>
      </w:r>
      <w:r w:rsidR="009251C7" w:rsidRPr="00A74002">
        <w:rPr>
          <w:rFonts w:asciiTheme="minorHAnsi" w:hAnsiTheme="minorHAnsi" w:cstheme="minorHAnsi"/>
          <w:b/>
          <w:bCs/>
        </w:rPr>
        <w:t xml:space="preserve">staff </w:t>
      </w:r>
      <w:r w:rsidRPr="00A74002">
        <w:rPr>
          <w:rFonts w:asciiTheme="minorHAnsi" w:hAnsiTheme="minorHAnsi" w:cstheme="minorHAnsi"/>
          <w:b/>
          <w:bCs/>
        </w:rPr>
        <w:t xml:space="preserve">forecast: </w:t>
      </w:r>
      <w:r w:rsidRPr="00A74002">
        <w:rPr>
          <w:rFonts w:asciiTheme="minorHAnsi" w:hAnsiTheme="minorHAnsi" w:cstheme="minorHAnsi"/>
        </w:rPr>
        <w:t xml:space="preserve">The Research Department published three forecasts </w:t>
      </w:r>
      <w:r w:rsidR="009251C7" w:rsidRPr="00A74002">
        <w:rPr>
          <w:rFonts w:asciiTheme="minorHAnsi" w:hAnsiTheme="minorHAnsi" w:cstheme="minorHAnsi"/>
        </w:rPr>
        <w:t>dur</w:t>
      </w:r>
      <w:r w:rsidRPr="00A74002">
        <w:rPr>
          <w:rFonts w:asciiTheme="minorHAnsi" w:hAnsiTheme="minorHAnsi" w:cstheme="minorHAnsi"/>
        </w:rPr>
        <w:t>in</w:t>
      </w:r>
      <w:r w:rsidR="009251C7" w:rsidRPr="00A74002">
        <w:rPr>
          <w:rFonts w:asciiTheme="minorHAnsi" w:hAnsiTheme="minorHAnsi" w:cstheme="minorHAnsi"/>
        </w:rPr>
        <w:t>g</w:t>
      </w:r>
      <w:r w:rsidRPr="00A74002">
        <w:rPr>
          <w:rFonts w:asciiTheme="minorHAnsi" w:hAnsiTheme="minorHAnsi" w:cstheme="minorHAnsi"/>
        </w:rPr>
        <w:t xml:space="preserve"> the reviewed </w:t>
      </w:r>
      <w:r w:rsidR="009251C7" w:rsidRPr="00A74002">
        <w:rPr>
          <w:rFonts w:asciiTheme="minorHAnsi" w:hAnsiTheme="minorHAnsi" w:cstheme="minorHAnsi"/>
        </w:rPr>
        <w:t>period</w:t>
      </w:r>
      <w:r w:rsidRPr="00A74002">
        <w:rPr>
          <w:rFonts w:asciiTheme="minorHAnsi" w:hAnsiTheme="minorHAnsi" w:cstheme="minorHAnsi"/>
        </w:rPr>
        <w:t xml:space="preserve">, </w:t>
      </w:r>
      <w:r w:rsidR="007B0A0A" w:rsidRPr="00A74002">
        <w:rPr>
          <w:rFonts w:asciiTheme="minorHAnsi" w:hAnsiTheme="minorHAnsi" w:cstheme="minorHAnsi"/>
        </w:rPr>
        <w:t>alongside the</w:t>
      </w:r>
      <w:r w:rsidRPr="00A74002">
        <w:rPr>
          <w:rFonts w:asciiTheme="minorHAnsi" w:hAnsiTheme="minorHAnsi" w:cstheme="minorHAnsi"/>
        </w:rPr>
        <w:t xml:space="preserve"> interest rate announcements in </w:t>
      </w:r>
      <w:r w:rsidR="00431D73" w:rsidRPr="00A74002">
        <w:rPr>
          <w:rFonts w:asciiTheme="minorHAnsi" w:hAnsiTheme="minorHAnsi" w:cstheme="minorHAnsi"/>
        </w:rPr>
        <w:t>July 2023</w:t>
      </w:r>
      <w:r w:rsidRPr="00A74002">
        <w:rPr>
          <w:rFonts w:asciiTheme="minorHAnsi" w:hAnsiTheme="minorHAnsi" w:cstheme="minorHAnsi"/>
        </w:rPr>
        <w:t xml:space="preserve">, </w:t>
      </w:r>
      <w:r w:rsidR="00431D73" w:rsidRPr="00A74002">
        <w:rPr>
          <w:rFonts w:asciiTheme="minorHAnsi" w:hAnsiTheme="minorHAnsi" w:cstheme="minorHAnsi"/>
        </w:rPr>
        <w:t>October 2023</w:t>
      </w:r>
      <w:r w:rsidRPr="00A74002">
        <w:rPr>
          <w:rFonts w:asciiTheme="minorHAnsi" w:hAnsiTheme="minorHAnsi" w:cstheme="minorHAnsi"/>
        </w:rPr>
        <w:t xml:space="preserve">, and </w:t>
      </w:r>
      <w:r w:rsidR="00431D73" w:rsidRPr="00A74002">
        <w:rPr>
          <w:rFonts w:asciiTheme="minorHAnsi" w:hAnsiTheme="minorHAnsi" w:cstheme="minorHAnsi"/>
        </w:rPr>
        <w:t>January 2024</w:t>
      </w:r>
      <w:r w:rsidRPr="00A74002">
        <w:rPr>
          <w:rFonts w:asciiTheme="minorHAnsi" w:hAnsiTheme="minorHAnsi" w:cstheme="minorHAnsi"/>
        </w:rPr>
        <w:t xml:space="preserve">. </w:t>
      </w:r>
      <w:r w:rsidR="00F03C9D" w:rsidRPr="00A74002">
        <w:rPr>
          <w:rFonts w:asciiTheme="minorHAnsi" w:hAnsiTheme="minorHAnsi" w:cstheme="minorHAnsi"/>
        </w:rPr>
        <w:t xml:space="preserve">In addition, another forecast, unscheduled, was </w:t>
      </w:r>
      <w:r w:rsidR="00442287" w:rsidRPr="00A74002">
        <w:rPr>
          <w:rFonts w:asciiTheme="minorHAnsi" w:hAnsiTheme="minorHAnsi" w:cstheme="minorHAnsi"/>
        </w:rPr>
        <w:t>published</w:t>
      </w:r>
      <w:r w:rsidR="00F03C9D" w:rsidRPr="00A74002">
        <w:rPr>
          <w:rFonts w:asciiTheme="minorHAnsi" w:hAnsiTheme="minorHAnsi" w:cstheme="minorHAnsi"/>
        </w:rPr>
        <w:t xml:space="preserve"> in November 2023, with some clarification of the uncertainty that prevailed when the October forecast was being compiled</w:t>
      </w:r>
      <w:r w:rsidR="00FF37BB" w:rsidRPr="00A74002">
        <w:rPr>
          <w:rFonts w:asciiTheme="minorHAnsi" w:hAnsiTheme="minorHAnsi" w:cstheme="minorHAnsi"/>
        </w:rPr>
        <w:t xml:space="preserve">, which was only about 2 weeks after the eruption of </w:t>
      </w:r>
      <w:r w:rsidR="00442287" w:rsidRPr="00A74002">
        <w:rPr>
          <w:rFonts w:asciiTheme="minorHAnsi" w:hAnsiTheme="minorHAnsi" w:cstheme="minorHAnsi"/>
        </w:rPr>
        <w:t>the</w:t>
      </w:r>
      <w:r w:rsidR="00FF37BB" w:rsidRPr="00A74002">
        <w:rPr>
          <w:rFonts w:asciiTheme="minorHAnsi" w:hAnsiTheme="minorHAnsi" w:cstheme="minorHAnsi"/>
        </w:rPr>
        <w:t xml:space="preserve"> war. </w:t>
      </w:r>
      <w:r w:rsidR="00442287" w:rsidRPr="00A74002">
        <w:rPr>
          <w:rFonts w:asciiTheme="minorHAnsi" w:hAnsiTheme="minorHAnsi" w:cstheme="minorHAnsi"/>
        </w:rPr>
        <w:t>Based</w:t>
      </w:r>
      <w:r w:rsidR="00FF37BB" w:rsidRPr="00A74002">
        <w:rPr>
          <w:rFonts w:asciiTheme="minorHAnsi" w:hAnsiTheme="minorHAnsi" w:cstheme="minorHAnsi"/>
        </w:rPr>
        <w:t xml:space="preserve"> on the forecast </w:t>
      </w:r>
      <w:r w:rsidR="00442287" w:rsidRPr="00A74002">
        <w:rPr>
          <w:rFonts w:asciiTheme="minorHAnsi" w:hAnsiTheme="minorHAnsi" w:cstheme="minorHAnsi"/>
        </w:rPr>
        <w:t>published</w:t>
      </w:r>
      <w:r w:rsidR="00FF37BB" w:rsidRPr="00A74002">
        <w:rPr>
          <w:rFonts w:asciiTheme="minorHAnsi" w:hAnsiTheme="minorHAnsi" w:cstheme="minorHAnsi"/>
        </w:rPr>
        <w:t xml:space="preserve"> in the begin</w:t>
      </w:r>
      <w:r w:rsidR="00442287" w:rsidRPr="00A74002">
        <w:rPr>
          <w:rFonts w:asciiTheme="minorHAnsi" w:hAnsiTheme="minorHAnsi" w:cstheme="minorHAnsi"/>
        </w:rPr>
        <w:t xml:space="preserve">ning </w:t>
      </w:r>
      <w:r w:rsidR="00FF37BB" w:rsidRPr="00A74002">
        <w:rPr>
          <w:rFonts w:asciiTheme="minorHAnsi" w:hAnsiTheme="minorHAnsi" w:cstheme="minorHAnsi"/>
        </w:rPr>
        <w:t xml:space="preserve">of </w:t>
      </w:r>
      <w:r w:rsidR="00442287" w:rsidRPr="00A74002">
        <w:rPr>
          <w:rFonts w:asciiTheme="minorHAnsi" w:hAnsiTheme="minorHAnsi" w:cstheme="minorHAnsi"/>
        </w:rPr>
        <w:t>January,</w:t>
      </w:r>
      <w:r w:rsidR="00FF37BB" w:rsidRPr="00A74002">
        <w:rPr>
          <w:rFonts w:asciiTheme="minorHAnsi" w:hAnsiTheme="minorHAnsi" w:cstheme="minorHAnsi"/>
        </w:rPr>
        <w:t xml:space="preserve"> GDP is expected to grow by 2 percent in each of 2023 and 2024, as in the </w:t>
      </w:r>
      <w:r w:rsidR="00442287" w:rsidRPr="00A74002">
        <w:rPr>
          <w:rFonts w:asciiTheme="minorHAnsi" w:hAnsiTheme="minorHAnsi" w:cstheme="minorHAnsi"/>
        </w:rPr>
        <w:t>November</w:t>
      </w:r>
      <w:r w:rsidR="00FF37BB" w:rsidRPr="00A74002">
        <w:rPr>
          <w:rFonts w:asciiTheme="minorHAnsi" w:hAnsiTheme="minorHAnsi" w:cstheme="minorHAnsi"/>
        </w:rPr>
        <w:t xml:space="preserve"> forecast, and by 5 percent in 2025—so that the output gap is </w:t>
      </w:r>
      <w:r w:rsidR="00442287" w:rsidRPr="00A74002">
        <w:rPr>
          <w:rFonts w:asciiTheme="minorHAnsi" w:hAnsiTheme="minorHAnsi" w:cstheme="minorHAnsi"/>
        </w:rPr>
        <w:t>expected</w:t>
      </w:r>
      <w:r w:rsidR="00FF37BB" w:rsidRPr="00A74002">
        <w:rPr>
          <w:rFonts w:asciiTheme="minorHAnsi" w:hAnsiTheme="minorHAnsi" w:cstheme="minorHAnsi"/>
        </w:rPr>
        <w:t xml:space="preserve"> to close in that year. In 2024 and 2025, the broad </w:t>
      </w:r>
      <w:r w:rsidR="00442287" w:rsidRPr="00A74002">
        <w:rPr>
          <w:rFonts w:asciiTheme="minorHAnsi" w:hAnsiTheme="minorHAnsi" w:cstheme="minorHAnsi"/>
        </w:rPr>
        <w:t>unemployment</w:t>
      </w:r>
      <w:r w:rsidR="00FF37BB" w:rsidRPr="00A74002">
        <w:rPr>
          <w:rFonts w:asciiTheme="minorHAnsi" w:hAnsiTheme="minorHAnsi" w:cstheme="minorHAnsi"/>
        </w:rPr>
        <w:t xml:space="preserve"> rate among the prime work</w:t>
      </w:r>
      <w:r w:rsidR="008A53AD" w:rsidRPr="00A74002">
        <w:rPr>
          <w:rFonts w:asciiTheme="minorHAnsi" w:hAnsiTheme="minorHAnsi" w:cstheme="minorHAnsi"/>
        </w:rPr>
        <w:t xml:space="preserve">ing </w:t>
      </w:r>
      <w:r w:rsidR="00FF37BB" w:rsidRPr="00A74002">
        <w:rPr>
          <w:rFonts w:asciiTheme="minorHAnsi" w:hAnsiTheme="minorHAnsi" w:cstheme="minorHAnsi"/>
        </w:rPr>
        <w:t>ages (25–64) is ex</w:t>
      </w:r>
      <w:r w:rsidR="00650A41" w:rsidRPr="00A74002">
        <w:rPr>
          <w:rFonts w:asciiTheme="minorHAnsi" w:hAnsiTheme="minorHAnsi" w:cstheme="minorHAnsi"/>
        </w:rPr>
        <w:t>p</w:t>
      </w:r>
      <w:r w:rsidR="008A53AD" w:rsidRPr="00A74002">
        <w:rPr>
          <w:rFonts w:asciiTheme="minorHAnsi" w:hAnsiTheme="minorHAnsi" w:cstheme="minorHAnsi"/>
        </w:rPr>
        <w:t>e</w:t>
      </w:r>
      <w:r w:rsidR="00FF37BB" w:rsidRPr="00A74002">
        <w:rPr>
          <w:rFonts w:asciiTheme="minorHAnsi" w:hAnsiTheme="minorHAnsi" w:cstheme="minorHAnsi"/>
        </w:rPr>
        <w:t>cte</w:t>
      </w:r>
      <w:r w:rsidR="008A53AD" w:rsidRPr="00A74002">
        <w:rPr>
          <w:rFonts w:asciiTheme="minorHAnsi" w:hAnsiTheme="minorHAnsi" w:cstheme="minorHAnsi"/>
        </w:rPr>
        <w:t>d</w:t>
      </w:r>
      <w:r w:rsidR="00FF37BB" w:rsidRPr="00A74002">
        <w:rPr>
          <w:rFonts w:asciiTheme="minorHAnsi" w:hAnsiTheme="minorHAnsi" w:cstheme="minorHAnsi"/>
        </w:rPr>
        <w:t xml:space="preserve"> to be, on </w:t>
      </w:r>
      <w:r w:rsidR="008A53AD" w:rsidRPr="00A74002">
        <w:rPr>
          <w:rFonts w:asciiTheme="minorHAnsi" w:hAnsiTheme="minorHAnsi" w:cstheme="minorHAnsi"/>
        </w:rPr>
        <w:t>average</w:t>
      </w:r>
      <w:r w:rsidR="00FF37BB" w:rsidRPr="00A74002">
        <w:rPr>
          <w:rFonts w:asciiTheme="minorHAnsi" w:hAnsiTheme="minorHAnsi" w:cstheme="minorHAnsi"/>
        </w:rPr>
        <w:t xml:space="preserve">, 5.3 percent </w:t>
      </w:r>
      <w:r w:rsidR="00003519" w:rsidRPr="00A74002">
        <w:rPr>
          <w:rFonts w:asciiTheme="minorHAnsi" w:hAnsiTheme="minorHAnsi" w:cstheme="minorHAnsi"/>
        </w:rPr>
        <w:t xml:space="preserve">in 2024 </w:t>
      </w:r>
      <w:r w:rsidR="00FF37BB" w:rsidRPr="00A74002">
        <w:rPr>
          <w:rFonts w:asciiTheme="minorHAnsi" w:hAnsiTheme="minorHAnsi" w:cstheme="minorHAnsi"/>
        </w:rPr>
        <w:t>and 3.2 percent</w:t>
      </w:r>
      <w:r w:rsidR="00003519" w:rsidRPr="00A74002">
        <w:rPr>
          <w:rFonts w:asciiTheme="minorHAnsi" w:hAnsiTheme="minorHAnsi" w:cstheme="minorHAnsi"/>
        </w:rPr>
        <w:t xml:space="preserve"> in 2025. </w:t>
      </w:r>
      <w:r w:rsidR="00B36BFF" w:rsidRPr="00A74002">
        <w:rPr>
          <w:rFonts w:asciiTheme="minorHAnsi" w:hAnsiTheme="minorHAnsi" w:cstheme="minorHAnsi"/>
        </w:rPr>
        <w:t>T</w:t>
      </w:r>
      <w:r w:rsidR="00FF37BB" w:rsidRPr="00A74002">
        <w:rPr>
          <w:rFonts w:asciiTheme="minorHAnsi" w:hAnsiTheme="minorHAnsi" w:cstheme="minorHAnsi"/>
        </w:rPr>
        <w:t>he annual infla</w:t>
      </w:r>
      <w:r w:rsidR="008A53AD" w:rsidRPr="00A74002">
        <w:rPr>
          <w:rFonts w:asciiTheme="minorHAnsi" w:hAnsiTheme="minorHAnsi" w:cstheme="minorHAnsi"/>
        </w:rPr>
        <w:t xml:space="preserve">tion </w:t>
      </w:r>
      <w:r w:rsidR="00FF37BB" w:rsidRPr="00A74002">
        <w:rPr>
          <w:rFonts w:asciiTheme="minorHAnsi" w:hAnsiTheme="minorHAnsi" w:cstheme="minorHAnsi"/>
        </w:rPr>
        <w:t>rate ove</w:t>
      </w:r>
      <w:r w:rsidR="008A53AD" w:rsidRPr="00A74002">
        <w:rPr>
          <w:rFonts w:asciiTheme="minorHAnsi" w:hAnsiTheme="minorHAnsi" w:cstheme="minorHAnsi"/>
        </w:rPr>
        <w:t>r</w:t>
      </w:r>
      <w:r w:rsidR="00FF37BB" w:rsidRPr="00A74002">
        <w:rPr>
          <w:rFonts w:asciiTheme="minorHAnsi" w:hAnsiTheme="minorHAnsi" w:cstheme="minorHAnsi"/>
        </w:rPr>
        <w:t xml:space="preserve"> the 4 quarters of 2024 is expe</w:t>
      </w:r>
      <w:r w:rsidR="008A53AD" w:rsidRPr="00A74002">
        <w:rPr>
          <w:rFonts w:asciiTheme="minorHAnsi" w:hAnsiTheme="minorHAnsi" w:cstheme="minorHAnsi"/>
        </w:rPr>
        <w:t>c</w:t>
      </w:r>
      <w:r w:rsidR="00FF37BB" w:rsidRPr="00A74002">
        <w:rPr>
          <w:rFonts w:asciiTheme="minorHAnsi" w:hAnsiTheme="minorHAnsi" w:cstheme="minorHAnsi"/>
        </w:rPr>
        <w:t>ted to be 2.4 percent, and during 2025 to be 2 perc</w:t>
      </w:r>
      <w:r w:rsidR="008A53AD" w:rsidRPr="00A74002">
        <w:rPr>
          <w:rFonts w:asciiTheme="minorHAnsi" w:hAnsiTheme="minorHAnsi" w:cstheme="minorHAnsi"/>
        </w:rPr>
        <w:t>e</w:t>
      </w:r>
      <w:r w:rsidR="00FF37BB" w:rsidRPr="00A74002">
        <w:rPr>
          <w:rFonts w:asciiTheme="minorHAnsi" w:hAnsiTheme="minorHAnsi" w:cstheme="minorHAnsi"/>
        </w:rPr>
        <w:t>nt.</w:t>
      </w:r>
    </w:p>
    <w:sectPr w:rsidR="00003519" w:rsidRPr="00A74002" w:rsidSect="009C677A">
      <w:type w:val="continuous"/>
      <w:pgSz w:w="11907" w:h="16839" w:code="9"/>
      <w:pgMar w:top="1701" w:right="1134" w:bottom="1304" w:left="1418"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2D68" w14:textId="77777777" w:rsidR="00442287" w:rsidRDefault="00442287" w:rsidP="00F9571E">
      <w:r>
        <w:separator/>
      </w:r>
    </w:p>
  </w:endnote>
  <w:endnote w:type="continuationSeparator" w:id="0">
    <w:p w14:paraId="2EDED355" w14:textId="77777777" w:rsidR="00442287" w:rsidRDefault="00442287" w:rsidP="00F9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8692B" w14:textId="77777777" w:rsidR="00442287" w:rsidRDefault="00442287" w:rsidP="00F9571E">
      <w:r>
        <w:separator/>
      </w:r>
    </w:p>
  </w:footnote>
  <w:footnote w:type="continuationSeparator" w:id="0">
    <w:p w14:paraId="786C13A0" w14:textId="77777777" w:rsidR="00442287" w:rsidRDefault="00442287" w:rsidP="00F95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10829"/>
    <w:multiLevelType w:val="hybridMultilevel"/>
    <w:tmpl w:val="E14CA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D06D3"/>
    <w:multiLevelType w:val="hybridMultilevel"/>
    <w:tmpl w:val="37148B1C"/>
    <w:lvl w:ilvl="0" w:tplc="ADDED2B0">
      <w:start w:val="1"/>
      <w:numFmt w:val="upperLetter"/>
      <w:lvlText w:val="%1."/>
      <w:lvlJc w:val="left"/>
      <w:pPr>
        <w:ind w:left="825" w:hanging="465"/>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82D3A"/>
    <w:multiLevelType w:val="hybridMultilevel"/>
    <w:tmpl w:val="EED2B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A74A1"/>
    <w:multiLevelType w:val="hybridMultilevel"/>
    <w:tmpl w:val="CB984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2F4FB5"/>
    <w:multiLevelType w:val="hybridMultilevel"/>
    <w:tmpl w:val="7DB87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1E"/>
    <w:rsid w:val="00000763"/>
    <w:rsid w:val="00003519"/>
    <w:rsid w:val="0000451F"/>
    <w:rsid w:val="00036B95"/>
    <w:rsid w:val="000519B9"/>
    <w:rsid w:val="000772B6"/>
    <w:rsid w:val="00080F4D"/>
    <w:rsid w:val="0008309B"/>
    <w:rsid w:val="0008359C"/>
    <w:rsid w:val="0008506B"/>
    <w:rsid w:val="000A56A8"/>
    <w:rsid w:val="000C3458"/>
    <w:rsid w:val="000D59FD"/>
    <w:rsid w:val="000E7C2F"/>
    <w:rsid w:val="000F2365"/>
    <w:rsid w:val="001024B7"/>
    <w:rsid w:val="00110587"/>
    <w:rsid w:val="00116614"/>
    <w:rsid w:val="00133333"/>
    <w:rsid w:val="001401F8"/>
    <w:rsid w:val="00165ABB"/>
    <w:rsid w:val="00172F04"/>
    <w:rsid w:val="0018439F"/>
    <w:rsid w:val="001B1AC8"/>
    <w:rsid w:val="001C07CD"/>
    <w:rsid w:val="001C3B61"/>
    <w:rsid w:val="001D06CA"/>
    <w:rsid w:val="001D6DE5"/>
    <w:rsid w:val="001F1511"/>
    <w:rsid w:val="002200A8"/>
    <w:rsid w:val="00220F94"/>
    <w:rsid w:val="0022352A"/>
    <w:rsid w:val="00225C96"/>
    <w:rsid w:val="00227C08"/>
    <w:rsid w:val="00227E97"/>
    <w:rsid w:val="00232813"/>
    <w:rsid w:val="002415D7"/>
    <w:rsid w:val="002478CE"/>
    <w:rsid w:val="00263B54"/>
    <w:rsid w:val="00280057"/>
    <w:rsid w:val="0028184A"/>
    <w:rsid w:val="002866C1"/>
    <w:rsid w:val="00286747"/>
    <w:rsid w:val="002A49C3"/>
    <w:rsid w:val="002B4C17"/>
    <w:rsid w:val="002D3E4D"/>
    <w:rsid w:val="002D7F0C"/>
    <w:rsid w:val="002F27BD"/>
    <w:rsid w:val="002F52BE"/>
    <w:rsid w:val="002F7097"/>
    <w:rsid w:val="003000E7"/>
    <w:rsid w:val="00305162"/>
    <w:rsid w:val="0030614D"/>
    <w:rsid w:val="00306498"/>
    <w:rsid w:val="003067F1"/>
    <w:rsid w:val="00311271"/>
    <w:rsid w:val="0031152F"/>
    <w:rsid w:val="00325018"/>
    <w:rsid w:val="003273D0"/>
    <w:rsid w:val="00332521"/>
    <w:rsid w:val="00337210"/>
    <w:rsid w:val="00354D6B"/>
    <w:rsid w:val="003572DD"/>
    <w:rsid w:val="00357EE1"/>
    <w:rsid w:val="00385245"/>
    <w:rsid w:val="003902C0"/>
    <w:rsid w:val="00391C5A"/>
    <w:rsid w:val="003A3056"/>
    <w:rsid w:val="003A5620"/>
    <w:rsid w:val="003B3896"/>
    <w:rsid w:val="003C371E"/>
    <w:rsid w:val="003D41BF"/>
    <w:rsid w:val="003E5908"/>
    <w:rsid w:val="003F1A5F"/>
    <w:rsid w:val="003F5E18"/>
    <w:rsid w:val="003F792E"/>
    <w:rsid w:val="0040799C"/>
    <w:rsid w:val="00413702"/>
    <w:rsid w:val="004160AB"/>
    <w:rsid w:val="0043137E"/>
    <w:rsid w:val="00431D73"/>
    <w:rsid w:val="00433BA8"/>
    <w:rsid w:val="00441754"/>
    <w:rsid w:val="00442287"/>
    <w:rsid w:val="00470015"/>
    <w:rsid w:val="00481219"/>
    <w:rsid w:val="004A48E2"/>
    <w:rsid w:val="004B2E64"/>
    <w:rsid w:val="004D5EF3"/>
    <w:rsid w:val="004E4F3D"/>
    <w:rsid w:val="004E5715"/>
    <w:rsid w:val="004F1E23"/>
    <w:rsid w:val="004F5B81"/>
    <w:rsid w:val="0050363E"/>
    <w:rsid w:val="00510593"/>
    <w:rsid w:val="00513DA5"/>
    <w:rsid w:val="005151BF"/>
    <w:rsid w:val="005238F5"/>
    <w:rsid w:val="00523D1F"/>
    <w:rsid w:val="005574D7"/>
    <w:rsid w:val="00560D21"/>
    <w:rsid w:val="005704DA"/>
    <w:rsid w:val="00585321"/>
    <w:rsid w:val="00587DC4"/>
    <w:rsid w:val="00596A26"/>
    <w:rsid w:val="005D4B58"/>
    <w:rsid w:val="00602C89"/>
    <w:rsid w:val="00625890"/>
    <w:rsid w:val="00625B97"/>
    <w:rsid w:val="00636181"/>
    <w:rsid w:val="00643291"/>
    <w:rsid w:val="00647C98"/>
    <w:rsid w:val="00650A41"/>
    <w:rsid w:val="00661F37"/>
    <w:rsid w:val="00674404"/>
    <w:rsid w:val="00675DC9"/>
    <w:rsid w:val="00691F36"/>
    <w:rsid w:val="00693EBC"/>
    <w:rsid w:val="006A702D"/>
    <w:rsid w:val="006B19A4"/>
    <w:rsid w:val="006B333E"/>
    <w:rsid w:val="006B7731"/>
    <w:rsid w:val="006C04DD"/>
    <w:rsid w:val="006D44DA"/>
    <w:rsid w:val="006D4F7B"/>
    <w:rsid w:val="006E73FE"/>
    <w:rsid w:val="006F58B0"/>
    <w:rsid w:val="00716AA8"/>
    <w:rsid w:val="00716CCF"/>
    <w:rsid w:val="0073156C"/>
    <w:rsid w:val="00734F93"/>
    <w:rsid w:val="007356FA"/>
    <w:rsid w:val="00735EAE"/>
    <w:rsid w:val="00746E53"/>
    <w:rsid w:val="00756D17"/>
    <w:rsid w:val="0076006C"/>
    <w:rsid w:val="007629FB"/>
    <w:rsid w:val="007661F9"/>
    <w:rsid w:val="00772488"/>
    <w:rsid w:val="00780BB0"/>
    <w:rsid w:val="007841B9"/>
    <w:rsid w:val="007841CB"/>
    <w:rsid w:val="007B0A0A"/>
    <w:rsid w:val="007B0E49"/>
    <w:rsid w:val="007C1FA5"/>
    <w:rsid w:val="007E24E5"/>
    <w:rsid w:val="007E70AD"/>
    <w:rsid w:val="007E7717"/>
    <w:rsid w:val="0081092C"/>
    <w:rsid w:val="00825C7B"/>
    <w:rsid w:val="0082793A"/>
    <w:rsid w:val="00840AF0"/>
    <w:rsid w:val="00840F4F"/>
    <w:rsid w:val="00854576"/>
    <w:rsid w:val="008822F8"/>
    <w:rsid w:val="0089530F"/>
    <w:rsid w:val="008A53AD"/>
    <w:rsid w:val="008E3B5A"/>
    <w:rsid w:val="008E4613"/>
    <w:rsid w:val="008F2097"/>
    <w:rsid w:val="008F3861"/>
    <w:rsid w:val="008F7A45"/>
    <w:rsid w:val="00902492"/>
    <w:rsid w:val="00917C27"/>
    <w:rsid w:val="009251C7"/>
    <w:rsid w:val="00926DE8"/>
    <w:rsid w:val="00996B8C"/>
    <w:rsid w:val="009A13BA"/>
    <w:rsid w:val="009B0AA6"/>
    <w:rsid w:val="009C3138"/>
    <w:rsid w:val="009C500F"/>
    <w:rsid w:val="009C677A"/>
    <w:rsid w:val="009D04CE"/>
    <w:rsid w:val="009D27B8"/>
    <w:rsid w:val="009D4C6F"/>
    <w:rsid w:val="009D4E42"/>
    <w:rsid w:val="009F5FF4"/>
    <w:rsid w:val="00A16450"/>
    <w:rsid w:val="00A20876"/>
    <w:rsid w:val="00A25990"/>
    <w:rsid w:val="00A327C2"/>
    <w:rsid w:val="00A339D4"/>
    <w:rsid w:val="00A351E6"/>
    <w:rsid w:val="00A37DE8"/>
    <w:rsid w:val="00A60C31"/>
    <w:rsid w:val="00A739F7"/>
    <w:rsid w:val="00A74002"/>
    <w:rsid w:val="00A9735B"/>
    <w:rsid w:val="00AA6B23"/>
    <w:rsid w:val="00AB05EB"/>
    <w:rsid w:val="00AB6548"/>
    <w:rsid w:val="00AC6B6D"/>
    <w:rsid w:val="00AD4053"/>
    <w:rsid w:val="00AF26A2"/>
    <w:rsid w:val="00AF6D4D"/>
    <w:rsid w:val="00B141A0"/>
    <w:rsid w:val="00B2438B"/>
    <w:rsid w:val="00B34312"/>
    <w:rsid w:val="00B36BFF"/>
    <w:rsid w:val="00B45791"/>
    <w:rsid w:val="00B51419"/>
    <w:rsid w:val="00B678A3"/>
    <w:rsid w:val="00B8599E"/>
    <w:rsid w:val="00B90021"/>
    <w:rsid w:val="00B9141F"/>
    <w:rsid w:val="00B9690F"/>
    <w:rsid w:val="00BA09B3"/>
    <w:rsid w:val="00BA3E0C"/>
    <w:rsid w:val="00BA6780"/>
    <w:rsid w:val="00BB76B2"/>
    <w:rsid w:val="00BE5F1A"/>
    <w:rsid w:val="00BE7001"/>
    <w:rsid w:val="00BF2944"/>
    <w:rsid w:val="00C06ABD"/>
    <w:rsid w:val="00C126BD"/>
    <w:rsid w:val="00C232D1"/>
    <w:rsid w:val="00C23EB9"/>
    <w:rsid w:val="00C41F95"/>
    <w:rsid w:val="00C47919"/>
    <w:rsid w:val="00C55592"/>
    <w:rsid w:val="00C95E91"/>
    <w:rsid w:val="00CA25DD"/>
    <w:rsid w:val="00CC75C8"/>
    <w:rsid w:val="00CD1751"/>
    <w:rsid w:val="00CE4990"/>
    <w:rsid w:val="00D14710"/>
    <w:rsid w:val="00D171FE"/>
    <w:rsid w:val="00D46984"/>
    <w:rsid w:val="00D473BB"/>
    <w:rsid w:val="00D50E59"/>
    <w:rsid w:val="00D53744"/>
    <w:rsid w:val="00D63B0D"/>
    <w:rsid w:val="00D65531"/>
    <w:rsid w:val="00D702D8"/>
    <w:rsid w:val="00D83197"/>
    <w:rsid w:val="00D83DF3"/>
    <w:rsid w:val="00D86448"/>
    <w:rsid w:val="00D906A6"/>
    <w:rsid w:val="00D92129"/>
    <w:rsid w:val="00DA04D4"/>
    <w:rsid w:val="00DA55BB"/>
    <w:rsid w:val="00DB531B"/>
    <w:rsid w:val="00DB5A12"/>
    <w:rsid w:val="00DC6888"/>
    <w:rsid w:val="00DE2D86"/>
    <w:rsid w:val="00DE3709"/>
    <w:rsid w:val="00DE649C"/>
    <w:rsid w:val="00DF0328"/>
    <w:rsid w:val="00DF1EB9"/>
    <w:rsid w:val="00DF6373"/>
    <w:rsid w:val="00E20891"/>
    <w:rsid w:val="00E25E27"/>
    <w:rsid w:val="00E36588"/>
    <w:rsid w:val="00E372DB"/>
    <w:rsid w:val="00E447E0"/>
    <w:rsid w:val="00E45A38"/>
    <w:rsid w:val="00E53046"/>
    <w:rsid w:val="00E534D2"/>
    <w:rsid w:val="00E70D53"/>
    <w:rsid w:val="00E7288F"/>
    <w:rsid w:val="00E74391"/>
    <w:rsid w:val="00E77414"/>
    <w:rsid w:val="00E826E0"/>
    <w:rsid w:val="00E90951"/>
    <w:rsid w:val="00EA2BC4"/>
    <w:rsid w:val="00EA762B"/>
    <w:rsid w:val="00EB0B74"/>
    <w:rsid w:val="00EB5E54"/>
    <w:rsid w:val="00EC0015"/>
    <w:rsid w:val="00EC3F06"/>
    <w:rsid w:val="00ED79C1"/>
    <w:rsid w:val="00EE6F81"/>
    <w:rsid w:val="00EF3276"/>
    <w:rsid w:val="00EF3690"/>
    <w:rsid w:val="00EF780A"/>
    <w:rsid w:val="00F03C9D"/>
    <w:rsid w:val="00F24950"/>
    <w:rsid w:val="00F35549"/>
    <w:rsid w:val="00F43683"/>
    <w:rsid w:val="00F451D7"/>
    <w:rsid w:val="00F56B23"/>
    <w:rsid w:val="00F914AF"/>
    <w:rsid w:val="00F921F5"/>
    <w:rsid w:val="00F92962"/>
    <w:rsid w:val="00F94DEC"/>
    <w:rsid w:val="00F9571E"/>
    <w:rsid w:val="00FA290B"/>
    <w:rsid w:val="00FB3DF9"/>
    <w:rsid w:val="00FB779C"/>
    <w:rsid w:val="00FC16CA"/>
    <w:rsid w:val="00FD56D0"/>
    <w:rsid w:val="00FD5A57"/>
    <w:rsid w:val="00FD72D0"/>
    <w:rsid w:val="00FE4F19"/>
    <w:rsid w:val="00FF37BB"/>
    <w:rsid w:val="00FF6B59"/>
    <w:rsid w:val="00FF6D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002A"/>
  <w15:chartTrackingRefBased/>
  <w15:docId w15:val="{E43EBC45-815B-470C-853E-F345D856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6A2"/>
    <w:pPr>
      <w:spacing w:after="0" w:line="240" w:lineRule="auto"/>
    </w:pPr>
    <w:rPr>
      <w:rFonts w:asciiTheme="majorBidi" w:hAnsi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9571E"/>
    <w:rPr>
      <w:sz w:val="20"/>
      <w:szCs w:val="20"/>
    </w:rPr>
  </w:style>
  <w:style w:type="character" w:customStyle="1" w:styleId="a4">
    <w:name w:val="טקסט הערת שוליים תו"/>
    <w:basedOn w:val="a0"/>
    <w:link w:val="a3"/>
    <w:uiPriority w:val="99"/>
    <w:semiHidden/>
    <w:rsid w:val="00F9571E"/>
    <w:rPr>
      <w:rFonts w:asciiTheme="majorBidi" w:hAnsiTheme="majorBidi"/>
      <w:sz w:val="20"/>
      <w:szCs w:val="20"/>
    </w:rPr>
  </w:style>
  <w:style w:type="character" w:styleId="a5">
    <w:name w:val="footnote reference"/>
    <w:basedOn w:val="a0"/>
    <w:uiPriority w:val="99"/>
    <w:semiHidden/>
    <w:unhideWhenUsed/>
    <w:rsid w:val="00F9571E"/>
    <w:rPr>
      <w:vertAlign w:val="superscript"/>
    </w:rPr>
  </w:style>
  <w:style w:type="paragraph" w:styleId="a6">
    <w:name w:val="List Paragraph"/>
    <w:basedOn w:val="a"/>
    <w:uiPriority w:val="34"/>
    <w:qFormat/>
    <w:rsid w:val="006D44DA"/>
    <w:pPr>
      <w:ind w:left="720"/>
      <w:contextualSpacing/>
    </w:pPr>
  </w:style>
  <w:style w:type="paragraph" w:styleId="a7">
    <w:name w:val="Balloon Text"/>
    <w:basedOn w:val="a"/>
    <w:link w:val="a8"/>
    <w:uiPriority w:val="99"/>
    <w:semiHidden/>
    <w:unhideWhenUsed/>
    <w:rsid w:val="004A48E2"/>
    <w:rPr>
      <w:rFonts w:ascii="Segoe UI" w:hAnsi="Segoe UI" w:cs="Segoe UI"/>
      <w:sz w:val="18"/>
      <w:szCs w:val="18"/>
    </w:rPr>
  </w:style>
  <w:style w:type="character" w:customStyle="1" w:styleId="a8">
    <w:name w:val="טקסט בלונים תו"/>
    <w:basedOn w:val="a0"/>
    <w:link w:val="a7"/>
    <w:uiPriority w:val="99"/>
    <w:semiHidden/>
    <w:rsid w:val="004A48E2"/>
    <w:rPr>
      <w:rFonts w:ascii="Segoe UI" w:hAnsi="Segoe UI" w:cs="Segoe UI"/>
      <w:sz w:val="18"/>
      <w:szCs w:val="18"/>
    </w:rPr>
  </w:style>
  <w:style w:type="paragraph" w:customStyle="1" w:styleId="Letterhead2">
    <w:name w:val="Letterhead 2"/>
    <w:basedOn w:val="a"/>
    <w:link w:val="Letterhead2Char"/>
    <w:qFormat/>
    <w:rsid w:val="00165ABB"/>
    <w:pPr>
      <w:spacing w:line="300" w:lineRule="atLeast"/>
      <w:jc w:val="center"/>
    </w:pPr>
    <w:rPr>
      <w:rFonts w:ascii="Times New Roman" w:eastAsia="Times New Roman" w:hAnsi="Times New Roman" w:cs="Times New Roman"/>
      <w:sz w:val="26"/>
      <w:szCs w:val="26"/>
    </w:rPr>
  </w:style>
  <w:style w:type="paragraph" w:customStyle="1" w:styleId="PressReleaseTitle">
    <w:name w:val="Press Release Title"/>
    <w:basedOn w:val="a"/>
    <w:link w:val="PressReleaseTitleChar"/>
    <w:qFormat/>
    <w:rsid w:val="00165ABB"/>
    <w:pPr>
      <w:tabs>
        <w:tab w:val="center" w:pos="4156"/>
        <w:tab w:val="right" w:pos="8312"/>
      </w:tabs>
      <w:jc w:val="center"/>
    </w:pPr>
    <w:rPr>
      <w:rFonts w:ascii="Times New Roman" w:eastAsia="Times New Roman" w:hAnsi="Times New Roman" w:cs="David"/>
      <w:b/>
      <w:bCs/>
      <w:sz w:val="26"/>
      <w:szCs w:val="26"/>
    </w:rPr>
  </w:style>
  <w:style w:type="character" w:customStyle="1" w:styleId="Letterhead2Char">
    <w:name w:val="Letterhead 2 Char"/>
    <w:basedOn w:val="a0"/>
    <w:link w:val="Letterhead2"/>
    <w:rsid w:val="00165ABB"/>
    <w:rPr>
      <w:rFonts w:ascii="Times New Roman" w:eastAsia="Times New Roman" w:hAnsi="Times New Roman" w:cs="Times New Roman"/>
      <w:sz w:val="26"/>
      <w:szCs w:val="26"/>
    </w:rPr>
  </w:style>
  <w:style w:type="character" w:customStyle="1" w:styleId="PressReleaseTitleChar">
    <w:name w:val="Press Release Title Char"/>
    <w:basedOn w:val="a0"/>
    <w:link w:val="PressReleaseTitle"/>
    <w:rsid w:val="00165ABB"/>
    <w:rPr>
      <w:rFonts w:ascii="Times New Roman" w:eastAsia="Times New Roman" w:hAnsi="Times New Roman" w:cs="David"/>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2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38E55-5BAC-414B-9B4B-431C2800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1840</Words>
  <Characters>9202</Characters>
  <Application>Microsoft Office Word</Application>
  <DocSecurity>0</DocSecurity>
  <Lines>76</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יהודה פאש</dc:creator>
  <cp:keywords/>
  <dc:description/>
  <cp:lastModifiedBy>לירון בן עמוס</cp:lastModifiedBy>
  <cp:revision>3</cp:revision>
  <dcterms:created xsi:type="dcterms:W3CDTF">2024-01-21T09:49:00Z</dcterms:created>
  <dcterms:modified xsi:type="dcterms:W3CDTF">2024-01-21T09:50:00Z</dcterms:modified>
</cp:coreProperties>
</file>