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09E" w:rsidRDefault="008A009E" w:rsidP="008A009E">
      <w:pPr>
        <w:bidi/>
        <w:rPr>
          <w:rFonts w:ascii="David" w:hAnsi="David" w:cs="David"/>
          <w:sz w:val="24"/>
          <w:szCs w:val="24"/>
        </w:rPr>
      </w:pPr>
    </w:p>
    <w:tbl>
      <w:tblPr>
        <w:bidiVisual/>
        <w:tblW w:w="0" w:type="dxa"/>
        <w:jc w:val="center"/>
        <w:tblLayout w:type="fixed"/>
        <w:tblLook w:val="04A0" w:firstRow="1" w:lastRow="0" w:firstColumn="1" w:lastColumn="0" w:noHBand="0" w:noVBand="1"/>
        <w:tblCaption w:val="כותרת עליונה"/>
        <w:tblDescription w:val="כותרת עליונה"/>
      </w:tblPr>
      <w:tblGrid>
        <w:gridCol w:w="2840"/>
        <w:gridCol w:w="2596"/>
        <w:gridCol w:w="3084"/>
      </w:tblGrid>
      <w:tr w:rsidR="008A009E" w:rsidTr="008A009E">
        <w:trPr>
          <w:tblHeader/>
          <w:jc w:val="center"/>
        </w:trPr>
        <w:tc>
          <w:tcPr>
            <w:tcW w:w="2840" w:type="dxa"/>
            <w:vAlign w:val="center"/>
            <w:hideMark/>
          </w:tcPr>
          <w:p w:rsidR="008A009E" w:rsidRDefault="008A009E">
            <w:pPr>
              <w:bidi/>
              <w:spacing w:line="360" w:lineRule="auto"/>
              <w:jc w:val="center"/>
              <w:rPr>
                <w:rFonts w:cs="David"/>
                <w:b/>
                <w:bCs/>
                <w:sz w:val="24"/>
                <w:szCs w:val="24"/>
                <w:rtl/>
              </w:rPr>
            </w:pPr>
            <w:r>
              <w:rPr>
                <w:rFonts w:cs="David"/>
                <w:b/>
                <w:bCs/>
                <w:sz w:val="24"/>
                <w:szCs w:val="24"/>
                <w:rtl/>
              </w:rPr>
              <w:t>בנק ישראל</w:t>
            </w:r>
          </w:p>
          <w:p w:rsidR="008A009E" w:rsidRDefault="008A009E">
            <w:pPr>
              <w:bidi/>
              <w:spacing w:line="360" w:lineRule="auto"/>
              <w:ind w:right="-101"/>
              <w:jc w:val="center"/>
              <w:rPr>
                <w:sz w:val="24"/>
                <w:szCs w:val="24"/>
              </w:rPr>
            </w:pPr>
            <w:r>
              <w:rPr>
                <w:rFonts w:cs="David"/>
                <w:sz w:val="24"/>
                <w:szCs w:val="24"/>
                <w:rtl/>
              </w:rPr>
              <w:t>דוברות והסברה כלכלית</w:t>
            </w:r>
          </w:p>
        </w:tc>
        <w:tc>
          <w:tcPr>
            <w:tcW w:w="2596" w:type="dxa"/>
            <w:hideMark/>
          </w:tcPr>
          <w:p w:rsidR="008A009E" w:rsidRDefault="008A009E">
            <w:pPr>
              <w:bidi/>
              <w:spacing w:line="276" w:lineRule="auto"/>
              <w:jc w:val="center"/>
              <w:rPr>
                <w:sz w:val="24"/>
                <w:szCs w:val="24"/>
              </w:rPr>
            </w:pPr>
            <w:r>
              <w:rPr>
                <w:noProof/>
                <w:sz w:val="24"/>
                <w:szCs w:val="24"/>
                <w:lang w:eastAsia="en-US"/>
              </w:rPr>
              <w:drawing>
                <wp:inline distT="0" distB="0" distL="0" distR="0">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084" w:type="dxa"/>
            <w:vAlign w:val="center"/>
            <w:hideMark/>
          </w:tcPr>
          <w:p w:rsidR="008A009E" w:rsidRDefault="008A009E" w:rsidP="00E82FD5">
            <w:pPr>
              <w:bidi/>
              <w:spacing w:line="480" w:lineRule="auto"/>
              <w:jc w:val="right"/>
              <w:rPr>
                <w:rFonts w:cs="David"/>
                <w:sz w:val="24"/>
                <w:szCs w:val="24"/>
              </w:rPr>
            </w:pPr>
            <w:r>
              <w:rPr>
                <w:rFonts w:cs="David"/>
                <w:sz w:val="24"/>
                <w:szCs w:val="24"/>
                <w:rtl/>
              </w:rPr>
              <w:t>‏ירושלים,</w:t>
            </w:r>
            <w:r>
              <w:rPr>
                <w:rFonts w:cs="David" w:hint="cs"/>
                <w:sz w:val="24"/>
                <w:szCs w:val="24"/>
                <w:rtl/>
              </w:rPr>
              <w:t xml:space="preserve"> י"ט </w:t>
            </w:r>
            <w:r>
              <w:rPr>
                <w:rFonts w:cs="David"/>
                <w:sz w:val="24"/>
                <w:szCs w:val="24"/>
                <w:rtl/>
              </w:rPr>
              <w:t xml:space="preserve"> </w:t>
            </w:r>
            <w:r>
              <w:rPr>
                <w:rFonts w:cs="David" w:hint="cs"/>
                <w:sz w:val="24"/>
                <w:szCs w:val="24"/>
                <w:rtl/>
              </w:rPr>
              <w:t>בכסלו</w:t>
            </w:r>
            <w:r w:rsidR="00E82FD5">
              <w:rPr>
                <w:rFonts w:cs="David"/>
                <w:sz w:val="24"/>
                <w:szCs w:val="24"/>
                <w:rtl/>
              </w:rPr>
              <w:t xml:space="preserve">, </w:t>
            </w:r>
            <w:r>
              <w:rPr>
                <w:rFonts w:cs="David"/>
                <w:sz w:val="24"/>
                <w:szCs w:val="24"/>
                <w:rtl/>
              </w:rPr>
              <w:t>תשפ"</w:t>
            </w:r>
            <w:r w:rsidR="00E82FD5">
              <w:rPr>
                <w:rFonts w:cs="David" w:hint="cs"/>
                <w:sz w:val="24"/>
                <w:szCs w:val="24"/>
                <w:rtl/>
              </w:rPr>
              <w:t>ג</w:t>
            </w:r>
          </w:p>
          <w:p w:rsidR="008A009E" w:rsidRDefault="008A009E" w:rsidP="008A009E">
            <w:pPr>
              <w:bidi/>
              <w:spacing w:line="480" w:lineRule="auto"/>
              <w:jc w:val="right"/>
              <w:rPr>
                <w:rFonts w:cs="David"/>
                <w:sz w:val="24"/>
                <w:szCs w:val="24"/>
              </w:rPr>
            </w:pPr>
            <w:r>
              <w:rPr>
                <w:rFonts w:cs="David"/>
                <w:sz w:val="24"/>
                <w:szCs w:val="24"/>
                <w:rtl/>
              </w:rPr>
              <w:t>‏‏</w:t>
            </w:r>
            <w:r>
              <w:rPr>
                <w:rFonts w:cs="David" w:hint="cs"/>
                <w:sz w:val="24"/>
                <w:szCs w:val="24"/>
                <w:rtl/>
              </w:rPr>
              <w:t>13 בדצמבר</w:t>
            </w:r>
            <w:r>
              <w:rPr>
                <w:rFonts w:cs="David"/>
                <w:sz w:val="24"/>
                <w:szCs w:val="24"/>
                <w:rtl/>
              </w:rPr>
              <w:t xml:space="preserve"> 2022</w:t>
            </w:r>
          </w:p>
        </w:tc>
      </w:tr>
    </w:tbl>
    <w:p w:rsidR="008A009E" w:rsidRDefault="008A009E" w:rsidP="008A009E">
      <w:pPr>
        <w:bidi/>
        <w:spacing w:before="240" w:line="360" w:lineRule="auto"/>
        <w:ind w:right="-101"/>
        <w:rPr>
          <w:rFonts w:cs="David"/>
          <w:b/>
          <w:bCs/>
          <w:sz w:val="28"/>
          <w:szCs w:val="28"/>
          <w:u w:val="single"/>
          <w:rtl/>
        </w:rPr>
      </w:pPr>
    </w:p>
    <w:p w:rsidR="00716D9B" w:rsidRPr="00720841" w:rsidRDefault="00716D9B" w:rsidP="00716D9B">
      <w:pPr>
        <w:bidi/>
        <w:spacing w:before="240" w:line="360" w:lineRule="auto"/>
        <w:ind w:right="-102"/>
        <w:rPr>
          <w:rFonts w:cs="David"/>
          <w:sz w:val="24"/>
          <w:szCs w:val="24"/>
          <w:rtl/>
        </w:rPr>
      </w:pPr>
      <w:r w:rsidRPr="00B20B63">
        <w:rPr>
          <w:rFonts w:cs="David"/>
          <w:sz w:val="24"/>
          <w:szCs w:val="24"/>
          <w:rtl/>
        </w:rPr>
        <w:t>הודעה לעיתונות:</w:t>
      </w:r>
    </w:p>
    <w:p w:rsidR="00716D9B" w:rsidRPr="00B20B63" w:rsidRDefault="00716D9B" w:rsidP="00716D9B">
      <w:pPr>
        <w:bidi/>
        <w:spacing w:before="240" w:line="360" w:lineRule="auto"/>
        <w:ind w:right="-101"/>
        <w:jc w:val="center"/>
        <w:rPr>
          <w:rFonts w:cs="David"/>
          <w:sz w:val="24"/>
          <w:szCs w:val="24"/>
          <w:rtl/>
        </w:rPr>
      </w:pPr>
      <w:r w:rsidRPr="00B20B63">
        <w:rPr>
          <w:rFonts w:cs="David"/>
          <w:b/>
          <w:bCs/>
          <w:sz w:val="28"/>
          <w:szCs w:val="28"/>
          <w:rtl/>
        </w:rPr>
        <w:t>נגיד בנק ישראל הודיע על מינוי</w:t>
      </w:r>
      <w:r w:rsidRPr="00B20B63">
        <w:rPr>
          <w:rFonts w:cs="David" w:hint="cs"/>
          <w:b/>
          <w:bCs/>
          <w:sz w:val="28"/>
          <w:szCs w:val="28"/>
          <w:rtl/>
        </w:rPr>
        <w:t xml:space="preserve">ו של ד"ר </w:t>
      </w:r>
      <w:r>
        <w:rPr>
          <w:rFonts w:cs="David" w:hint="cs"/>
          <w:b/>
          <w:bCs/>
          <w:sz w:val="28"/>
          <w:szCs w:val="28"/>
          <w:rtl/>
        </w:rPr>
        <w:t>עדי ברנדר</w:t>
      </w:r>
      <w:r w:rsidRPr="00B20B63">
        <w:rPr>
          <w:rFonts w:cs="David" w:hint="cs"/>
          <w:b/>
          <w:bCs/>
          <w:sz w:val="28"/>
          <w:szCs w:val="28"/>
          <w:rtl/>
        </w:rPr>
        <w:t xml:space="preserve"> למנהל חטיבת </w:t>
      </w:r>
      <w:r>
        <w:rPr>
          <w:rFonts w:cs="David" w:hint="cs"/>
          <w:b/>
          <w:bCs/>
          <w:sz w:val="28"/>
          <w:szCs w:val="28"/>
          <w:rtl/>
        </w:rPr>
        <w:t>המחקר</w:t>
      </w:r>
      <w:r w:rsidRPr="00B20B63">
        <w:rPr>
          <w:rFonts w:cs="David" w:hint="cs"/>
          <w:b/>
          <w:bCs/>
          <w:sz w:val="28"/>
          <w:szCs w:val="28"/>
          <w:rtl/>
        </w:rPr>
        <w:t xml:space="preserve"> </w:t>
      </w:r>
    </w:p>
    <w:p w:rsidR="00716D9B" w:rsidRPr="00996A79" w:rsidRDefault="00716D9B" w:rsidP="00716D9B">
      <w:pPr>
        <w:bidi/>
        <w:spacing w:line="360" w:lineRule="auto"/>
        <w:ind w:right="-101"/>
        <w:jc w:val="center"/>
        <w:rPr>
          <w:rFonts w:cs="David"/>
          <w:sz w:val="24"/>
          <w:szCs w:val="24"/>
          <w:u w:val="single"/>
          <w:rtl/>
        </w:rPr>
      </w:pPr>
    </w:p>
    <w:p w:rsidR="00716D9B" w:rsidRPr="00996A79" w:rsidRDefault="00716D9B" w:rsidP="00716D9B">
      <w:pPr>
        <w:bidi/>
        <w:spacing w:line="360" w:lineRule="auto"/>
        <w:jc w:val="both"/>
        <w:rPr>
          <w:rFonts w:cs="David"/>
          <w:sz w:val="24"/>
          <w:szCs w:val="24"/>
          <w:rtl/>
        </w:rPr>
      </w:pPr>
      <w:r w:rsidRPr="00996A79">
        <w:rPr>
          <w:rFonts w:cs="David" w:hint="cs"/>
          <w:sz w:val="24"/>
          <w:szCs w:val="24"/>
          <w:rtl/>
        </w:rPr>
        <w:t>נגיד</w:t>
      </w:r>
      <w:r w:rsidRPr="00996A79">
        <w:rPr>
          <w:rFonts w:cs="David"/>
          <w:sz w:val="24"/>
          <w:szCs w:val="24"/>
          <w:rtl/>
        </w:rPr>
        <w:t xml:space="preserve"> </w:t>
      </w:r>
      <w:r w:rsidRPr="00996A79">
        <w:rPr>
          <w:rFonts w:cs="David" w:hint="cs"/>
          <w:sz w:val="24"/>
          <w:szCs w:val="24"/>
          <w:rtl/>
        </w:rPr>
        <w:t>בנק</w:t>
      </w:r>
      <w:r w:rsidRPr="00996A79">
        <w:rPr>
          <w:rFonts w:cs="David"/>
          <w:sz w:val="24"/>
          <w:szCs w:val="24"/>
          <w:rtl/>
        </w:rPr>
        <w:t xml:space="preserve"> </w:t>
      </w:r>
      <w:r w:rsidRPr="00996A79">
        <w:rPr>
          <w:rFonts w:cs="David" w:hint="cs"/>
          <w:sz w:val="24"/>
          <w:szCs w:val="24"/>
          <w:rtl/>
        </w:rPr>
        <w:t>ישראל</w:t>
      </w:r>
      <w:r w:rsidRPr="00996A79">
        <w:rPr>
          <w:rFonts w:cs="David"/>
          <w:sz w:val="24"/>
          <w:szCs w:val="24"/>
          <w:rtl/>
        </w:rPr>
        <w:t xml:space="preserve">, </w:t>
      </w:r>
      <w:r w:rsidRPr="00996A79">
        <w:rPr>
          <w:rFonts w:cs="David" w:hint="cs"/>
          <w:sz w:val="24"/>
          <w:szCs w:val="24"/>
          <w:rtl/>
        </w:rPr>
        <w:t>פרופ' אמיר ירון</w:t>
      </w:r>
      <w:r w:rsidRPr="00996A79">
        <w:rPr>
          <w:rFonts w:cs="David"/>
          <w:sz w:val="24"/>
          <w:szCs w:val="24"/>
          <w:rtl/>
        </w:rPr>
        <w:t xml:space="preserve">, </w:t>
      </w:r>
      <w:r w:rsidRPr="00996A79">
        <w:rPr>
          <w:rFonts w:cs="David" w:hint="cs"/>
          <w:sz w:val="24"/>
          <w:szCs w:val="24"/>
          <w:rtl/>
        </w:rPr>
        <w:t>הודיע</w:t>
      </w:r>
      <w:r w:rsidRPr="00996A79">
        <w:rPr>
          <w:rFonts w:cs="David"/>
          <w:sz w:val="24"/>
          <w:szCs w:val="24"/>
          <w:rtl/>
        </w:rPr>
        <w:t xml:space="preserve"> </w:t>
      </w:r>
      <w:r w:rsidRPr="00996A79">
        <w:rPr>
          <w:rFonts w:cs="David" w:hint="cs"/>
          <w:sz w:val="24"/>
          <w:szCs w:val="24"/>
          <w:rtl/>
        </w:rPr>
        <w:t>היום</w:t>
      </w:r>
      <w:r w:rsidRPr="00996A79">
        <w:rPr>
          <w:rFonts w:cs="David"/>
          <w:sz w:val="24"/>
          <w:szCs w:val="24"/>
          <w:rtl/>
        </w:rPr>
        <w:t xml:space="preserve"> </w:t>
      </w:r>
      <w:r w:rsidRPr="00996A79">
        <w:rPr>
          <w:rFonts w:cs="David" w:hint="cs"/>
          <w:sz w:val="24"/>
          <w:szCs w:val="24"/>
          <w:rtl/>
        </w:rPr>
        <w:t xml:space="preserve">על החלטתו למנות את </w:t>
      </w:r>
      <w:r>
        <w:rPr>
          <w:rFonts w:cs="David" w:hint="cs"/>
          <w:sz w:val="24"/>
          <w:szCs w:val="24"/>
          <w:rtl/>
        </w:rPr>
        <w:t>ד"ר עדי ברנדר</w:t>
      </w:r>
      <w:r w:rsidRPr="00996A79">
        <w:rPr>
          <w:rFonts w:cs="David" w:hint="cs"/>
          <w:sz w:val="24"/>
          <w:szCs w:val="24"/>
          <w:rtl/>
        </w:rPr>
        <w:t xml:space="preserve"> לתפקיד </w:t>
      </w:r>
      <w:r>
        <w:rPr>
          <w:rFonts w:cs="David" w:hint="cs"/>
          <w:sz w:val="24"/>
          <w:szCs w:val="24"/>
          <w:rtl/>
        </w:rPr>
        <w:t>מנהל חטיבת המחקר בבנק ישראל</w:t>
      </w:r>
      <w:r w:rsidRPr="00996A79">
        <w:rPr>
          <w:rFonts w:cs="David"/>
          <w:sz w:val="24"/>
          <w:szCs w:val="24"/>
          <w:rtl/>
        </w:rPr>
        <w:t xml:space="preserve">. </w:t>
      </w:r>
      <w:r>
        <w:rPr>
          <w:rFonts w:cs="David" w:hint="cs"/>
          <w:sz w:val="24"/>
          <w:szCs w:val="24"/>
          <w:rtl/>
        </w:rPr>
        <w:t>ברנדר יכנס לתפקידו</w:t>
      </w:r>
      <w:r w:rsidRPr="00996A79">
        <w:rPr>
          <w:rFonts w:cs="David" w:hint="cs"/>
          <w:sz w:val="24"/>
          <w:szCs w:val="24"/>
          <w:rtl/>
        </w:rPr>
        <w:t xml:space="preserve"> </w:t>
      </w:r>
      <w:r>
        <w:rPr>
          <w:rFonts w:cs="David" w:hint="cs"/>
          <w:sz w:val="24"/>
          <w:szCs w:val="24"/>
          <w:rtl/>
        </w:rPr>
        <w:t>ב</w:t>
      </w:r>
      <w:r w:rsidRPr="00DB7D0D">
        <w:rPr>
          <w:rFonts w:cs="David" w:hint="cs"/>
          <w:sz w:val="24"/>
          <w:szCs w:val="24"/>
          <w:rtl/>
        </w:rPr>
        <w:t>-1.1.23.</w:t>
      </w:r>
      <w:r w:rsidRPr="00996A79">
        <w:rPr>
          <w:rFonts w:cs="David" w:hint="cs"/>
          <w:sz w:val="24"/>
          <w:szCs w:val="24"/>
          <w:rtl/>
        </w:rPr>
        <w:t xml:space="preserve"> </w:t>
      </w:r>
      <w:r>
        <w:rPr>
          <w:rFonts w:cs="David" w:hint="cs"/>
          <w:sz w:val="24"/>
          <w:szCs w:val="24"/>
          <w:rtl/>
        </w:rPr>
        <w:t>הנגיד קיבל את ההחלטה לאחר שר</w:t>
      </w:r>
      <w:r w:rsidRPr="00996A79">
        <w:rPr>
          <w:rFonts w:cs="David" w:hint="cs"/>
          <w:sz w:val="24"/>
          <w:szCs w:val="24"/>
          <w:rtl/>
        </w:rPr>
        <w:t xml:space="preserve">איין מספר מצומצם של מועמדים שהועברו לבחינתו על ידי ועדת האיתור </w:t>
      </w:r>
      <w:r>
        <w:rPr>
          <w:rFonts w:cs="David" w:hint="cs"/>
          <w:sz w:val="24"/>
          <w:szCs w:val="24"/>
          <w:rtl/>
        </w:rPr>
        <w:t>שבראשה עמד</w:t>
      </w:r>
      <w:r w:rsidRPr="00996A79">
        <w:rPr>
          <w:rFonts w:cs="David" w:hint="cs"/>
          <w:sz w:val="24"/>
          <w:szCs w:val="24"/>
          <w:rtl/>
        </w:rPr>
        <w:t xml:space="preserve"> </w:t>
      </w:r>
      <w:r w:rsidRPr="00DB7D0D">
        <w:rPr>
          <w:rFonts w:cs="David" w:hint="cs"/>
          <w:sz w:val="24"/>
          <w:szCs w:val="24"/>
          <w:rtl/>
        </w:rPr>
        <w:t>המשנה לנגיד</w:t>
      </w:r>
      <w:r w:rsidRPr="00996A79">
        <w:rPr>
          <w:rFonts w:cs="David" w:hint="cs"/>
          <w:sz w:val="24"/>
          <w:szCs w:val="24"/>
          <w:rtl/>
        </w:rPr>
        <w:t>.</w:t>
      </w:r>
      <w:r>
        <w:rPr>
          <w:rFonts w:cs="David" w:hint="cs"/>
          <w:sz w:val="24"/>
          <w:szCs w:val="24"/>
          <w:rtl/>
        </w:rPr>
        <w:t xml:space="preserve"> במקביל לכניסתו לתפקיד מנהל חטיבת המחקר, יחליף ד"ר ברנדר את פרופ' סטרבצ'ינסקי כחבר הוועדה המוניטרית בבנק ישראל.</w:t>
      </w:r>
    </w:p>
    <w:p w:rsidR="00716D9B" w:rsidRPr="00996A79" w:rsidRDefault="00716D9B" w:rsidP="00716D9B">
      <w:pPr>
        <w:bidi/>
        <w:spacing w:line="360" w:lineRule="auto"/>
        <w:jc w:val="both"/>
        <w:rPr>
          <w:rFonts w:cs="David"/>
          <w:sz w:val="24"/>
          <w:szCs w:val="24"/>
          <w:rtl/>
        </w:rPr>
      </w:pPr>
    </w:p>
    <w:p w:rsidR="00716D9B" w:rsidRPr="00720841" w:rsidRDefault="00716D9B" w:rsidP="00716D9B">
      <w:pPr>
        <w:bidi/>
        <w:spacing w:line="360" w:lineRule="auto"/>
        <w:jc w:val="both"/>
        <w:rPr>
          <w:rFonts w:cs="David"/>
          <w:sz w:val="24"/>
          <w:szCs w:val="24"/>
          <w:rtl/>
        </w:rPr>
      </w:pPr>
      <w:r w:rsidRPr="00720841">
        <w:rPr>
          <w:rFonts w:cs="David" w:hint="cs"/>
          <w:sz w:val="24"/>
          <w:szCs w:val="24"/>
          <w:rtl/>
        </w:rPr>
        <w:t xml:space="preserve">ד"ר עדי ברנדר מכהן משנת 2012 כמנהל אגף מקרו כלכלה ומדיניות בחטיבת המחקר של בנק ישראל. לפני כן שימש ברנדר כראש התחום הפיסקלי בחטיבת המחקר. בתפקידו האחרון בחטיבת המחקר הוביל, בין היתר, עם עמיתיו את העבודה על דוח </w:t>
      </w:r>
      <w:proofErr w:type="spellStart"/>
      <w:r w:rsidRPr="00720841">
        <w:rPr>
          <w:rFonts w:cs="David" w:hint="cs"/>
          <w:sz w:val="24"/>
          <w:szCs w:val="24"/>
          <w:rtl/>
        </w:rPr>
        <w:t>הפיריון</w:t>
      </w:r>
      <w:proofErr w:type="spellEnd"/>
      <w:r w:rsidRPr="00720841">
        <w:rPr>
          <w:rFonts w:cs="David" w:hint="cs"/>
          <w:sz w:val="24"/>
          <w:szCs w:val="24"/>
          <w:rtl/>
        </w:rPr>
        <w:t xml:space="preserve"> ועל מסמך האסטרטגיה הכלכלית שהוגש לממשלה עם הקמתה</w:t>
      </w:r>
      <w:r w:rsidRPr="006C00C2">
        <w:rPr>
          <w:rFonts w:cs="David"/>
          <w:sz w:val="24"/>
          <w:szCs w:val="24"/>
          <w:rtl/>
        </w:rPr>
        <w:t xml:space="preserve"> </w:t>
      </w:r>
      <w:r w:rsidRPr="006C00C2">
        <w:rPr>
          <w:rFonts w:cs="David" w:hint="cs"/>
          <w:sz w:val="24"/>
          <w:szCs w:val="24"/>
          <w:rtl/>
        </w:rPr>
        <w:t>ו</w:t>
      </w:r>
      <w:r w:rsidRPr="006C00C2">
        <w:rPr>
          <w:rFonts w:cs="David"/>
          <w:sz w:val="24"/>
          <w:szCs w:val="24"/>
          <w:rtl/>
        </w:rPr>
        <w:t>תרם משמעותית לתפקיד הבנק כיועץ הכלכלי לממשלה בין היתר בתקופת משבר הקורונה</w:t>
      </w:r>
      <w:r w:rsidRPr="00720841">
        <w:rPr>
          <w:rFonts w:cs="David" w:hint="cs"/>
          <w:sz w:val="24"/>
          <w:szCs w:val="24"/>
          <w:rtl/>
        </w:rPr>
        <w:t xml:space="preserve">. במהלך עבודתו בבנק </w:t>
      </w:r>
      <w:proofErr w:type="spellStart"/>
      <w:r w:rsidRPr="00720841">
        <w:rPr>
          <w:rFonts w:cs="David" w:hint="cs"/>
          <w:sz w:val="24"/>
          <w:szCs w:val="24"/>
          <w:rtl/>
        </w:rPr>
        <w:t>פירסם</w:t>
      </w:r>
      <w:proofErr w:type="spellEnd"/>
      <w:r w:rsidRPr="00720841">
        <w:rPr>
          <w:rFonts w:cs="David" w:hint="cs"/>
          <w:sz w:val="24"/>
          <w:szCs w:val="24"/>
          <w:rtl/>
        </w:rPr>
        <w:t xml:space="preserve"> ברנדר מספר רב של מאמרים מחקריים, חלקם בכתבי עת כלכליים מהמובילים בעולם, וכיהן במספר רב של ועדות ציבוריות וממשלתיות ובצוותי עבודה בין משרדיים.</w:t>
      </w:r>
    </w:p>
    <w:p w:rsidR="00716D9B" w:rsidRPr="00720841" w:rsidRDefault="00716D9B" w:rsidP="00716D9B">
      <w:pPr>
        <w:bidi/>
        <w:spacing w:line="360" w:lineRule="auto"/>
        <w:jc w:val="both"/>
        <w:rPr>
          <w:rFonts w:cs="David"/>
          <w:sz w:val="24"/>
          <w:szCs w:val="24"/>
          <w:rtl/>
        </w:rPr>
      </w:pPr>
    </w:p>
    <w:p w:rsidR="00716D9B" w:rsidRPr="00720841" w:rsidRDefault="00716D9B" w:rsidP="00716D9B">
      <w:pPr>
        <w:bidi/>
        <w:spacing w:line="360" w:lineRule="auto"/>
        <w:jc w:val="both"/>
        <w:rPr>
          <w:rFonts w:cs="David"/>
          <w:sz w:val="24"/>
          <w:szCs w:val="24"/>
          <w:rtl/>
        </w:rPr>
      </w:pPr>
      <w:r w:rsidRPr="00720841">
        <w:rPr>
          <w:rFonts w:cs="David" w:hint="cs"/>
          <w:sz w:val="24"/>
          <w:szCs w:val="24"/>
          <w:rtl/>
        </w:rPr>
        <w:t>ד"ר ברנדר בעל תואר ראשון בכלכלה ותואר שני בכלכלה ומנהל עסקים עם התמחות בשיווק מהאוניברסיטה העברית בי-ם, ודוקטורט מאוניברסיטת</w:t>
      </w:r>
      <w:r w:rsidRPr="00720841">
        <w:rPr>
          <w:rFonts w:cs="David"/>
          <w:sz w:val="24"/>
          <w:szCs w:val="24"/>
        </w:rPr>
        <w:t>Columbia</w:t>
      </w:r>
      <w:r w:rsidRPr="00720841">
        <w:rPr>
          <w:rFonts w:cs="David" w:hint="cs"/>
          <w:sz w:val="24"/>
          <w:szCs w:val="24"/>
        </w:rPr>
        <w:t xml:space="preserve"> </w:t>
      </w:r>
      <w:r w:rsidRPr="00720841">
        <w:rPr>
          <w:rFonts w:cs="David" w:hint="cs"/>
          <w:sz w:val="24"/>
          <w:szCs w:val="24"/>
          <w:rtl/>
        </w:rPr>
        <w:t xml:space="preserve"> בניו-יורק. לפני עבודתו בבנק ישראל שימש במשך 5 שנים ככלכלן בקרן המטבע הבין לאומית. הוא מתגורר בירושלים, נשוי ואב ל-2.</w:t>
      </w:r>
    </w:p>
    <w:p w:rsidR="00716D9B" w:rsidRPr="00720841" w:rsidRDefault="00716D9B" w:rsidP="00716D9B">
      <w:pPr>
        <w:bidi/>
        <w:spacing w:line="360" w:lineRule="auto"/>
        <w:jc w:val="both"/>
        <w:rPr>
          <w:rFonts w:cs="David"/>
          <w:sz w:val="24"/>
          <w:szCs w:val="24"/>
          <w:rtl/>
        </w:rPr>
      </w:pPr>
    </w:p>
    <w:p w:rsidR="00716D9B" w:rsidRPr="00720841" w:rsidRDefault="00716D9B" w:rsidP="00716D9B">
      <w:pPr>
        <w:bidi/>
        <w:spacing w:line="360" w:lineRule="auto"/>
        <w:jc w:val="both"/>
        <w:rPr>
          <w:rFonts w:cs="David"/>
          <w:sz w:val="24"/>
          <w:szCs w:val="24"/>
          <w:rtl/>
        </w:rPr>
      </w:pPr>
      <w:r w:rsidRPr="00720841">
        <w:rPr>
          <w:rFonts w:cs="David" w:hint="cs"/>
          <w:b/>
          <w:bCs/>
          <w:sz w:val="24"/>
          <w:szCs w:val="24"/>
          <w:rtl/>
        </w:rPr>
        <w:t>נגיד בנק ישראל, פרופ' אמיר ירון</w:t>
      </w:r>
      <w:r w:rsidRPr="00720841">
        <w:rPr>
          <w:rFonts w:cs="David" w:hint="cs"/>
          <w:sz w:val="24"/>
          <w:szCs w:val="24"/>
          <w:rtl/>
        </w:rPr>
        <w:t xml:space="preserve">: "אני מברך על מינויו של ד"ר </w:t>
      </w:r>
      <w:r>
        <w:rPr>
          <w:rFonts w:cs="David" w:hint="cs"/>
          <w:sz w:val="24"/>
          <w:szCs w:val="24"/>
          <w:rtl/>
        </w:rPr>
        <w:t>עדי ברנדר</w:t>
      </w:r>
      <w:r w:rsidRPr="00720841">
        <w:rPr>
          <w:rFonts w:cs="David" w:hint="cs"/>
          <w:sz w:val="24"/>
          <w:szCs w:val="24"/>
          <w:rtl/>
        </w:rPr>
        <w:t xml:space="preserve"> למנהל חטיבת </w:t>
      </w:r>
      <w:r>
        <w:rPr>
          <w:rFonts w:cs="David" w:hint="cs"/>
          <w:sz w:val="24"/>
          <w:szCs w:val="24"/>
          <w:rtl/>
        </w:rPr>
        <w:t>המחקר</w:t>
      </w:r>
      <w:r w:rsidRPr="00720841">
        <w:rPr>
          <w:rFonts w:cs="David" w:hint="cs"/>
          <w:sz w:val="24"/>
          <w:szCs w:val="24"/>
          <w:rtl/>
        </w:rPr>
        <w:t xml:space="preserve"> בבנק </w:t>
      </w:r>
      <w:r>
        <w:rPr>
          <w:rFonts w:cs="David"/>
          <w:sz w:val="24"/>
          <w:szCs w:val="24"/>
          <w:rtl/>
        </w:rPr>
        <w:t xml:space="preserve">ומודה לכל </w:t>
      </w:r>
      <w:r>
        <w:rPr>
          <w:rFonts w:cs="David" w:hint="cs"/>
          <w:sz w:val="24"/>
          <w:szCs w:val="24"/>
          <w:rtl/>
        </w:rPr>
        <w:t>המתמודדים הראויים</w:t>
      </w:r>
      <w:r w:rsidRPr="006C00C2">
        <w:rPr>
          <w:rFonts w:cs="David"/>
          <w:sz w:val="24"/>
          <w:szCs w:val="24"/>
          <w:rtl/>
        </w:rPr>
        <w:t xml:space="preserve"> לתפקיד</w:t>
      </w:r>
      <w:r w:rsidRPr="00720841">
        <w:rPr>
          <w:rFonts w:cs="David" w:hint="cs"/>
          <w:sz w:val="24"/>
          <w:szCs w:val="24"/>
          <w:rtl/>
        </w:rPr>
        <w:t xml:space="preserve">. </w:t>
      </w:r>
      <w:r>
        <w:rPr>
          <w:rFonts w:cs="David" w:hint="cs"/>
          <w:sz w:val="24"/>
          <w:szCs w:val="24"/>
          <w:rtl/>
        </w:rPr>
        <w:t>לעדי</w:t>
      </w:r>
      <w:r w:rsidRPr="00720841">
        <w:rPr>
          <w:rFonts w:cs="David" w:hint="cs"/>
          <w:sz w:val="24"/>
          <w:szCs w:val="24"/>
          <w:rtl/>
        </w:rPr>
        <w:t xml:space="preserve"> ניסיון וידע </w:t>
      </w:r>
      <w:r>
        <w:rPr>
          <w:rFonts w:cs="David" w:hint="cs"/>
          <w:sz w:val="24"/>
          <w:szCs w:val="24"/>
          <w:rtl/>
        </w:rPr>
        <w:t>מחקרי</w:t>
      </w:r>
      <w:r w:rsidRPr="00720841">
        <w:rPr>
          <w:rFonts w:cs="David" w:hint="cs"/>
          <w:sz w:val="24"/>
          <w:szCs w:val="24"/>
          <w:rtl/>
        </w:rPr>
        <w:t xml:space="preserve"> </w:t>
      </w:r>
      <w:r>
        <w:rPr>
          <w:rFonts w:cs="David" w:hint="cs"/>
          <w:sz w:val="24"/>
          <w:szCs w:val="24"/>
          <w:rtl/>
        </w:rPr>
        <w:t>בשלל תחומי מדיניות כלכלית בישראל ובעולם</w:t>
      </w:r>
      <w:r w:rsidRPr="00720841">
        <w:rPr>
          <w:rFonts w:cs="David" w:hint="cs"/>
          <w:sz w:val="24"/>
          <w:szCs w:val="24"/>
          <w:rtl/>
        </w:rPr>
        <w:t xml:space="preserve">. אלו יוכלו לתרום רבות לחטיבה ולבנק </w:t>
      </w:r>
      <w:r>
        <w:rPr>
          <w:rFonts w:cs="David" w:hint="cs"/>
          <w:sz w:val="24"/>
          <w:szCs w:val="24"/>
          <w:rtl/>
        </w:rPr>
        <w:t>בתהליכי</w:t>
      </w:r>
      <w:r w:rsidRPr="00720841">
        <w:rPr>
          <w:rFonts w:cs="David" w:hint="cs"/>
          <w:sz w:val="24"/>
          <w:szCs w:val="24"/>
          <w:rtl/>
        </w:rPr>
        <w:t xml:space="preserve"> המדיניות המוניטרית </w:t>
      </w:r>
      <w:r>
        <w:rPr>
          <w:rFonts w:cs="David" w:hint="cs"/>
          <w:sz w:val="24"/>
          <w:szCs w:val="24"/>
          <w:rtl/>
        </w:rPr>
        <w:t>שמוביל הבנק ובמילוי</w:t>
      </w:r>
      <w:r w:rsidRPr="00720841">
        <w:rPr>
          <w:rFonts w:cs="David" w:hint="cs"/>
          <w:sz w:val="24"/>
          <w:szCs w:val="24"/>
          <w:rtl/>
        </w:rPr>
        <w:t xml:space="preserve"> </w:t>
      </w:r>
      <w:r w:rsidRPr="00DB7D0D">
        <w:rPr>
          <w:rFonts w:cs="David" w:hint="cs"/>
          <w:sz w:val="24"/>
          <w:szCs w:val="24"/>
          <w:rtl/>
        </w:rPr>
        <w:t>תפקידנו</w:t>
      </w:r>
      <w:r>
        <w:rPr>
          <w:rFonts w:cs="David" w:hint="cs"/>
          <w:sz w:val="24"/>
          <w:szCs w:val="24"/>
          <w:rtl/>
        </w:rPr>
        <w:t xml:space="preserve"> כיועץ הכלכלי לממשלה</w:t>
      </w:r>
      <w:r w:rsidRPr="00720841">
        <w:rPr>
          <w:rFonts w:cs="David"/>
          <w:sz w:val="24"/>
          <w:szCs w:val="24"/>
          <w:rtl/>
        </w:rPr>
        <w:t>.</w:t>
      </w:r>
      <w:r w:rsidRPr="00720841">
        <w:rPr>
          <w:rFonts w:cs="David" w:hint="cs"/>
          <w:sz w:val="24"/>
          <w:szCs w:val="24"/>
          <w:rtl/>
        </w:rPr>
        <w:t xml:space="preserve"> לחטיבת </w:t>
      </w:r>
      <w:r>
        <w:rPr>
          <w:rFonts w:cs="David" w:hint="cs"/>
          <w:sz w:val="24"/>
          <w:szCs w:val="24"/>
          <w:rtl/>
        </w:rPr>
        <w:t>המחקר</w:t>
      </w:r>
      <w:r w:rsidRPr="00720841">
        <w:rPr>
          <w:rFonts w:cs="David" w:hint="cs"/>
          <w:sz w:val="24"/>
          <w:szCs w:val="24"/>
          <w:rtl/>
        </w:rPr>
        <w:t xml:space="preserve"> תפקיד מרכזי בבנק ישראל ואני </w:t>
      </w:r>
      <w:r>
        <w:rPr>
          <w:rFonts w:cs="David" w:hint="cs"/>
          <w:sz w:val="24"/>
          <w:szCs w:val="24"/>
          <w:rtl/>
        </w:rPr>
        <w:t>משוכנע שעדי</w:t>
      </w:r>
      <w:r w:rsidRPr="00720841">
        <w:rPr>
          <w:rFonts w:cs="David" w:hint="cs"/>
          <w:sz w:val="24"/>
          <w:szCs w:val="24"/>
          <w:rtl/>
        </w:rPr>
        <w:t xml:space="preserve"> יוביל אותה ואת עובדיה ומנהליה המקצועיים והמסורים </w:t>
      </w:r>
      <w:r>
        <w:rPr>
          <w:rFonts w:cs="David" w:hint="cs"/>
          <w:sz w:val="24"/>
          <w:szCs w:val="24"/>
          <w:rtl/>
        </w:rPr>
        <w:t>להישגים משמעותיים</w:t>
      </w:r>
      <w:r w:rsidRPr="00720841">
        <w:rPr>
          <w:rFonts w:cs="David" w:hint="cs"/>
          <w:sz w:val="24"/>
          <w:szCs w:val="24"/>
          <w:rtl/>
        </w:rPr>
        <w:t xml:space="preserve">. בהזדמנות זו, אני רוצה להודות </w:t>
      </w:r>
      <w:r>
        <w:rPr>
          <w:rFonts w:cs="David" w:hint="cs"/>
          <w:sz w:val="24"/>
          <w:szCs w:val="24"/>
          <w:rtl/>
        </w:rPr>
        <w:t>לפרופ' מישל סטרבצ'ינסק</w:t>
      </w:r>
      <w:r>
        <w:rPr>
          <w:rFonts w:cs="David" w:hint="eastAsia"/>
          <w:sz w:val="24"/>
          <w:szCs w:val="24"/>
          <w:rtl/>
        </w:rPr>
        <w:t>י</w:t>
      </w:r>
      <w:r>
        <w:rPr>
          <w:rFonts w:cs="David" w:hint="cs"/>
          <w:sz w:val="24"/>
          <w:szCs w:val="24"/>
          <w:rtl/>
        </w:rPr>
        <w:t xml:space="preserve"> על שנותיו המרובות בבנק ובחטיבה ועל הישגיו ותרומתו לבנק בפרט ולכלכלת ישראל בכלל</w:t>
      </w:r>
      <w:r w:rsidRPr="00720841">
        <w:rPr>
          <w:rFonts w:cs="David" w:hint="cs"/>
          <w:sz w:val="24"/>
          <w:szCs w:val="24"/>
          <w:rtl/>
        </w:rPr>
        <w:t>".</w:t>
      </w:r>
    </w:p>
    <w:p w:rsidR="00716D9B" w:rsidRPr="00720841" w:rsidRDefault="00716D9B" w:rsidP="00716D9B">
      <w:pPr>
        <w:bidi/>
        <w:spacing w:line="360" w:lineRule="auto"/>
        <w:jc w:val="both"/>
        <w:rPr>
          <w:rFonts w:cs="David"/>
          <w:sz w:val="24"/>
          <w:szCs w:val="24"/>
          <w:rtl/>
        </w:rPr>
      </w:pPr>
    </w:p>
    <w:p w:rsidR="00716D9B" w:rsidRPr="00996A79" w:rsidRDefault="00716D9B" w:rsidP="00716D9B">
      <w:pPr>
        <w:bidi/>
        <w:spacing w:line="360" w:lineRule="auto"/>
        <w:jc w:val="both"/>
        <w:rPr>
          <w:rFonts w:cs="David"/>
          <w:sz w:val="24"/>
          <w:szCs w:val="24"/>
        </w:rPr>
      </w:pPr>
      <w:r w:rsidRPr="00720841">
        <w:rPr>
          <w:rFonts w:cs="David" w:hint="cs"/>
          <w:b/>
          <w:bCs/>
          <w:sz w:val="24"/>
          <w:szCs w:val="24"/>
          <w:rtl/>
        </w:rPr>
        <w:lastRenderedPageBreak/>
        <w:t>ד"ר עדי ברנדר</w:t>
      </w:r>
      <w:r w:rsidRPr="00720841">
        <w:rPr>
          <w:rFonts w:cs="David" w:hint="cs"/>
          <w:sz w:val="24"/>
          <w:szCs w:val="24"/>
          <w:rtl/>
        </w:rPr>
        <w:t>, מנהל חטיבת המחקר הנכנס: "שמחתי</w:t>
      </w:r>
      <w:r w:rsidRPr="00720841">
        <w:rPr>
          <w:rFonts w:cs="David"/>
          <w:sz w:val="24"/>
          <w:szCs w:val="24"/>
          <w:rtl/>
        </w:rPr>
        <w:t xml:space="preserve"> מאוד לקבל את ההודעה על </w:t>
      </w:r>
      <w:r w:rsidRPr="00720841">
        <w:rPr>
          <w:rFonts w:cs="David" w:hint="cs"/>
          <w:sz w:val="24"/>
          <w:szCs w:val="24"/>
          <w:rtl/>
        </w:rPr>
        <w:t>ה</w:t>
      </w:r>
      <w:r w:rsidRPr="00720841">
        <w:rPr>
          <w:rFonts w:cs="David"/>
          <w:sz w:val="24"/>
          <w:szCs w:val="24"/>
          <w:rtl/>
        </w:rPr>
        <w:t xml:space="preserve">מינוי לתפקיד </w:t>
      </w:r>
      <w:r w:rsidRPr="00720841">
        <w:rPr>
          <w:rFonts w:cs="David" w:hint="cs"/>
          <w:sz w:val="24"/>
          <w:szCs w:val="24"/>
          <w:rtl/>
        </w:rPr>
        <w:t>מנהל חטיבת המחקר</w:t>
      </w:r>
      <w:r w:rsidRPr="00720841">
        <w:rPr>
          <w:rFonts w:cs="David"/>
          <w:sz w:val="24"/>
          <w:szCs w:val="24"/>
          <w:rtl/>
        </w:rPr>
        <w:t>. ברצוני להודות לנגיד</w:t>
      </w:r>
      <w:r w:rsidRPr="00720841">
        <w:rPr>
          <w:rFonts w:cs="David" w:hint="cs"/>
          <w:sz w:val="24"/>
          <w:szCs w:val="24"/>
          <w:rtl/>
        </w:rPr>
        <w:t>,</w:t>
      </w:r>
      <w:r w:rsidRPr="00720841">
        <w:rPr>
          <w:rFonts w:cs="David"/>
          <w:sz w:val="24"/>
          <w:szCs w:val="24"/>
          <w:rtl/>
        </w:rPr>
        <w:t xml:space="preserve"> פרופ' אמיר ירון</w:t>
      </w:r>
      <w:r w:rsidRPr="00720841">
        <w:rPr>
          <w:rFonts w:cs="David" w:hint="cs"/>
          <w:sz w:val="24"/>
          <w:szCs w:val="24"/>
          <w:rtl/>
        </w:rPr>
        <w:t>,</w:t>
      </w:r>
      <w:r w:rsidRPr="00720841">
        <w:rPr>
          <w:rFonts w:cs="David"/>
          <w:sz w:val="24"/>
          <w:szCs w:val="24"/>
          <w:rtl/>
        </w:rPr>
        <w:t xml:space="preserve"> על הבחירה בי לתפקיד ועל האמון </w:t>
      </w:r>
      <w:r w:rsidRPr="00720841">
        <w:rPr>
          <w:rFonts w:cs="David" w:hint="cs"/>
          <w:sz w:val="24"/>
          <w:szCs w:val="24"/>
          <w:rtl/>
        </w:rPr>
        <w:t>שהוא נותן</w:t>
      </w:r>
      <w:r w:rsidRPr="00720841">
        <w:rPr>
          <w:rFonts w:cs="David"/>
          <w:sz w:val="24"/>
          <w:szCs w:val="24"/>
          <w:rtl/>
        </w:rPr>
        <w:t xml:space="preserve"> בי. </w:t>
      </w:r>
      <w:r w:rsidRPr="00720841">
        <w:rPr>
          <w:rFonts w:cs="David" w:hint="cs"/>
          <w:sz w:val="24"/>
          <w:szCs w:val="24"/>
          <w:rtl/>
        </w:rPr>
        <w:t xml:space="preserve">חטיבת המחקר ובנק ישראל מהווים עבורי בית שני לאורך השנים ואני גאה להתייצב בראש הצוות המצוין של חוקרי החטיבה כדי להמשיך את המסורת הארוכה של תרומת חטיבת המחקר לעיצוב המדיניות הכלכלית בישראל. </w:t>
      </w:r>
      <w:r w:rsidRPr="00720841">
        <w:rPr>
          <w:rFonts w:cs="David"/>
          <w:sz w:val="24"/>
          <w:szCs w:val="24"/>
          <w:rtl/>
        </w:rPr>
        <w:t xml:space="preserve">ברצוני להודות </w:t>
      </w:r>
      <w:r w:rsidRPr="00720841">
        <w:rPr>
          <w:rFonts w:cs="David" w:hint="cs"/>
          <w:sz w:val="24"/>
          <w:szCs w:val="24"/>
          <w:rtl/>
        </w:rPr>
        <w:t>למנהל החטיבה היוצא, חברי ועמיתי פרופ' מישל סטרבצ'ינסקי,</w:t>
      </w:r>
      <w:r w:rsidRPr="00720841">
        <w:rPr>
          <w:rFonts w:cs="David"/>
          <w:sz w:val="24"/>
          <w:szCs w:val="24"/>
          <w:rtl/>
        </w:rPr>
        <w:t xml:space="preserve"> אשר </w:t>
      </w:r>
      <w:r w:rsidRPr="00720841">
        <w:rPr>
          <w:rFonts w:cs="David" w:hint="cs"/>
          <w:sz w:val="24"/>
          <w:szCs w:val="24"/>
          <w:rtl/>
        </w:rPr>
        <w:t>תרם רבות למרקם האנושי של החטיבה וליכולתה המקצועית</w:t>
      </w:r>
      <w:r w:rsidRPr="00720841">
        <w:rPr>
          <w:rFonts w:cs="David"/>
          <w:sz w:val="24"/>
          <w:szCs w:val="24"/>
          <w:rtl/>
        </w:rPr>
        <w:t xml:space="preserve">. אני סמוך ובטוח שיחד עם </w:t>
      </w:r>
      <w:r w:rsidRPr="00720841">
        <w:rPr>
          <w:rFonts w:cs="David" w:hint="cs"/>
          <w:sz w:val="24"/>
          <w:szCs w:val="24"/>
          <w:rtl/>
        </w:rPr>
        <w:t>חוקרי</w:t>
      </w:r>
      <w:r w:rsidRPr="00720841">
        <w:rPr>
          <w:rFonts w:cs="David"/>
          <w:sz w:val="24"/>
          <w:szCs w:val="24"/>
          <w:rtl/>
        </w:rPr>
        <w:t xml:space="preserve"> </w:t>
      </w:r>
      <w:r w:rsidRPr="00720841">
        <w:rPr>
          <w:rFonts w:cs="David" w:hint="cs"/>
          <w:sz w:val="24"/>
          <w:szCs w:val="24"/>
          <w:rtl/>
        </w:rPr>
        <w:t xml:space="preserve">חטיבת המחקר </w:t>
      </w:r>
      <w:r w:rsidRPr="00720841">
        <w:rPr>
          <w:rFonts w:cs="David"/>
          <w:sz w:val="24"/>
          <w:szCs w:val="24"/>
          <w:rtl/>
        </w:rPr>
        <w:t>נ</w:t>
      </w:r>
      <w:r w:rsidRPr="00720841">
        <w:rPr>
          <w:rFonts w:cs="David" w:hint="cs"/>
          <w:sz w:val="24"/>
          <w:szCs w:val="24"/>
          <w:rtl/>
        </w:rPr>
        <w:t>דע להמשיך לייצר שיתופי פעולה</w:t>
      </w:r>
      <w:r w:rsidRPr="00720841">
        <w:rPr>
          <w:rFonts w:cs="David"/>
          <w:sz w:val="24"/>
          <w:szCs w:val="24"/>
          <w:rtl/>
        </w:rPr>
        <w:t xml:space="preserve"> </w:t>
      </w:r>
      <w:r w:rsidRPr="00720841">
        <w:rPr>
          <w:rFonts w:cs="David" w:hint="cs"/>
          <w:sz w:val="24"/>
          <w:szCs w:val="24"/>
          <w:rtl/>
        </w:rPr>
        <w:t>עם עמיתינו בחטיבות האחרות בבנק ובמשרדי הממשלה לתועלת כלכלת ישראל</w:t>
      </w:r>
      <w:r w:rsidRPr="00720841">
        <w:rPr>
          <w:rFonts w:cs="David"/>
          <w:sz w:val="24"/>
          <w:szCs w:val="24"/>
          <w:rtl/>
        </w:rPr>
        <w:t>."</w:t>
      </w:r>
      <w:r>
        <w:rPr>
          <w:rFonts w:cs="David" w:hint="cs"/>
          <w:sz w:val="24"/>
          <w:szCs w:val="24"/>
          <w:rtl/>
        </w:rPr>
        <w:t xml:space="preserve">   </w:t>
      </w:r>
    </w:p>
    <w:p w:rsidR="00716D9B" w:rsidRPr="00996A79" w:rsidRDefault="00716D9B" w:rsidP="00716D9B">
      <w:pPr>
        <w:bidi/>
        <w:spacing w:line="360" w:lineRule="auto"/>
        <w:jc w:val="both"/>
        <w:rPr>
          <w:rFonts w:cs="David"/>
          <w:sz w:val="24"/>
          <w:szCs w:val="24"/>
          <w:rtl/>
        </w:rPr>
      </w:pPr>
    </w:p>
    <w:p w:rsidR="00716D9B" w:rsidRPr="00996A79" w:rsidRDefault="00716D9B" w:rsidP="00716D9B">
      <w:pPr>
        <w:bidi/>
        <w:spacing w:line="360" w:lineRule="auto"/>
        <w:jc w:val="both"/>
        <w:rPr>
          <w:rFonts w:cs="David"/>
          <w:sz w:val="24"/>
          <w:szCs w:val="24"/>
          <w:rtl/>
        </w:rPr>
      </w:pPr>
      <w:r w:rsidRPr="00996A79">
        <w:rPr>
          <w:rFonts w:cs="David" w:hint="cs"/>
          <w:sz w:val="24"/>
          <w:szCs w:val="24"/>
          <w:rtl/>
        </w:rPr>
        <w:t xml:space="preserve">מצורפת תמונה לשימושכם </w:t>
      </w:r>
      <w:r w:rsidRPr="00996A79">
        <w:rPr>
          <w:rFonts w:cs="David"/>
          <w:sz w:val="24"/>
          <w:szCs w:val="24"/>
          <w:rtl/>
        </w:rPr>
        <w:t>–</w:t>
      </w:r>
      <w:r w:rsidRPr="00996A79">
        <w:rPr>
          <w:rFonts w:cs="David" w:hint="cs"/>
          <w:sz w:val="24"/>
          <w:szCs w:val="24"/>
          <w:rtl/>
        </w:rPr>
        <w:t xml:space="preserve"> קרדיט:</w:t>
      </w:r>
      <w:r>
        <w:rPr>
          <w:rFonts w:cs="David" w:hint="cs"/>
          <w:sz w:val="24"/>
          <w:szCs w:val="24"/>
          <w:rtl/>
        </w:rPr>
        <w:t xml:space="preserve"> אייל </w:t>
      </w:r>
      <w:proofErr w:type="spellStart"/>
      <w:r>
        <w:rPr>
          <w:rFonts w:cs="David" w:hint="cs"/>
          <w:sz w:val="24"/>
          <w:szCs w:val="24"/>
          <w:rtl/>
        </w:rPr>
        <w:t>טואג</w:t>
      </w:r>
      <w:proofErr w:type="spellEnd"/>
    </w:p>
    <w:p w:rsidR="00716D9B" w:rsidRDefault="00716D9B" w:rsidP="00CE19E7">
      <w:pPr>
        <w:bidi/>
        <w:spacing w:before="240" w:line="360" w:lineRule="auto"/>
        <w:ind w:right="-101"/>
        <w:rPr>
          <w:rFonts w:cs="David"/>
          <w:sz w:val="24"/>
          <w:szCs w:val="24"/>
          <w:rtl/>
        </w:rPr>
      </w:pPr>
      <w:bookmarkStart w:id="0" w:name="_GoBack"/>
      <w:r w:rsidRPr="009D0B53">
        <w:rPr>
          <w:noProof/>
          <w:lang w:eastAsia="en-US"/>
        </w:rPr>
        <w:drawing>
          <wp:inline distT="0" distB="0" distL="0" distR="0" wp14:anchorId="78818A00" wp14:editId="1C980A01">
            <wp:extent cx="3031982" cy="2428875"/>
            <wp:effectExtent l="0" t="0" r="0" b="0"/>
            <wp:docPr id="2" name="תמונה 2" descr="C:\Users\U70D\Desktop\דר עדי ברנד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70D\Desktop\דר עדי ברנדר.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5264" cy="2431504"/>
                    </a:xfrm>
                    <a:prstGeom prst="rect">
                      <a:avLst/>
                    </a:prstGeom>
                    <a:noFill/>
                    <a:ln>
                      <a:noFill/>
                    </a:ln>
                  </pic:spPr>
                </pic:pic>
              </a:graphicData>
            </a:graphic>
          </wp:inline>
        </w:drawing>
      </w:r>
      <w:bookmarkEnd w:id="0"/>
    </w:p>
    <w:p w:rsidR="00716D9B" w:rsidRDefault="00716D9B" w:rsidP="00716D9B">
      <w:pPr>
        <w:bidi/>
        <w:spacing w:before="240" w:line="360" w:lineRule="auto"/>
        <w:ind w:right="-101"/>
        <w:jc w:val="center"/>
        <w:rPr>
          <w:rFonts w:cs="David"/>
          <w:sz w:val="24"/>
          <w:szCs w:val="24"/>
          <w:rtl/>
        </w:rPr>
      </w:pPr>
    </w:p>
    <w:p w:rsidR="00716D9B" w:rsidRDefault="00716D9B" w:rsidP="00716D9B">
      <w:pPr>
        <w:bidi/>
        <w:spacing w:before="240" w:line="360" w:lineRule="auto"/>
        <w:ind w:right="-101"/>
        <w:jc w:val="center"/>
        <w:rPr>
          <w:rFonts w:cs="David"/>
          <w:sz w:val="24"/>
          <w:szCs w:val="24"/>
          <w:rtl/>
        </w:rPr>
      </w:pPr>
    </w:p>
    <w:p w:rsidR="00716D9B" w:rsidRDefault="00716D9B" w:rsidP="00716D9B">
      <w:pPr>
        <w:bidi/>
        <w:spacing w:before="240" w:line="360" w:lineRule="auto"/>
        <w:ind w:right="-101"/>
        <w:jc w:val="center"/>
        <w:rPr>
          <w:rFonts w:cs="David"/>
          <w:sz w:val="24"/>
          <w:szCs w:val="24"/>
          <w:rtl/>
        </w:rPr>
      </w:pPr>
    </w:p>
    <w:p w:rsidR="00716D9B" w:rsidRDefault="00716D9B" w:rsidP="00716D9B">
      <w:pPr>
        <w:bidi/>
        <w:spacing w:before="240" w:line="360" w:lineRule="auto"/>
        <w:ind w:right="-101"/>
        <w:jc w:val="center"/>
        <w:rPr>
          <w:rFonts w:cs="David"/>
          <w:sz w:val="24"/>
          <w:szCs w:val="24"/>
          <w:rtl/>
        </w:rPr>
      </w:pPr>
    </w:p>
    <w:p w:rsidR="00716D9B" w:rsidRDefault="00716D9B" w:rsidP="00716D9B">
      <w:pPr>
        <w:bidi/>
        <w:spacing w:before="240" w:line="360" w:lineRule="auto"/>
        <w:ind w:right="-101"/>
        <w:jc w:val="center"/>
        <w:rPr>
          <w:rFonts w:cs="David"/>
          <w:sz w:val="24"/>
          <w:szCs w:val="24"/>
          <w:rtl/>
        </w:rPr>
      </w:pPr>
    </w:p>
    <w:p w:rsidR="001763F0" w:rsidRDefault="001763F0"/>
    <w:p w:rsidR="001763F0" w:rsidRPr="001763F0" w:rsidRDefault="001763F0" w:rsidP="001763F0"/>
    <w:p w:rsidR="001763F0" w:rsidRPr="001763F0" w:rsidRDefault="001763F0" w:rsidP="001763F0"/>
    <w:p w:rsidR="001763F0" w:rsidRPr="001763F0" w:rsidRDefault="001763F0" w:rsidP="001763F0"/>
    <w:p w:rsidR="001763F0" w:rsidRPr="001763F0" w:rsidRDefault="001763F0" w:rsidP="001763F0"/>
    <w:p w:rsidR="00BA26A8" w:rsidRPr="001763F0" w:rsidRDefault="00BA26A8" w:rsidP="00716D9B">
      <w:pPr>
        <w:tabs>
          <w:tab w:val="left" w:pos="4710"/>
        </w:tabs>
      </w:pPr>
    </w:p>
    <w:sectPr w:rsidR="00BA26A8" w:rsidRPr="001763F0" w:rsidSect="00E5532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88F" w:rsidRDefault="00D3388F" w:rsidP="002F77F4">
      <w:r>
        <w:separator/>
      </w:r>
    </w:p>
  </w:endnote>
  <w:endnote w:type="continuationSeparator" w:id="0">
    <w:p w:rsidR="00D3388F" w:rsidRDefault="00D3388F" w:rsidP="002F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7F4" w:rsidRDefault="002F77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7F4" w:rsidRDefault="002F77F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7F4" w:rsidRDefault="002F77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88F" w:rsidRDefault="00D3388F" w:rsidP="002F77F4">
      <w:r>
        <w:separator/>
      </w:r>
    </w:p>
  </w:footnote>
  <w:footnote w:type="continuationSeparator" w:id="0">
    <w:p w:rsidR="00D3388F" w:rsidRDefault="00D3388F" w:rsidP="002F7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7F4" w:rsidRDefault="002F77F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7F4" w:rsidRDefault="002F77F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7F4" w:rsidRDefault="002F77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16C"/>
    <w:rsid w:val="000C7C73"/>
    <w:rsid w:val="00124B07"/>
    <w:rsid w:val="001314C5"/>
    <w:rsid w:val="0013425B"/>
    <w:rsid w:val="00154733"/>
    <w:rsid w:val="001763F0"/>
    <w:rsid w:val="0018141F"/>
    <w:rsid w:val="001815FD"/>
    <w:rsid w:val="001F1F21"/>
    <w:rsid w:val="001F7D01"/>
    <w:rsid w:val="00245574"/>
    <w:rsid w:val="002B029F"/>
    <w:rsid w:val="002B3DEA"/>
    <w:rsid w:val="002E192B"/>
    <w:rsid w:val="002F77F4"/>
    <w:rsid w:val="003148C4"/>
    <w:rsid w:val="003247A8"/>
    <w:rsid w:val="003B0C32"/>
    <w:rsid w:val="00467AFD"/>
    <w:rsid w:val="004B2E27"/>
    <w:rsid w:val="004B578E"/>
    <w:rsid w:val="004B7E5F"/>
    <w:rsid w:val="00537DE1"/>
    <w:rsid w:val="005813AC"/>
    <w:rsid w:val="005B5B0F"/>
    <w:rsid w:val="00615A4C"/>
    <w:rsid w:val="006B49EF"/>
    <w:rsid w:val="00716D9B"/>
    <w:rsid w:val="00762018"/>
    <w:rsid w:val="0079570B"/>
    <w:rsid w:val="007A53CE"/>
    <w:rsid w:val="007B42D3"/>
    <w:rsid w:val="007E14C5"/>
    <w:rsid w:val="008330F4"/>
    <w:rsid w:val="008563F7"/>
    <w:rsid w:val="00860E1A"/>
    <w:rsid w:val="00887F9E"/>
    <w:rsid w:val="008A009E"/>
    <w:rsid w:val="008C7D05"/>
    <w:rsid w:val="00934A8B"/>
    <w:rsid w:val="009D0B53"/>
    <w:rsid w:val="00A23D88"/>
    <w:rsid w:val="00A670F4"/>
    <w:rsid w:val="00A82C59"/>
    <w:rsid w:val="00A96B61"/>
    <w:rsid w:val="00AD0E4F"/>
    <w:rsid w:val="00B05410"/>
    <w:rsid w:val="00B32FE1"/>
    <w:rsid w:val="00B3416C"/>
    <w:rsid w:val="00B87A51"/>
    <w:rsid w:val="00B93525"/>
    <w:rsid w:val="00BA26A8"/>
    <w:rsid w:val="00C054E3"/>
    <w:rsid w:val="00CD46B8"/>
    <w:rsid w:val="00CE19E7"/>
    <w:rsid w:val="00CF2164"/>
    <w:rsid w:val="00CF28B5"/>
    <w:rsid w:val="00D3388F"/>
    <w:rsid w:val="00D9268A"/>
    <w:rsid w:val="00E17705"/>
    <w:rsid w:val="00E271D6"/>
    <w:rsid w:val="00E4318C"/>
    <w:rsid w:val="00E55323"/>
    <w:rsid w:val="00E572B5"/>
    <w:rsid w:val="00E82FD5"/>
    <w:rsid w:val="00E85E77"/>
    <w:rsid w:val="00E86F64"/>
    <w:rsid w:val="00F00C6A"/>
    <w:rsid w:val="00F2052C"/>
    <w:rsid w:val="00F23F78"/>
    <w:rsid w:val="00F7226F"/>
    <w:rsid w:val="00F9447E"/>
    <w:rsid w:val="00FE62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09E"/>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7F4"/>
    <w:pPr>
      <w:tabs>
        <w:tab w:val="center" w:pos="4153"/>
        <w:tab w:val="right" w:pos="8306"/>
      </w:tabs>
    </w:pPr>
  </w:style>
  <w:style w:type="character" w:customStyle="1" w:styleId="a4">
    <w:name w:val="כותרת עליונה תו"/>
    <w:basedOn w:val="a0"/>
    <w:link w:val="a3"/>
    <w:uiPriority w:val="99"/>
    <w:rsid w:val="002F77F4"/>
    <w:rPr>
      <w:rFonts w:ascii="Times New Roman" w:eastAsia="Times New Roman" w:hAnsi="Times New Roman" w:cs="Miriam"/>
      <w:sz w:val="20"/>
      <w:szCs w:val="20"/>
      <w:lang w:eastAsia="he-IL"/>
    </w:rPr>
  </w:style>
  <w:style w:type="paragraph" w:styleId="a5">
    <w:name w:val="footer"/>
    <w:basedOn w:val="a"/>
    <w:link w:val="a6"/>
    <w:uiPriority w:val="99"/>
    <w:unhideWhenUsed/>
    <w:rsid w:val="002F77F4"/>
    <w:pPr>
      <w:tabs>
        <w:tab w:val="center" w:pos="4153"/>
        <w:tab w:val="right" w:pos="8306"/>
      </w:tabs>
    </w:pPr>
  </w:style>
  <w:style w:type="character" w:customStyle="1" w:styleId="a6">
    <w:name w:val="כותרת תחתונה תו"/>
    <w:basedOn w:val="a0"/>
    <w:link w:val="a5"/>
    <w:uiPriority w:val="99"/>
    <w:rsid w:val="002F77F4"/>
    <w:rPr>
      <w:rFonts w:ascii="Times New Roman" w:eastAsia="Times New Roman" w:hAnsi="Times New Roman" w:cs="Miriam"/>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54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2123</Characters>
  <Application>Microsoft Office Word</Application>
  <DocSecurity>0</DocSecurity>
  <Lines>17</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2022-12-13T11:05:00Z</dcterms:created>
  <dcterms:modified xsi:type="dcterms:W3CDTF">2022-12-13T11:05:00Z</dcterms:modified>
</cp:coreProperties>
</file>