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ED025" w14:textId="77777777" w:rsidR="009B0F47" w:rsidRPr="00E8008F" w:rsidRDefault="00B67716" w:rsidP="00B67716">
      <w:pPr>
        <w:jc w:val="center"/>
        <w:rPr>
          <w:rtl/>
        </w:rPr>
      </w:pPr>
      <w:r>
        <w:rPr>
          <w:noProof/>
        </w:rPr>
        <w:drawing>
          <wp:inline distT="0" distB="0" distL="0" distR="0" wp14:anchorId="64DB2D6D" wp14:editId="411F1E2F">
            <wp:extent cx="1548130" cy="1548130"/>
            <wp:effectExtent l="0" t="0" r="0" b="0"/>
            <wp:docPr id="4" name="Picture 4" descr="\\portals\DavWWWRoot\sites\boi\about\Mitug\DocList\Logo Bank of Israel 2 color\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s\DavWWWRoot\sites\boi\about\Mitug\DocList\Logo Bank of Israel 2 color\Logo Bank of Israel 2 colo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382" cy="1552382"/>
                    </a:xfrm>
                    <a:prstGeom prst="rect">
                      <a:avLst/>
                    </a:prstGeom>
                    <a:noFill/>
                    <a:ln>
                      <a:noFill/>
                    </a:ln>
                  </pic:spPr>
                </pic:pic>
              </a:graphicData>
            </a:graphic>
          </wp:inline>
        </w:drawing>
      </w:r>
    </w:p>
    <w:p w14:paraId="4933ED0A" w14:textId="77777777" w:rsidR="00867523" w:rsidRPr="00E56B33" w:rsidRDefault="00867523" w:rsidP="00867523">
      <w:pPr>
        <w:pStyle w:val="LetterheadBOI"/>
        <w:rPr>
          <w:rFonts w:ascii="Segoe UI" w:hAnsi="Segoe UI" w:cs="Segoe UI"/>
        </w:rPr>
      </w:pPr>
      <w:r w:rsidRPr="00E56B33">
        <w:rPr>
          <w:rFonts w:ascii="Segoe UI" w:hAnsi="Segoe UI" w:cs="Segoe UI"/>
        </w:rPr>
        <w:t>BANK OF ISRAEL</w:t>
      </w:r>
    </w:p>
    <w:p w14:paraId="68196B0D" w14:textId="77777777" w:rsidR="00867523" w:rsidRPr="00E56B33" w:rsidRDefault="00867523" w:rsidP="00867523">
      <w:pPr>
        <w:pStyle w:val="Letterhead2"/>
        <w:rPr>
          <w:rFonts w:ascii="Segoe UI" w:hAnsi="Segoe UI" w:cs="Segoe UI"/>
          <w:b/>
        </w:rPr>
      </w:pPr>
      <w:r w:rsidRPr="00E56B33">
        <w:rPr>
          <w:rFonts w:ascii="Segoe UI" w:hAnsi="Segoe UI" w:cs="Segoe UI"/>
          <w:sz w:val="24"/>
          <w:szCs w:val="24"/>
        </w:rPr>
        <w:t>Office of the Spokesperson and Economic Information</w:t>
      </w:r>
    </w:p>
    <w:p w14:paraId="322CCA6F" w14:textId="77777777" w:rsidR="00867523" w:rsidRPr="00E56B33" w:rsidRDefault="00867523" w:rsidP="00894F88">
      <w:pPr>
        <w:spacing w:after="0" w:line="240" w:lineRule="auto"/>
        <w:jc w:val="center"/>
        <w:rPr>
          <w:rFonts w:ascii="Segoe UI" w:hAnsi="Segoe UI" w:cs="Segoe UI"/>
          <w:b/>
          <w:bCs/>
          <w:sz w:val="24"/>
          <w:szCs w:val="24"/>
          <w:rtl/>
        </w:rPr>
      </w:pPr>
    </w:p>
    <w:p w14:paraId="7B5ECFB3" w14:textId="4A82A923" w:rsidR="00BD6B80" w:rsidRPr="00E56B33" w:rsidRDefault="008F1553" w:rsidP="000413BF">
      <w:pPr>
        <w:tabs>
          <w:tab w:val="left" w:pos="8190"/>
        </w:tabs>
        <w:spacing w:after="0" w:line="240" w:lineRule="auto"/>
        <w:rPr>
          <w:rFonts w:ascii="Segoe UI" w:hAnsi="Segoe UI" w:cs="Segoe UI"/>
        </w:rPr>
      </w:pPr>
      <w:r>
        <w:rPr>
          <w:rFonts w:ascii="Segoe UI" w:hAnsi="Segoe UI" w:cs="Segoe UI"/>
        </w:rPr>
        <w:t>September 24</w:t>
      </w:r>
      <w:r w:rsidR="000413BF" w:rsidRPr="00E56B33">
        <w:rPr>
          <w:rFonts w:ascii="Segoe UI" w:hAnsi="Segoe UI" w:cs="Segoe UI"/>
        </w:rPr>
        <w:t>, 2026</w:t>
      </w:r>
    </w:p>
    <w:p w14:paraId="7F52FBE3" w14:textId="77777777" w:rsidR="00BD6B80" w:rsidRPr="00E56B33" w:rsidRDefault="00BD6B80" w:rsidP="00BD6B80">
      <w:pPr>
        <w:spacing w:after="0" w:line="240" w:lineRule="auto"/>
        <w:jc w:val="right"/>
        <w:rPr>
          <w:rFonts w:ascii="Segoe UI" w:hAnsi="Segoe UI" w:cs="Segoe UI"/>
        </w:rPr>
      </w:pPr>
    </w:p>
    <w:p w14:paraId="2D962907" w14:textId="6EB543C2" w:rsidR="00BD6B80" w:rsidRPr="00E56B33" w:rsidRDefault="00BD6B80" w:rsidP="00BD6B80">
      <w:pPr>
        <w:pStyle w:val="PressReleaseTitle"/>
        <w:jc w:val="left"/>
        <w:rPr>
          <w:rFonts w:ascii="Segoe UI" w:hAnsi="Segoe UI" w:cs="Segoe UI"/>
          <w:sz w:val="22"/>
          <w:szCs w:val="22"/>
        </w:rPr>
      </w:pPr>
      <w:r w:rsidRPr="00E56B33">
        <w:rPr>
          <w:rFonts w:ascii="Segoe UI" w:hAnsi="Segoe UI" w:cs="Segoe UI"/>
          <w:sz w:val="22"/>
          <w:szCs w:val="22"/>
        </w:rPr>
        <w:t>Press Release</w:t>
      </w:r>
      <w:r w:rsidR="00614C9D" w:rsidRPr="00E56B33">
        <w:rPr>
          <w:rFonts w:ascii="Segoe UI" w:hAnsi="Segoe UI" w:cs="Segoe UI"/>
          <w:sz w:val="22"/>
          <w:szCs w:val="22"/>
        </w:rPr>
        <w:t>:</w:t>
      </w:r>
    </w:p>
    <w:p w14:paraId="3AF562B6" w14:textId="28B525A4" w:rsidR="000413BF" w:rsidRPr="00E56B33" w:rsidRDefault="000413BF" w:rsidP="00BD6B80">
      <w:pPr>
        <w:pStyle w:val="PressReleaseTitle"/>
        <w:jc w:val="left"/>
        <w:rPr>
          <w:rFonts w:ascii="Segoe UI" w:hAnsi="Segoe UI" w:cs="Segoe UI"/>
          <w:sz w:val="22"/>
          <w:szCs w:val="22"/>
        </w:rPr>
      </w:pPr>
    </w:p>
    <w:p w14:paraId="4871D952" w14:textId="77777777" w:rsidR="000413BF" w:rsidRPr="00E56B33" w:rsidRDefault="000413BF" w:rsidP="00BD6B80">
      <w:pPr>
        <w:pStyle w:val="PressReleaseTitle"/>
        <w:jc w:val="left"/>
        <w:rPr>
          <w:rFonts w:ascii="Segoe UI" w:hAnsi="Segoe UI" w:cs="Segoe UI"/>
          <w:sz w:val="22"/>
          <w:szCs w:val="22"/>
        </w:rPr>
      </w:pPr>
    </w:p>
    <w:p w14:paraId="74B0CB3B" w14:textId="77777777" w:rsidR="00BD6B80" w:rsidRPr="00E56B33" w:rsidRDefault="00BD6B80" w:rsidP="00BD6B80">
      <w:pPr>
        <w:pStyle w:val="PressReleaseTitle"/>
        <w:rPr>
          <w:rFonts w:ascii="Segoe UI" w:hAnsi="Segoe UI" w:cs="Segoe UI"/>
          <w:sz w:val="22"/>
          <w:szCs w:val="22"/>
        </w:rPr>
      </w:pPr>
    </w:p>
    <w:p w14:paraId="3D718088" w14:textId="77777777" w:rsidR="00BD6B80" w:rsidRPr="00E56B33" w:rsidRDefault="00BD6B80" w:rsidP="00BD6B80">
      <w:pPr>
        <w:pStyle w:val="PressReleaseTitle"/>
        <w:rPr>
          <w:rFonts w:ascii="Segoe UI" w:hAnsi="Segoe UI" w:cs="Segoe UI"/>
          <w:sz w:val="22"/>
          <w:szCs w:val="22"/>
        </w:rPr>
      </w:pPr>
      <w:r w:rsidRPr="00E56B33">
        <w:rPr>
          <w:rFonts w:ascii="Segoe UI" w:hAnsi="Segoe UI" w:cs="Segoe UI"/>
          <w:sz w:val="22"/>
          <w:szCs w:val="22"/>
        </w:rPr>
        <w:t xml:space="preserve">Debt Developments in the Nonfinancial Private Sector, </w:t>
      </w:r>
    </w:p>
    <w:p w14:paraId="465CC30A" w14:textId="725E95D0" w:rsidR="00BD6B80" w:rsidRPr="00E56B33" w:rsidRDefault="008F1553" w:rsidP="007000FF">
      <w:pPr>
        <w:pStyle w:val="PressReleaseTitle"/>
        <w:rPr>
          <w:rFonts w:ascii="Segoe UI" w:hAnsi="Segoe UI" w:cs="Segoe UI"/>
          <w:b w:val="0"/>
          <w:bCs w:val="0"/>
          <w:sz w:val="22"/>
          <w:szCs w:val="22"/>
        </w:rPr>
      </w:pPr>
      <w:r>
        <w:rPr>
          <w:rFonts w:ascii="Segoe UI" w:hAnsi="Segoe UI" w:cs="Segoe UI"/>
          <w:sz w:val="22"/>
          <w:szCs w:val="22"/>
        </w:rPr>
        <w:t>Second</w:t>
      </w:r>
      <w:r w:rsidR="009F4F50" w:rsidRPr="00E56B33">
        <w:rPr>
          <w:rFonts w:ascii="Segoe UI" w:hAnsi="Segoe UI" w:cs="Segoe UI"/>
          <w:sz w:val="22"/>
          <w:szCs w:val="22"/>
        </w:rPr>
        <w:t xml:space="preserve"> </w:t>
      </w:r>
      <w:r w:rsidR="001435F1" w:rsidRPr="00E56B33">
        <w:rPr>
          <w:rFonts w:ascii="Segoe UI" w:hAnsi="Segoe UI" w:cs="Segoe UI"/>
          <w:sz w:val="22"/>
          <w:szCs w:val="22"/>
        </w:rPr>
        <w:t>Q</w:t>
      </w:r>
      <w:r w:rsidR="00C8124F" w:rsidRPr="00E56B33">
        <w:rPr>
          <w:rFonts w:ascii="Segoe UI" w:hAnsi="Segoe UI" w:cs="Segoe UI"/>
          <w:sz w:val="22"/>
          <w:szCs w:val="22"/>
        </w:rPr>
        <w:t>uarter</w:t>
      </w:r>
      <w:r w:rsidR="00BD6B80" w:rsidRPr="00E56B33">
        <w:rPr>
          <w:rFonts w:ascii="Segoe UI" w:hAnsi="Segoe UI" w:cs="Segoe UI"/>
          <w:sz w:val="22"/>
          <w:szCs w:val="22"/>
        </w:rPr>
        <w:t xml:space="preserve"> of </w:t>
      </w:r>
      <w:r w:rsidR="006D40FC" w:rsidRPr="00E56B33">
        <w:rPr>
          <w:rFonts w:ascii="Segoe UI" w:hAnsi="Segoe UI" w:cs="Segoe UI"/>
          <w:sz w:val="22"/>
          <w:szCs w:val="22"/>
        </w:rPr>
        <w:t>202</w:t>
      </w:r>
      <w:r w:rsidR="007000FF" w:rsidRPr="00E56B33">
        <w:rPr>
          <w:rFonts w:ascii="Segoe UI" w:hAnsi="Segoe UI" w:cs="Segoe UI"/>
          <w:sz w:val="22"/>
          <w:szCs w:val="22"/>
        </w:rPr>
        <w:t>6</w:t>
      </w:r>
    </w:p>
    <w:p w14:paraId="6FB3241B" w14:textId="212830A3" w:rsidR="00BD6B80" w:rsidRPr="00E56B33" w:rsidRDefault="00BD6B80" w:rsidP="00BD6B80">
      <w:pPr>
        <w:spacing w:after="0" w:line="240" w:lineRule="auto"/>
        <w:rPr>
          <w:rFonts w:ascii="Segoe UI" w:hAnsi="Segoe UI" w:cs="Segoe UI"/>
        </w:rPr>
      </w:pPr>
    </w:p>
    <w:p w14:paraId="467D18F8" w14:textId="21683757" w:rsidR="00BD6B80" w:rsidRPr="00E56B33" w:rsidRDefault="00356E1D" w:rsidP="008F1553">
      <w:pPr>
        <w:spacing w:after="0" w:line="240" w:lineRule="auto"/>
        <w:jc w:val="both"/>
        <w:rPr>
          <w:rFonts w:ascii="Segoe UI" w:hAnsi="Segoe UI" w:cs="Segoe UI"/>
        </w:rPr>
      </w:pPr>
      <w:r w:rsidRPr="00E56B33">
        <w:rPr>
          <w:rFonts w:ascii="Segoe UI" w:hAnsi="Segoe UI" w:cs="Segoe UI"/>
        </w:rPr>
        <w:t>The f</w:t>
      </w:r>
      <w:r w:rsidR="00355962" w:rsidRPr="00E56B33">
        <w:rPr>
          <w:rFonts w:ascii="Segoe UI" w:hAnsi="Segoe UI" w:cs="Segoe UI"/>
        </w:rPr>
        <w:t>ollowing is a summary of developments in nonfinancial</w:t>
      </w:r>
      <w:r w:rsidR="007000FF" w:rsidRPr="00E56B33">
        <w:rPr>
          <w:rFonts w:ascii="Segoe UI" w:hAnsi="Segoe UI" w:cs="Segoe UI"/>
        </w:rPr>
        <w:t xml:space="preserve"> private sector</w:t>
      </w:r>
      <w:r w:rsidR="00355962" w:rsidRPr="00E56B33">
        <w:rPr>
          <w:rFonts w:ascii="Segoe UI" w:hAnsi="Segoe UI" w:cs="Segoe UI"/>
        </w:rPr>
        <w:t xml:space="preserve"> debt</w:t>
      </w:r>
      <w:r w:rsidR="009304FA" w:rsidRPr="00E56B33">
        <w:rPr>
          <w:rFonts w:ascii="Segoe UI" w:hAnsi="Segoe UI" w:cs="Segoe UI"/>
        </w:rPr>
        <w:t xml:space="preserve"> </w:t>
      </w:r>
      <w:r w:rsidR="00355962" w:rsidRPr="00E56B33">
        <w:rPr>
          <w:rFonts w:ascii="Segoe UI" w:hAnsi="Segoe UI" w:cs="Segoe UI"/>
        </w:rPr>
        <w:t xml:space="preserve">in the </w:t>
      </w:r>
      <w:r w:rsidR="008F1553">
        <w:rPr>
          <w:rFonts w:ascii="Segoe UI" w:hAnsi="Segoe UI" w:cs="Segoe UI"/>
        </w:rPr>
        <w:t>second</w:t>
      </w:r>
      <w:r w:rsidR="007000FF" w:rsidRPr="00E56B33">
        <w:rPr>
          <w:rFonts w:ascii="Segoe UI" w:hAnsi="Segoe UI" w:cs="Segoe UI"/>
        </w:rPr>
        <w:t xml:space="preserve"> quarter of 2026</w:t>
      </w:r>
      <w:r w:rsidR="006B46BE" w:rsidRPr="00E56B33">
        <w:rPr>
          <w:rFonts w:ascii="Segoe UI" w:hAnsi="Segoe UI" w:cs="Segoe UI"/>
        </w:rPr>
        <w:t>:</w:t>
      </w:r>
    </w:p>
    <w:p w14:paraId="4833B0FE" w14:textId="77777777" w:rsidR="006B46BE" w:rsidRPr="00E56B33" w:rsidRDefault="006B46BE" w:rsidP="00BD6B80">
      <w:pPr>
        <w:spacing w:after="0" w:line="240" w:lineRule="auto"/>
        <w:jc w:val="both"/>
        <w:rPr>
          <w:rFonts w:ascii="Segoe UI" w:hAnsi="Segoe UI" w:cs="Segoe UI"/>
        </w:rPr>
      </w:pPr>
    </w:p>
    <w:p w14:paraId="1FCB464A" w14:textId="72CDA80E" w:rsidR="00930C80" w:rsidRPr="00E56B33" w:rsidRDefault="00805302" w:rsidP="008F1553">
      <w:pPr>
        <w:pStyle w:val="ListParagraph"/>
        <w:numPr>
          <w:ilvl w:val="0"/>
          <w:numId w:val="5"/>
        </w:numPr>
        <w:spacing w:after="0" w:line="240" w:lineRule="auto"/>
        <w:ind w:left="426"/>
        <w:jc w:val="both"/>
        <w:rPr>
          <w:rFonts w:ascii="Segoe UI" w:hAnsi="Segoe UI" w:cs="Segoe UI"/>
        </w:rPr>
      </w:pPr>
      <w:r w:rsidRPr="00E56B33">
        <w:rPr>
          <w:rFonts w:ascii="Segoe UI" w:hAnsi="Segoe UI" w:cs="Segoe UI"/>
        </w:rPr>
        <w:t xml:space="preserve">The increase in the balance of </w:t>
      </w:r>
      <w:r w:rsidR="001435F1" w:rsidRPr="00E56B33">
        <w:rPr>
          <w:rFonts w:ascii="Segoe UI" w:hAnsi="Segoe UI" w:cs="Segoe UI"/>
          <w:b/>
          <w:bCs/>
        </w:rPr>
        <w:t>nonfinancial private</w:t>
      </w:r>
      <w:r w:rsidR="001246EE" w:rsidRPr="00E56B33">
        <w:rPr>
          <w:rFonts w:ascii="Segoe UI" w:hAnsi="Segoe UI" w:cs="Segoe UI"/>
          <w:b/>
          <w:bCs/>
        </w:rPr>
        <w:t xml:space="preserve"> sector debt</w:t>
      </w:r>
      <w:r w:rsidR="006E3D12" w:rsidRPr="00E56B33">
        <w:rPr>
          <w:rFonts w:ascii="Segoe UI" w:hAnsi="Segoe UI" w:cs="Segoe UI"/>
          <w:b/>
          <w:bCs/>
        </w:rPr>
        <w:t xml:space="preserve"> </w:t>
      </w:r>
      <w:r w:rsidR="007B2236" w:rsidRPr="00E56B33">
        <w:rPr>
          <w:rFonts w:ascii="Segoe UI" w:hAnsi="Segoe UI" w:cs="Segoe UI"/>
          <w:b/>
          <w:bCs/>
        </w:rPr>
        <w:t>(both</w:t>
      </w:r>
      <w:r w:rsidR="007B2236" w:rsidRPr="00E56B33">
        <w:rPr>
          <w:rFonts w:ascii="Segoe UI" w:hAnsi="Segoe UI" w:cs="Segoe UI"/>
        </w:rPr>
        <w:t xml:space="preserve"> </w:t>
      </w:r>
      <w:r w:rsidR="007B2236" w:rsidRPr="00E56B33">
        <w:rPr>
          <w:rFonts w:ascii="Segoe UI" w:hAnsi="Segoe UI" w:cs="Segoe UI"/>
          <w:b/>
          <w:bCs/>
        </w:rPr>
        <w:t xml:space="preserve">business and household) </w:t>
      </w:r>
      <w:r w:rsidRPr="006E7AB9">
        <w:rPr>
          <w:rFonts w:ascii="Segoe UI" w:hAnsi="Segoe UI" w:cs="Segoe UI"/>
        </w:rPr>
        <w:t xml:space="preserve">continued, and in </w:t>
      </w:r>
      <w:r w:rsidRPr="00E56B33">
        <w:rPr>
          <w:rFonts w:ascii="Segoe UI" w:hAnsi="Segoe UI" w:cs="Segoe UI"/>
        </w:rPr>
        <w:t xml:space="preserve">the </w:t>
      </w:r>
      <w:r w:rsidR="008F1553">
        <w:rPr>
          <w:rFonts w:ascii="Segoe UI" w:hAnsi="Segoe UI" w:cs="Segoe UI"/>
        </w:rPr>
        <w:t>second</w:t>
      </w:r>
      <w:r w:rsidR="007000FF" w:rsidRPr="00E56B33">
        <w:rPr>
          <w:rFonts w:ascii="Segoe UI" w:hAnsi="Segoe UI" w:cs="Segoe UI"/>
        </w:rPr>
        <w:t xml:space="preserve"> quarter of 2026</w:t>
      </w:r>
      <w:r w:rsidRPr="00E56B33">
        <w:rPr>
          <w:rFonts w:ascii="Segoe UI" w:hAnsi="Segoe UI" w:cs="Segoe UI"/>
        </w:rPr>
        <w:t xml:space="preserve">, it </w:t>
      </w:r>
      <w:r w:rsidR="00D20DD7" w:rsidRPr="00E56B33">
        <w:rPr>
          <w:rFonts w:ascii="Segoe UI" w:hAnsi="Segoe UI" w:cs="Segoe UI"/>
        </w:rPr>
        <w:t>increase</w:t>
      </w:r>
      <w:r w:rsidR="00356E1D" w:rsidRPr="00E56B33">
        <w:rPr>
          <w:rFonts w:ascii="Segoe UI" w:hAnsi="Segoe UI" w:cs="Segoe UI"/>
        </w:rPr>
        <w:t>d</w:t>
      </w:r>
      <w:r w:rsidR="00524A2B" w:rsidRPr="00E56B33">
        <w:rPr>
          <w:rFonts w:ascii="Segoe UI" w:hAnsi="Segoe UI" w:cs="Segoe UI"/>
        </w:rPr>
        <w:t xml:space="preserve"> </w:t>
      </w:r>
      <w:r w:rsidR="00B2382C" w:rsidRPr="00E56B33">
        <w:rPr>
          <w:rFonts w:ascii="Segoe UI" w:hAnsi="Segoe UI" w:cs="Segoe UI"/>
        </w:rPr>
        <w:t xml:space="preserve">by </w:t>
      </w:r>
      <w:r w:rsidR="003506A9" w:rsidRPr="00E56B33">
        <w:rPr>
          <w:rFonts w:ascii="Segoe UI" w:hAnsi="Segoe UI" w:cs="Segoe UI"/>
        </w:rPr>
        <w:t xml:space="preserve">approximately </w:t>
      </w:r>
      <w:r w:rsidR="008F1553">
        <w:rPr>
          <w:rFonts w:ascii="Segoe UI" w:hAnsi="Segoe UI" w:cs="Segoe UI"/>
        </w:rPr>
        <w:t>3.6</w:t>
      </w:r>
      <w:r w:rsidR="00B2382C" w:rsidRPr="00E56B33">
        <w:rPr>
          <w:rFonts w:ascii="Segoe UI" w:hAnsi="Segoe UI" w:cs="Segoe UI"/>
        </w:rPr>
        <w:t xml:space="preserve"> percent to </w:t>
      </w:r>
      <w:r w:rsidR="00163FBC" w:rsidRPr="00E56B33">
        <w:rPr>
          <w:rFonts w:ascii="Segoe UI" w:hAnsi="Segoe UI" w:cs="Segoe UI"/>
        </w:rPr>
        <w:t xml:space="preserve">a level of </w:t>
      </w:r>
      <w:r w:rsidR="007000FF" w:rsidRPr="00E56B33">
        <w:rPr>
          <w:rFonts w:ascii="Segoe UI" w:hAnsi="Segoe UI" w:cs="Segoe UI"/>
        </w:rPr>
        <w:t xml:space="preserve">about </w:t>
      </w:r>
      <w:r w:rsidR="007B2236" w:rsidRPr="00E56B33">
        <w:rPr>
          <w:rFonts w:ascii="Segoe UI" w:hAnsi="Segoe UI" w:cs="Segoe UI"/>
        </w:rPr>
        <w:t>NIS 2.</w:t>
      </w:r>
      <w:r w:rsidR="008F1553">
        <w:rPr>
          <w:rFonts w:ascii="Segoe UI" w:hAnsi="Segoe UI" w:cs="Segoe UI"/>
        </w:rPr>
        <w:t>6</w:t>
      </w:r>
      <w:r w:rsidR="007B2236" w:rsidRPr="00E56B33">
        <w:rPr>
          <w:rFonts w:ascii="Segoe UI" w:hAnsi="Segoe UI" w:cs="Segoe UI"/>
        </w:rPr>
        <w:t xml:space="preserve"> trillion</w:t>
      </w:r>
      <w:r w:rsidRPr="00E56B33">
        <w:rPr>
          <w:rFonts w:ascii="Segoe UI" w:hAnsi="Segoe UI" w:cs="Segoe UI"/>
        </w:rPr>
        <w:t>.</w:t>
      </w:r>
    </w:p>
    <w:p w14:paraId="6E6CAB50" w14:textId="60C8B124" w:rsidR="004C1792" w:rsidRDefault="001435F1" w:rsidP="008F1553">
      <w:pPr>
        <w:pStyle w:val="ListParagraph"/>
        <w:numPr>
          <w:ilvl w:val="0"/>
          <w:numId w:val="5"/>
        </w:numPr>
        <w:spacing w:after="0" w:line="240" w:lineRule="auto"/>
        <w:ind w:left="426"/>
        <w:jc w:val="both"/>
        <w:rPr>
          <w:rFonts w:ascii="Segoe UI" w:hAnsi="Segoe UI" w:cs="Segoe UI"/>
        </w:rPr>
      </w:pPr>
      <w:r w:rsidRPr="00E56B33">
        <w:rPr>
          <w:rFonts w:ascii="Segoe UI" w:hAnsi="Segoe UI" w:cs="Segoe UI"/>
        </w:rPr>
        <w:t xml:space="preserve">The balance of </w:t>
      </w:r>
      <w:r w:rsidRPr="00E56B33">
        <w:rPr>
          <w:rFonts w:ascii="Segoe UI" w:hAnsi="Segoe UI" w:cs="Segoe UI"/>
          <w:b/>
          <w:bCs/>
        </w:rPr>
        <w:t>business sector debt</w:t>
      </w:r>
      <w:r w:rsidRPr="00E56B33">
        <w:rPr>
          <w:rFonts w:ascii="Segoe UI" w:hAnsi="Segoe UI" w:cs="Segoe UI"/>
        </w:rPr>
        <w:t xml:space="preserve"> </w:t>
      </w:r>
      <w:r w:rsidR="00930C80" w:rsidRPr="00E56B33">
        <w:rPr>
          <w:rFonts w:ascii="Segoe UI" w:hAnsi="Segoe UI" w:cs="Segoe UI"/>
        </w:rPr>
        <w:t xml:space="preserve">increased </w:t>
      </w:r>
      <w:r w:rsidRPr="00E56B33">
        <w:rPr>
          <w:rFonts w:ascii="Segoe UI" w:hAnsi="Segoe UI" w:cs="Segoe UI"/>
        </w:rPr>
        <w:t xml:space="preserve">by about </w:t>
      </w:r>
      <w:r w:rsidR="008F1553">
        <w:rPr>
          <w:rFonts w:ascii="Segoe UI" w:hAnsi="Segoe UI" w:cs="Segoe UI"/>
        </w:rPr>
        <w:t>4.2</w:t>
      </w:r>
      <w:r w:rsidR="00B2382C" w:rsidRPr="00E56B33">
        <w:rPr>
          <w:rFonts w:ascii="Segoe UI" w:hAnsi="Segoe UI" w:cs="Segoe UI"/>
        </w:rPr>
        <w:t xml:space="preserve"> </w:t>
      </w:r>
      <w:r w:rsidRPr="00E56B33">
        <w:rPr>
          <w:rFonts w:ascii="Segoe UI" w:hAnsi="Segoe UI" w:cs="Segoe UI"/>
        </w:rPr>
        <w:t xml:space="preserve">percent during the </w:t>
      </w:r>
      <w:r w:rsidR="008F1553">
        <w:rPr>
          <w:rFonts w:ascii="Segoe UI" w:hAnsi="Segoe UI" w:cs="Segoe UI"/>
        </w:rPr>
        <w:t>second</w:t>
      </w:r>
      <w:r w:rsidR="007000FF" w:rsidRPr="00E56B33">
        <w:rPr>
          <w:rFonts w:ascii="Segoe UI" w:hAnsi="Segoe UI" w:cs="Segoe UI"/>
        </w:rPr>
        <w:t xml:space="preserve"> quarter</w:t>
      </w:r>
      <w:r w:rsidRPr="00E56B33">
        <w:rPr>
          <w:rFonts w:ascii="Segoe UI" w:hAnsi="Segoe UI" w:cs="Segoe UI"/>
        </w:rPr>
        <w:t>, to about NIS 1.</w:t>
      </w:r>
      <w:r w:rsidR="008F1553">
        <w:rPr>
          <w:rFonts w:ascii="Segoe UI" w:hAnsi="Segoe UI" w:cs="Segoe UI"/>
        </w:rPr>
        <w:t>7</w:t>
      </w:r>
      <w:r w:rsidRPr="00E56B33">
        <w:rPr>
          <w:rFonts w:ascii="Segoe UI" w:hAnsi="Segoe UI" w:cs="Segoe UI"/>
        </w:rPr>
        <w:t xml:space="preserve"> trillion. This was mainly due to </w:t>
      </w:r>
      <w:r w:rsidR="00C662A6" w:rsidRPr="00E56B33">
        <w:rPr>
          <w:rFonts w:ascii="Segoe UI" w:hAnsi="Segoe UI" w:cs="Segoe UI"/>
        </w:rPr>
        <w:t xml:space="preserve">net debt </w:t>
      </w:r>
      <w:r w:rsidR="00930C80" w:rsidRPr="00E56B33">
        <w:rPr>
          <w:rFonts w:ascii="Segoe UI" w:hAnsi="Segoe UI" w:cs="Segoe UI"/>
        </w:rPr>
        <w:t>raised</w:t>
      </w:r>
      <w:r w:rsidR="009271DD" w:rsidRPr="00E56B33">
        <w:rPr>
          <w:rFonts w:ascii="Segoe UI" w:hAnsi="Segoe UI" w:cs="Segoe UI"/>
        </w:rPr>
        <w:t xml:space="preserve">, which </w:t>
      </w:r>
      <w:r w:rsidR="002539D1" w:rsidRPr="00E56B33">
        <w:rPr>
          <w:rFonts w:ascii="Segoe UI" w:hAnsi="Segoe UI" w:cs="Segoe UI"/>
        </w:rPr>
        <w:t xml:space="preserve">was concentrated in </w:t>
      </w:r>
      <w:r w:rsidR="009271DD" w:rsidRPr="00E56B33">
        <w:rPr>
          <w:rFonts w:ascii="Segoe UI" w:hAnsi="Segoe UI" w:cs="Segoe UI"/>
        </w:rPr>
        <w:t>ban</w:t>
      </w:r>
      <w:r w:rsidR="002539D1" w:rsidRPr="00E56B33">
        <w:rPr>
          <w:rFonts w:ascii="Segoe UI" w:hAnsi="Segoe UI" w:cs="Segoe UI"/>
        </w:rPr>
        <w:t>k</w:t>
      </w:r>
      <w:r w:rsidR="009271DD" w:rsidRPr="00E56B33">
        <w:rPr>
          <w:rFonts w:ascii="Segoe UI" w:hAnsi="Segoe UI" w:cs="Segoe UI"/>
        </w:rPr>
        <w:t xml:space="preserve"> credit. </w:t>
      </w:r>
    </w:p>
    <w:p w14:paraId="208B325B" w14:textId="77777777" w:rsidR="00A9700F" w:rsidRPr="000C5E05" w:rsidRDefault="00A9700F" w:rsidP="00A9700F">
      <w:pPr>
        <w:pStyle w:val="ListParagraph"/>
        <w:numPr>
          <w:ilvl w:val="0"/>
          <w:numId w:val="5"/>
        </w:numPr>
        <w:spacing w:after="0" w:line="240" w:lineRule="auto"/>
        <w:ind w:left="426"/>
        <w:jc w:val="both"/>
        <w:rPr>
          <w:rFonts w:asciiTheme="majorBidi" w:hAnsiTheme="majorBidi" w:cstheme="majorBidi"/>
          <w:sz w:val="24"/>
          <w:szCs w:val="24"/>
        </w:rPr>
      </w:pPr>
      <w:r w:rsidRPr="00E56B33">
        <w:rPr>
          <w:rFonts w:ascii="Segoe UI" w:hAnsi="Segoe UI" w:cs="Segoe UI"/>
        </w:rPr>
        <w:t xml:space="preserve">In the </w:t>
      </w:r>
      <w:r>
        <w:rPr>
          <w:rFonts w:ascii="Segoe UI" w:hAnsi="Segoe UI" w:cs="Segoe UI"/>
        </w:rPr>
        <w:t>second</w:t>
      </w:r>
      <w:r w:rsidRPr="00E56B33">
        <w:rPr>
          <w:rFonts w:ascii="Segoe UI" w:hAnsi="Segoe UI" w:cs="Segoe UI"/>
        </w:rPr>
        <w:t xml:space="preserve"> quarter of the year, the </w:t>
      </w:r>
      <w:r w:rsidRPr="00E56B33">
        <w:rPr>
          <w:rFonts w:ascii="Segoe UI" w:hAnsi="Segoe UI" w:cs="Segoe UI"/>
          <w:b/>
          <w:bCs/>
        </w:rPr>
        <w:t>business sector</w:t>
      </w:r>
      <w:r w:rsidRPr="00E56B33">
        <w:rPr>
          <w:rFonts w:ascii="Segoe UI" w:hAnsi="Segoe UI" w:cs="Segoe UI"/>
        </w:rPr>
        <w:t xml:space="preserve"> </w:t>
      </w:r>
      <w:r w:rsidRPr="00E56B33">
        <w:rPr>
          <w:rFonts w:ascii="Segoe UI" w:hAnsi="Segoe UI" w:cs="Segoe UI"/>
          <w:b/>
          <w:bCs/>
        </w:rPr>
        <w:t>issued</w:t>
      </w:r>
      <w:r w:rsidRPr="00E56B33">
        <w:rPr>
          <w:rFonts w:ascii="Segoe UI" w:hAnsi="Segoe UI" w:cs="Segoe UI"/>
        </w:rPr>
        <w:t xml:space="preserve"> about NIS </w:t>
      </w:r>
      <w:r>
        <w:rPr>
          <w:rFonts w:ascii="Segoe UI" w:hAnsi="Segoe UI" w:cs="Segoe UI"/>
        </w:rPr>
        <w:t>33</w:t>
      </w:r>
      <w:r w:rsidRPr="00E56B33">
        <w:rPr>
          <w:rFonts w:ascii="Segoe UI" w:hAnsi="Segoe UI" w:cs="Segoe UI"/>
        </w:rPr>
        <w:t xml:space="preserve"> billion in bonds, </w:t>
      </w:r>
      <w:r>
        <w:rPr>
          <w:rFonts w:ascii="Segoe UI" w:hAnsi="Segoe UI" w:cs="Segoe UI"/>
        </w:rPr>
        <w:t>half of which were issued in June. This volume is higher</w:t>
      </w:r>
      <w:r w:rsidRPr="00E56B33">
        <w:rPr>
          <w:rFonts w:ascii="Segoe UI" w:hAnsi="Segoe UI" w:cs="Segoe UI"/>
        </w:rPr>
        <w:t xml:space="preserve"> than the average quarterly funds raised in the p</w:t>
      </w:r>
      <w:r>
        <w:rPr>
          <w:rFonts w:ascii="Segoe UI" w:hAnsi="Segoe UI" w:cs="Segoe UI"/>
        </w:rPr>
        <w:t>ast four quarters.</w:t>
      </w:r>
    </w:p>
    <w:p w14:paraId="69B404D7" w14:textId="77ADA0B1" w:rsidR="00846122" w:rsidRPr="008F1553" w:rsidRDefault="002C7AB2" w:rsidP="008661E7">
      <w:pPr>
        <w:pStyle w:val="ListParagraph"/>
        <w:numPr>
          <w:ilvl w:val="0"/>
          <w:numId w:val="5"/>
        </w:numPr>
        <w:spacing w:after="0" w:line="240" w:lineRule="auto"/>
        <w:ind w:left="426"/>
        <w:jc w:val="both"/>
        <w:rPr>
          <w:rFonts w:asciiTheme="majorBidi" w:hAnsiTheme="majorBidi" w:cstheme="majorBidi"/>
          <w:sz w:val="24"/>
          <w:szCs w:val="24"/>
        </w:rPr>
      </w:pPr>
      <w:r w:rsidRPr="008F1553">
        <w:rPr>
          <w:rFonts w:ascii="Segoe UI" w:hAnsi="Segoe UI" w:cs="Segoe UI"/>
        </w:rPr>
        <w:t xml:space="preserve">The balance of </w:t>
      </w:r>
      <w:r w:rsidRPr="008F1553">
        <w:rPr>
          <w:rFonts w:ascii="Segoe UI" w:hAnsi="Segoe UI" w:cs="Segoe UI"/>
          <w:b/>
          <w:bCs/>
        </w:rPr>
        <w:t>household debt</w:t>
      </w:r>
      <w:r w:rsidRPr="008F1553">
        <w:rPr>
          <w:rFonts w:ascii="Segoe UI" w:hAnsi="Segoe UI" w:cs="Segoe UI"/>
        </w:rPr>
        <w:t xml:space="preserve"> also continued to increase du</w:t>
      </w:r>
      <w:r w:rsidR="002539D1" w:rsidRPr="008F1553">
        <w:rPr>
          <w:rFonts w:ascii="Segoe UI" w:hAnsi="Segoe UI" w:cs="Segoe UI"/>
        </w:rPr>
        <w:t>ring the quarter, to about NIS 9</w:t>
      </w:r>
      <w:r w:rsidR="008F1553" w:rsidRPr="008F1553">
        <w:rPr>
          <w:rFonts w:ascii="Segoe UI" w:hAnsi="Segoe UI" w:cs="Segoe UI"/>
        </w:rPr>
        <w:t>35</w:t>
      </w:r>
      <w:r w:rsidR="008F1553">
        <w:rPr>
          <w:rFonts w:ascii="Segoe UI" w:hAnsi="Segoe UI" w:cs="Segoe UI"/>
        </w:rPr>
        <w:t xml:space="preserve"> billion.</w:t>
      </w:r>
      <w:r w:rsidRPr="008F1553">
        <w:rPr>
          <w:rFonts w:ascii="Segoe UI" w:hAnsi="Segoe UI" w:cs="Segoe UI"/>
        </w:rPr>
        <w:t xml:space="preserve"> </w:t>
      </w:r>
      <w:r w:rsidR="008F1553">
        <w:rPr>
          <w:rFonts w:ascii="Segoe UI" w:hAnsi="Segoe UI" w:cs="Segoe UI"/>
        </w:rPr>
        <w:t>This was due to</w:t>
      </w:r>
      <w:r w:rsidR="002539D1" w:rsidRPr="008F1553">
        <w:rPr>
          <w:rFonts w:ascii="Segoe UI" w:hAnsi="Segoe UI" w:cs="Segoe UI"/>
        </w:rPr>
        <w:t xml:space="preserve"> </w:t>
      </w:r>
      <w:r w:rsidR="0010061D" w:rsidRPr="008F1553">
        <w:rPr>
          <w:rFonts w:ascii="Segoe UI" w:hAnsi="Segoe UI" w:cs="Segoe UI"/>
        </w:rPr>
        <w:t xml:space="preserve">an increase </w:t>
      </w:r>
      <w:r w:rsidRPr="008F1553">
        <w:rPr>
          <w:rFonts w:ascii="Segoe UI" w:hAnsi="Segoe UI" w:cs="Segoe UI"/>
        </w:rPr>
        <w:t xml:space="preserve">in the balance of </w:t>
      </w:r>
      <w:r w:rsidR="008F1553" w:rsidRPr="008F1553">
        <w:rPr>
          <w:rFonts w:ascii="Segoe UI" w:hAnsi="Segoe UI" w:cs="Segoe UI"/>
          <w:b/>
          <w:bCs/>
        </w:rPr>
        <w:t>non</w:t>
      </w:r>
      <w:r w:rsidRPr="008F1553">
        <w:rPr>
          <w:rFonts w:ascii="Segoe UI" w:hAnsi="Segoe UI" w:cs="Segoe UI"/>
          <w:b/>
          <w:bCs/>
        </w:rPr>
        <w:t>housing debt</w:t>
      </w:r>
      <w:r w:rsidRPr="008F1553">
        <w:rPr>
          <w:rFonts w:ascii="Segoe UI" w:hAnsi="Segoe UI" w:cs="Segoe UI"/>
        </w:rPr>
        <w:t xml:space="preserve"> (</w:t>
      </w:r>
      <w:r w:rsidR="00C91FEE" w:rsidRPr="008F1553">
        <w:rPr>
          <w:rFonts w:ascii="Segoe UI" w:hAnsi="Segoe UI" w:cs="Segoe UI"/>
        </w:rPr>
        <w:t xml:space="preserve">by </w:t>
      </w:r>
      <w:r w:rsidRPr="008F1553">
        <w:rPr>
          <w:rFonts w:ascii="Segoe UI" w:hAnsi="Segoe UI" w:cs="Segoe UI"/>
        </w:rPr>
        <w:t xml:space="preserve">about NIS </w:t>
      </w:r>
      <w:r w:rsidR="008F1553" w:rsidRPr="008F1553">
        <w:rPr>
          <w:rFonts w:ascii="Segoe UI" w:hAnsi="Segoe UI" w:cs="Segoe UI"/>
        </w:rPr>
        <w:t>9</w:t>
      </w:r>
      <w:r w:rsidRPr="008F1553">
        <w:rPr>
          <w:rFonts w:ascii="Segoe UI" w:hAnsi="Segoe UI" w:cs="Segoe UI"/>
        </w:rPr>
        <w:t xml:space="preserve"> billion,</w:t>
      </w:r>
      <w:r w:rsidR="00C91FEE" w:rsidRPr="008F1553">
        <w:rPr>
          <w:rFonts w:ascii="Segoe UI" w:hAnsi="Segoe UI" w:cs="Segoe UI"/>
        </w:rPr>
        <w:t xml:space="preserve"> </w:t>
      </w:r>
      <w:r w:rsidR="008F1553" w:rsidRPr="008F1553">
        <w:rPr>
          <w:rFonts w:ascii="Segoe UI" w:hAnsi="Segoe UI" w:cs="Segoe UI"/>
        </w:rPr>
        <w:t>3.6</w:t>
      </w:r>
      <w:r w:rsidR="002539D1" w:rsidRPr="008F1553">
        <w:rPr>
          <w:rFonts w:ascii="Segoe UI" w:hAnsi="Segoe UI" w:cs="Segoe UI"/>
        </w:rPr>
        <w:t xml:space="preserve"> </w:t>
      </w:r>
      <w:r w:rsidRPr="008F1553">
        <w:rPr>
          <w:rFonts w:ascii="Segoe UI" w:hAnsi="Segoe UI" w:cs="Segoe UI"/>
        </w:rPr>
        <w:t>percent)</w:t>
      </w:r>
      <w:r w:rsidR="008F1553" w:rsidRPr="008F1553">
        <w:rPr>
          <w:rFonts w:ascii="Segoe UI" w:hAnsi="Segoe UI" w:cs="Segoe UI"/>
        </w:rPr>
        <w:t xml:space="preserve"> to about NIS 260 billion, </w:t>
      </w:r>
      <w:r w:rsidR="008F1553" w:rsidRPr="00405DBD">
        <w:rPr>
          <w:rFonts w:ascii="Segoe UI" w:hAnsi="Segoe UI" w:cs="Segoe UI"/>
        </w:rPr>
        <w:t>to all</w:t>
      </w:r>
      <w:r w:rsidR="00405DBD" w:rsidRPr="00405DBD">
        <w:rPr>
          <w:rFonts w:ascii="Segoe UI" w:hAnsi="Segoe UI" w:cs="Segoe UI"/>
        </w:rPr>
        <w:t xml:space="preserve"> main </w:t>
      </w:r>
      <w:r w:rsidR="008F1553" w:rsidRPr="00405DBD">
        <w:rPr>
          <w:rFonts w:ascii="Segoe UI" w:hAnsi="Segoe UI" w:cs="Segoe UI"/>
        </w:rPr>
        <w:t>lending institutions</w:t>
      </w:r>
      <w:r w:rsidR="008661E7">
        <w:rPr>
          <w:rFonts w:ascii="Segoe UI" w:hAnsi="Segoe UI" w:cs="Segoe UI"/>
        </w:rPr>
        <w:t xml:space="preserve"> including the banks, the credit card companies, and the institutional investors</w:t>
      </w:r>
      <w:r w:rsidR="008661E7">
        <w:rPr>
          <w:rFonts w:ascii="Segoe UI" w:hAnsi="Segoe UI" w:cs="Segoe UI" w:hint="cs"/>
          <w:rtl/>
        </w:rPr>
        <w:t>;</w:t>
      </w:r>
      <w:r w:rsidR="008F1553" w:rsidRPr="00405DBD">
        <w:rPr>
          <w:rFonts w:ascii="Segoe UI" w:hAnsi="Segoe UI" w:cs="Segoe UI"/>
        </w:rPr>
        <w:t xml:space="preserve"> </w:t>
      </w:r>
      <w:r w:rsidR="008661E7">
        <w:rPr>
          <w:rFonts w:ascii="Segoe UI" w:hAnsi="Segoe UI" w:cs="Segoe UI"/>
        </w:rPr>
        <w:t>T</w:t>
      </w:r>
      <w:r w:rsidR="008661E7" w:rsidRPr="008F1553">
        <w:rPr>
          <w:rFonts w:ascii="Segoe UI" w:hAnsi="Segoe UI" w:cs="Segoe UI"/>
        </w:rPr>
        <w:t xml:space="preserve">he balance of </w:t>
      </w:r>
      <w:r w:rsidR="008F1553" w:rsidRPr="008F1553">
        <w:rPr>
          <w:rFonts w:ascii="Segoe UI" w:hAnsi="Segoe UI" w:cs="Segoe UI"/>
          <w:b/>
          <w:bCs/>
        </w:rPr>
        <w:t>housing debt</w:t>
      </w:r>
      <w:r w:rsidR="008F1553" w:rsidRPr="008F1553">
        <w:rPr>
          <w:rFonts w:ascii="Segoe UI" w:hAnsi="Segoe UI" w:cs="Segoe UI"/>
        </w:rPr>
        <w:t xml:space="preserve"> </w:t>
      </w:r>
      <w:r w:rsidR="008661E7" w:rsidRPr="008F1553">
        <w:rPr>
          <w:rFonts w:ascii="Segoe UI" w:hAnsi="Segoe UI" w:cs="Segoe UI"/>
        </w:rPr>
        <w:t xml:space="preserve">also continued to increase </w:t>
      </w:r>
      <w:r w:rsidR="008F1553" w:rsidRPr="008F1553">
        <w:rPr>
          <w:rFonts w:ascii="Segoe UI" w:hAnsi="Segoe UI" w:cs="Segoe UI"/>
        </w:rPr>
        <w:t>(about NIS 13 billion, 1.9 percent)</w:t>
      </w:r>
      <w:r w:rsidRPr="008F1553">
        <w:rPr>
          <w:rFonts w:ascii="Segoe UI" w:hAnsi="Segoe UI" w:cs="Segoe UI"/>
        </w:rPr>
        <w:t xml:space="preserve"> which was due to </w:t>
      </w:r>
      <w:r w:rsidR="0010061D" w:rsidRPr="008F1553">
        <w:rPr>
          <w:rFonts w:ascii="Segoe UI" w:hAnsi="Segoe UI" w:cs="Segoe UI"/>
        </w:rPr>
        <w:t xml:space="preserve">new mortgage </w:t>
      </w:r>
      <w:r w:rsidR="007000FF" w:rsidRPr="008F1553">
        <w:rPr>
          <w:rFonts w:ascii="Segoe UI" w:hAnsi="Segoe UI" w:cs="Segoe UI"/>
        </w:rPr>
        <w:t>borrowing</w:t>
      </w:r>
      <w:r w:rsidR="001B7BBA" w:rsidRPr="008F1553">
        <w:rPr>
          <w:rFonts w:ascii="Segoe UI" w:hAnsi="Segoe UI" w:cs="Segoe UI"/>
        </w:rPr>
        <w:t xml:space="preserve"> from banks</w:t>
      </w:r>
      <w:r w:rsidR="007000FF" w:rsidRPr="008F1553">
        <w:rPr>
          <w:rFonts w:ascii="Segoe UI" w:hAnsi="Segoe UI" w:cs="Segoe UI"/>
        </w:rPr>
        <w:t>.</w:t>
      </w:r>
      <w:r w:rsidR="00846122" w:rsidRPr="008F1553">
        <w:rPr>
          <w:rFonts w:asciiTheme="majorBidi" w:hAnsiTheme="majorBidi" w:cstheme="majorBidi"/>
          <w:sz w:val="24"/>
          <w:szCs w:val="24"/>
        </w:rPr>
        <w:br w:type="page"/>
      </w:r>
    </w:p>
    <w:p w14:paraId="464F6563" w14:textId="77777777" w:rsidR="00356E1D" w:rsidRPr="00846122" w:rsidRDefault="00356E1D" w:rsidP="00846122">
      <w:pPr>
        <w:spacing w:after="0" w:line="240" w:lineRule="auto"/>
        <w:ind w:left="66"/>
        <w:jc w:val="both"/>
        <w:rPr>
          <w:rFonts w:asciiTheme="majorBidi" w:hAnsiTheme="majorBidi" w:cstheme="majorBidi"/>
          <w:sz w:val="24"/>
          <w:szCs w:val="24"/>
        </w:rPr>
      </w:pPr>
    </w:p>
    <w:p w14:paraId="57D6C539" w14:textId="54E72813" w:rsidR="006B46BE" w:rsidRPr="00407985" w:rsidRDefault="00407985" w:rsidP="006E3D12">
      <w:pPr>
        <w:pStyle w:val="ListParagraph"/>
        <w:spacing w:after="0" w:line="240" w:lineRule="auto"/>
        <w:ind w:left="426"/>
        <w:jc w:val="both"/>
        <w:rPr>
          <w:rFonts w:asciiTheme="majorBidi" w:hAnsiTheme="majorBidi" w:cstheme="majorBidi"/>
          <w:sz w:val="24"/>
          <w:szCs w:val="24"/>
        </w:rPr>
      </w:pPr>
      <w:r w:rsidRPr="00407985">
        <w:rPr>
          <w:rFonts w:asciiTheme="majorBidi" w:hAnsiTheme="majorBidi" w:cstheme="majorBidi"/>
          <w:sz w:val="24"/>
          <w:szCs w:val="24"/>
        </w:rPr>
        <w:t xml:space="preserve"> </w:t>
      </w:r>
    </w:p>
    <w:p w14:paraId="6558F88B" w14:textId="43207163" w:rsidR="00BD6B80" w:rsidRPr="00E56B33" w:rsidRDefault="00BD6B80" w:rsidP="00094C0D">
      <w:pPr>
        <w:spacing w:after="0" w:line="240" w:lineRule="auto"/>
        <w:rPr>
          <w:rFonts w:ascii="Segoe UI" w:hAnsi="Segoe UI" w:cs="Segoe UI"/>
          <w:b/>
          <w:bCs/>
        </w:rPr>
      </w:pPr>
      <w:r w:rsidRPr="00E56B33">
        <w:rPr>
          <w:rFonts w:ascii="Segoe UI" w:hAnsi="Segoe UI" w:cs="Segoe UI"/>
          <w:b/>
          <w:bCs/>
        </w:rPr>
        <w:t xml:space="preserve">The nonfinancial business </w:t>
      </w:r>
      <w:r w:rsidR="00094C0D" w:rsidRPr="00E56B33">
        <w:rPr>
          <w:rFonts w:ascii="Segoe UI" w:hAnsi="Segoe UI" w:cs="Segoe UI"/>
          <w:b/>
          <w:bCs/>
        </w:rPr>
        <w:t>sector’s</w:t>
      </w:r>
      <w:r w:rsidR="00094C0D" w:rsidRPr="00E56B33">
        <w:rPr>
          <w:rStyle w:val="FootnoteReference"/>
          <w:rFonts w:ascii="Segoe UI" w:hAnsi="Segoe UI" w:cs="Segoe UI"/>
          <w:b/>
          <w:bCs/>
        </w:rPr>
        <w:footnoteReference w:id="1"/>
      </w:r>
      <w:r w:rsidR="00094C0D" w:rsidRPr="00E56B33">
        <w:rPr>
          <w:rFonts w:ascii="Segoe UI" w:hAnsi="Segoe UI" w:cs="Segoe UI"/>
          <w:b/>
          <w:bCs/>
        </w:rPr>
        <w:t xml:space="preserve"> </w:t>
      </w:r>
      <w:r w:rsidR="00B108DC" w:rsidRPr="00E56B33">
        <w:rPr>
          <w:rFonts w:ascii="Segoe UI" w:hAnsi="Segoe UI" w:cs="Segoe UI"/>
          <w:b/>
          <w:bCs/>
        </w:rPr>
        <w:t>debt</w:t>
      </w:r>
    </w:p>
    <w:p w14:paraId="71A8C7D1" w14:textId="2A9E53D6" w:rsidR="00034F24" w:rsidRPr="00E56B33" w:rsidRDefault="00BD6B80" w:rsidP="000B237D">
      <w:pPr>
        <w:pStyle w:val="ListParagraph"/>
        <w:numPr>
          <w:ilvl w:val="0"/>
          <w:numId w:val="1"/>
        </w:numPr>
        <w:spacing w:after="0" w:line="240" w:lineRule="auto"/>
        <w:jc w:val="both"/>
        <w:rPr>
          <w:rFonts w:ascii="Segoe UI" w:hAnsi="Segoe UI" w:cs="Segoe UI"/>
        </w:rPr>
      </w:pPr>
      <w:r w:rsidRPr="00E56B33">
        <w:rPr>
          <w:rFonts w:ascii="Segoe UI" w:hAnsi="Segoe UI" w:cs="Segoe UI"/>
        </w:rPr>
        <w:t xml:space="preserve">In the </w:t>
      </w:r>
      <w:r w:rsidR="00BC78DF">
        <w:rPr>
          <w:rFonts w:ascii="Segoe UI" w:hAnsi="Segoe UI" w:cs="Segoe UI"/>
        </w:rPr>
        <w:t>second quarter</w:t>
      </w:r>
      <w:r w:rsidR="007000FF" w:rsidRPr="00E56B33">
        <w:rPr>
          <w:rFonts w:ascii="Segoe UI" w:hAnsi="Segoe UI" w:cs="Segoe UI"/>
        </w:rPr>
        <w:t xml:space="preserve"> of 2026</w:t>
      </w:r>
      <w:r w:rsidRPr="00E56B33">
        <w:rPr>
          <w:rFonts w:ascii="Segoe UI" w:hAnsi="Segoe UI" w:cs="Segoe UI"/>
        </w:rPr>
        <w:t>,</w:t>
      </w:r>
      <w:r w:rsidR="007D42EA" w:rsidRPr="00E56B33">
        <w:rPr>
          <w:rFonts w:ascii="Segoe UI" w:hAnsi="Segoe UI" w:cs="Segoe UI"/>
        </w:rPr>
        <w:t xml:space="preserve"> </w:t>
      </w:r>
      <w:r w:rsidRPr="00E56B33">
        <w:rPr>
          <w:rFonts w:ascii="Segoe UI" w:hAnsi="Segoe UI" w:cs="Segoe UI"/>
        </w:rPr>
        <w:t>the</w:t>
      </w:r>
      <w:r w:rsidR="00356E1D" w:rsidRPr="00E56B33">
        <w:rPr>
          <w:rFonts w:ascii="Segoe UI" w:hAnsi="Segoe UI" w:cs="Segoe UI"/>
        </w:rPr>
        <w:t xml:space="preserve"> </w:t>
      </w:r>
      <w:r w:rsidRPr="00E56B33">
        <w:rPr>
          <w:rFonts w:ascii="Segoe UI" w:hAnsi="Segoe UI" w:cs="Segoe UI"/>
          <w:b/>
          <w:bCs/>
        </w:rPr>
        <w:t>balance of business sector debt</w:t>
      </w:r>
      <w:r w:rsidR="000A14D2" w:rsidRPr="00E56B33">
        <w:rPr>
          <w:rFonts w:ascii="Segoe UI" w:hAnsi="Segoe UI" w:cs="Segoe UI"/>
        </w:rPr>
        <w:t xml:space="preserve"> </w:t>
      </w:r>
      <w:r w:rsidR="004C1792" w:rsidRPr="00E56B33">
        <w:rPr>
          <w:rFonts w:ascii="Segoe UI" w:hAnsi="Segoe UI" w:cs="Segoe UI"/>
        </w:rPr>
        <w:t xml:space="preserve">continued to </w:t>
      </w:r>
      <w:r w:rsidR="00356E1D" w:rsidRPr="00E56B33">
        <w:rPr>
          <w:rFonts w:ascii="Segoe UI" w:hAnsi="Segoe UI" w:cs="Segoe UI"/>
        </w:rPr>
        <w:t>increas</w:t>
      </w:r>
      <w:r w:rsidR="004C1792" w:rsidRPr="00E56B33">
        <w:rPr>
          <w:rFonts w:ascii="Segoe UI" w:hAnsi="Segoe UI" w:cs="Segoe UI"/>
        </w:rPr>
        <w:t>e</w:t>
      </w:r>
      <w:r w:rsidR="00223062" w:rsidRPr="00E56B33">
        <w:rPr>
          <w:rFonts w:ascii="Segoe UI" w:hAnsi="Segoe UI" w:cs="Segoe UI"/>
        </w:rPr>
        <w:t xml:space="preserve">, </w:t>
      </w:r>
      <w:r w:rsidR="00B56143" w:rsidRPr="00E56B33">
        <w:rPr>
          <w:rFonts w:ascii="Segoe UI" w:hAnsi="Segoe UI" w:cs="Segoe UI"/>
        </w:rPr>
        <w:t>by a</w:t>
      </w:r>
      <w:r w:rsidR="007A10CF" w:rsidRPr="00E56B33">
        <w:rPr>
          <w:rFonts w:ascii="Segoe UI" w:hAnsi="Segoe UI" w:cs="Segoe UI"/>
        </w:rPr>
        <w:t xml:space="preserve">bout NIS </w:t>
      </w:r>
      <w:r w:rsidR="000B237D">
        <w:rPr>
          <w:rFonts w:ascii="Segoe UI" w:hAnsi="Segoe UI" w:cs="Segoe UI"/>
        </w:rPr>
        <w:t>67</w:t>
      </w:r>
      <w:r w:rsidR="007A10CF" w:rsidRPr="00E56B33">
        <w:rPr>
          <w:rFonts w:ascii="Segoe UI" w:hAnsi="Segoe UI" w:cs="Segoe UI"/>
        </w:rPr>
        <w:t xml:space="preserve"> billion </w:t>
      </w:r>
      <w:r w:rsidR="00EF7DDC" w:rsidRPr="00E56B33">
        <w:rPr>
          <w:rFonts w:ascii="Segoe UI" w:hAnsi="Segoe UI" w:cs="Segoe UI"/>
        </w:rPr>
        <w:t>(</w:t>
      </w:r>
      <w:r w:rsidR="000B237D">
        <w:rPr>
          <w:rFonts w:ascii="Segoe UI" w:hAnsi="Segoe UI" w:cs="Segoe UI"/>
        </w:rPr>
        <w:t>4.2</w:t>
      </w:r>
      <w:r w:rsidR="00071D5B" w:rsidRPr="00E56B33">
        <w:rPr>
          <w:rFonts w:ascii="Segoe UI" w:hAnsi="Segoe UI" w:cs="Segoe UI"/>
        </w:rPr>
        <w:t xml:space="preserve"> percent)</w:t>
      </w:r>
      <w:r w:rsidR="00EF7DDC" w:rsidRPr="00E56B33">
        <w:rPr>
          <w:rFonts w:ascii="Segoe UI" w:hAnsi="Segoe UI" w:cs="Segoe UI"/>
        </w:rPr>
        <w:t xml:space="preserve"> to</w:t>
      </w:r>
      <w:r w:rsidR="007000FF" w:rsidRPr="00E56B33">
        <w:rPr>
          <w:rFonts w:ascii="Segoe UI" w:hAnsi="Segoe UI" w:cs="Segoe UI"/>
        </w:rPr>
        <w:t xml:space="preserve"> about</w:t>
      </w:r>
      <w:r w:rsidR="00EF7DDC" w:rsidRPr="00E56B33">
        <w:rPr>
          <w:rFonts w:ascii="Segoe UI" w:hAnsi="Segoe UI" w:cs="Segoe UI"/>
        </w:rPr>
        <w:t xml:space="preserve"> </w:t>
      </w:r>
      <w:r w:rsidR="00006B66" w:rsidRPr="00E56B33">
        <w:rPr>
          <w:rFonts w:ascii="Segoe UI" w:hAnsi="Segoe UI" w:cs="Segoe UI"/>
        </w:rPr>
        <w:t xml:space="preserve">NIS </w:t>
      </w:r>
      <w:r w:rsidR="00E941A1" w:rsidRPr="00E56B33">
        <w:rPr>
          <w:rFonts w:ascii="Segoe UI" w:hAnsi="Segoe UI" w:cs="Segoe UI"/>
        </w:rPr>
        <w:t>1.</w:t>
      </w:r>
      <w:r w:rsidR="000B237D">
        <w:rPr>
          <w:rFonts w:ascii="Segoe UI" w:hAnsi="Segoe UI" w:cs="Segoe UI"/>
        </w:rPr>
        <w:t>7</w:t>
      </w:r>
      <w:r w:rsidR="00E941A1" w:rsidRPr="00E56B33">
        <w:rPr>
          <w:rFonts w:ascii="Segoe UI" w:hAnsi="Segoe UI" w:cs="Segoe UI"/>
        </w:rPr>
        <w:t xml:space="preserve"> trillion</w:t>
      </w:r>
      <w:r w:rsidR="00EF7DDC" w:rsidRPr="00E56B33">
        <w:rPr>
          <w:rFonts w:ascii="Segoe UI" w:hAnsi="Segoe UI" w:cs="Segoe UI"/>
        </w:rPr>
        <w:t>.</w:t>
      </w:r>
      <w:r w:rsidR="00A32E48" w:rsidRPr="00E56B33">
        <w:rPr>
          <w:rFonts w:ascii="Segoe UI" w:hAnsi="Segoe UI" w:cs="Segoe UI"/>
        </w:rPr>
        <w:t xml:space="preserve"> </w:t>
      </w:r>
      <w:r w:rsidR="00071D5B" w:rsidRPr="00E56B33">
        <w:rPr>
          <w:rFonts w:ascii="Segoe UI" w:hAnsi="Segoe UI" w:cs="Segoe UI"/>
        </w:rPr>
        <w:t>T</w:t>
      </w:r>
      <w:r w:rsidR="00A32E48" w:rsidRPr="00E56B33">
        <w:rPr>
          <w:rFonts w:ascii="Segoe UI" w:hAnsi="Segoe UI" w:cs="Segoe UI"/>
        </w:rPr>
        <w:t xml:space="preserve">he increase in the balance </w:t>
      </w:r>
      <w:r w:rsidR="007000FF" w:rsidRPr="00E56B33">
        <w:rPr>
          <w:rFonts w:ascii="Segoe UI" w:hAnsi="Segoe UI" w:cs="Segoe UI"/>
        </w:rPr>
        <w:t>was due to</w:t>
      </w:r>
      <w:r w:rsidR="00DD52F2" w:rsidRPr="00E56B33">
        <w:rPr>
          <w:rFonts w:ascii="Segoe UI" w:hAnsi="Segoe UI" w:cs="Segoe UI"/>
        </w:rPr>
        <w:t xml:space="preserve"> </w:t>
      </w:r>
      <w:r w:rsidR="00A32E48" w:rsidRPr="00E56B33">
        <w:rPr>
          <w:rFonts w:ascii="Segoe UI" w:hAnsi="Segoe UI" w:cs="Segoe UI"/>
        </w:rPr>
        <w:t>net debt raised</w:t>
      </w:r>
      <w:r w:rsidR="000B237D">
        <w:rPr>
          <w:rFonts w:ascii="Segoe UI" w:hAnsi="Segoe UI" w:cs="Segoe UI"/>
        </w:rPr>
        <w:t xml:space="preserve"> in all channels</w:t>
      </w:r>
      <w:r w:rsidR="00071D5B" w:rsidRPr="00E56B33">
        <w:rPr>
          <w:rFonts w:ascii="Segoe UI" w:hAnsi="Segoe UI" w:cs="Segoe UI"/>
        </w:rPr>
        <w:t xml:space="preserve">, </w:t>
      </w:r>
      <w:r w:rsidR="00DD52F2" w:rsidRPr="00E56B33">
        <w:rPr>
          <w:rFonts w:ascii="Segoe UI" w:hAnsi="Segoe UI" w:cs="Segoe UI"/>
        </w:rPr>
        <w:t xml:space="preserve">totaling </w:t>
      </w:r>
      <w:r w:rsidR="007000FF" w:rsidRPr="00E56B33">
        <w:rPr>
          <w:rFonts w:ascii="Segoe UI" w:hAnsi="Segoe UI" w:cs="Segoe UI"/>
        </w:rPr>
        <w:t xml:space="preserve">about </w:t>
      </w:r>
      <w:r w:rsidR="00DD52F2" w:rsidRPr="00E56B33">
        <w:rPr>
          <w:rFonts w:ascii="Segoe UI" w:hAnsi="Segoe UI" w:cs="Segoe UI"/>
        </w:rPr>
        <w:t xml:space="preserve">NIS </w:t>
      </w:r>
      <w:r w:rsidR="000B237D">
        <w:rPr>
          <w:rFonts w:ascii="Segoe UI" w:hAnsi="Segoe UI" w:cs="Segoe UI"/>
        </w:rPr>
        <w:t>79</w:t>
      </w:r>
      <w:r w:rsidR="00DD52F2" w:rsidRPr="00E56B33">
        <w:rPr>
          <w:rFonts w:ascii="Segoe UI" w:hAnsi="Segoe UI" w:cs="Segoe UI"/>
        </w:rPr>
        <w:t xml:space="preserve"> </w:t>
      </w:r>
      <w:r w:rsidR="00DE2E2C" w:rsidRPr="00E56B33">
        <w:rPr>
          <w:rFonts w:ascii="Segoe UI" w:hAnsi="Segoe UI" w:cs="Segoe UI"/>
        </w:rPr>
        <w:t>billion</w:t>
      </w:r>
      <w:r w:rsidR="00DD52F2" w:rsidRPr="00E56B33">
        <w:rPr>
          <w:rFonts w:ascii="Segoe UI" w:hAnsi="Segoe UI" w:cs="Segoe UI"/>
        </w:rPr>
        <w:t xml:space="preserve">, made up </w:t>
      </w:r>
      <w:r w:rsidR="00DE2E2C" w:rsidRPr="00E56B33">
        <w:rPr>
          <w:rFonts w:ascii="Segoe UI" w:hAnsi="Segoe UI" w:cs="Segoe UI"/>
        </w:rPr>
        <w:t>mostly</w:t>
      </w:r>
      <w:r w:rsidR="00DD52F2" w:rsidRPr="00E56B33">
        <w:rPr>
          <w:rFonts w:ascii="Segoe UI" w:hAnsi="Segoe UI" w:cs="Segoe UI"/>
        </w:rPr>
        <w:t xml:space="preserve"> of bank credit</w:t>
      </w:r>
      <w:r w:rsidR="000B237D">
        <w:rPr>
          <w:rFonts w:ascii="Segoe UI" w:hAnsi="Segoe UI" w:cs="Segoe UI"/>
        </w:rPr>
        <w:t>, while there was a prominent increase of nonbank credit in the tradable bonds in Israel channel</w:t>
      </w:r>
      <w:r w:rsidR="00DD52F2" w:rsidRPr="00E56B33">
        <w:rPr>
          <w:rFonts w:ascii="Segoe UI" w:hAnsi="Segoe UI" w:cs="Segoe UI"/>
        </w:rPr>
        <w:t xml:space="preserve">.  </w:t>
      </w:r>
      <w:r w:rsidR="000B237D">
        <w:rPr>
          <w:rFonts w:ascii="Segoe UI" w:hAnsi="Segoe UI" w:cs="Segoe UI"/>
        </w:rPr>
        <w:t>Bank credit during the quarter was issued mainly to the financial services sector, which includes credit to secure transactions in derivatives and securities loans.  There was also an increase in credit to the construction and real estate segment. An increase</w:t>
      </w:r>
      <w:r w:rsidR="00517C3C" w:rsidRPr="00E56B33">
        <w:rPr>
          <w:rFonts w:ascii="Segoe UI" w:hAnsi="Segoe UI" w:cs="Segoe UI"/>
        </w:rPr>
        <w:t xml:space="preserve"> of </w:t>
      </w:r>
      <w:r w:rsidR="000B237D">
        <w:rPr>
          <w:rFonts w:ascii="Segoe UI" w:hAnsi="Segoe UI" w:cs="Segoe UI"/>
        </w:rPr>
        <w:t>about 1.3</w:t>
      </w:r>
      <w:r w:rsidR="00517C3C" w:rsidRPr="00E56B33">
        <w:rPr>
          <w:rFonts w:ascii="Segoe UI" w:hAnsi="Segoe UI" w:cs="Segoe UI"/>
        </w:rPr>
        <w:t xml:space="preserve"> percent in the CPI</w:t>
      </w:r>
      <w:r w:rsidR="002C37DA" w:rsidRPr="00E56B33">
        <w:rPr>
          <w:rStyle w:val="FootnoteReference"/>
          <w:rFonts w:ascii="Segoe UI" w:hAnsi="Segoe UI" w:cs="Segoe UI"/>
        </w:rPr>
        <w:footnoteReference w:id="2"/>
      </w:r>
      <w:r w:rsidR="000B237D">
        <w:rPr>
          <w:rFonts w:ascii="Segoe UI" w:hAnsi="Segoe UI" w:cs="Segoe UI"/>
        </w:rPr>
        <w:t xml:space="preserve"> also contributed to the increase in the value of CPI-indexed debt.  These increases were partly offset by the shekel’s appreciation of 5.9 percent against the US dollar, which reduced</w:t>
      </w:r>
      <w:r w:rsidR="00517C3C" w:rsidRPr="00E56B33">
        <w:rPr>
          <w:rFonts w:ascii="Segoe UI" w:hAnsi="Segoe UI" w:cs="Segoe UI"/>
        </w:rPr>
        <w:t xml:space="preserve"> the value of the debt denominated in </w:t>
      </w:r>
      <w:r w:rsidR="00B56143" w:rsidRPr="00E56B33">
        <w:rPr>
          <w:rFonts w:ascii="Segoe UI" w:hAnsi="Segoe UI" w:cs="Segoe UI"/>
        </w:rPr>
        <w:t xml:space="preserve">and indexed to </w:t>
      </w:r>
      <w:r w:rsidR="00517C3C" w:rsidRPr="00E56B33">
        <w:rPr>
          <w:rFonts w:ascii="Segoe UI" w:hAnsi="Segoe UI" w:cs="Segoe UI"/>
        </w:rPr>
        <w:t xml:space="preserve">foreign currency. </w:t>
      </w:r>
    </w:p>
    <w:p w14:paraId="083CB03B" w14:textId="35EBA5D2" w:rsidR="002F28CA" w:rsidRPr="00E56B33" w:rsidRDefault="00517C3C" w:rsidP="000B237D">
      <w:pPr>
        <w:pStyle w:val="ListParagraph"/>
        <w:numPr>
          <w:ilvl w:val="0"/>
          <w:numId w:val="1"/>
        </w:numPr>
        <w:tabs>
          <w:tab w:val="left" w:pos="2160"/>
        </w:tabs>
        <w:spacing w:after="0" w:line="240" w:lineRule="auto"/>
        <w:jc w:val="both"/>
        <w:rPr>
          <w:rFonts w:ascii="Segoe UI" w:hAnsi="Segoe UI" w:cs="Segoe UI"/>
        </w:rPr>
      </w:pPr>
      <w:r w:rsidRPr="00E56B33">
        <w:rPr>
          <w:rFonts w:ascii="Segoe UI" w:hAnsi="Segoe UI" w:cs="Segoe UI"/>
        </w:rPr>
        <w:t>Due to these impacts, the</w:t>
      </w:r>
      <w:r w:rsidR="00C47BA9" w:rsidRPr="00E56B33">
        <w:rPr>
          <w:rFonts w:ascii="Segoe UI" w:hAnsi="Segoe UI" w:cs="Segoe UI"/>
        </w:rPr>
        <w:t xml:space="preserve"> </w:t>
      </w:r>
      <w:r w:rsidR="00171333" w:rsidRPr="00E56B33">
        <w:rPr>
          <w:rFonts w:ascii="Segoe UI" w:hAnsi="Segoe UI" w:cs="Segoe UI"/>
        </w:rPr>
        <w:t>annual growth rat</w:t>
      </w:r>
      <w:r w:rsidR="00B71B10" w:rsidRPr="00E56B33">
        <w:rPr>
          <w:rFonts w:ascii="Segoe UI" w:hAnsi="Segoe UI" w:cs="Segoe UI"/>
        </w:rPr>
        <w:t xml:space="preserve">e of the balance </w:t>
      </w:r>
      <w:r w:rsidR="00DE2E2C" w:rsidRPr="00E56B33">
        <w:rPr>
          <w:rFonts w:ascii="Segoe UI" w:hAnsi="Segoe UI" w:cs="Segoe UI"/>
        </w:rPr>
        <w:t>of business</w:t>
      </w:r>
      <w:r w:rsidRPr="00E56B33">
        <w:rPr>
          <w:rFonts w:ascii="Segoe UI" w:hAnsi="Segoe UI" w:cs="Segoe UI"/>
        </w:rPr>
        <w:t xml:space="preserve"> sector debt </w:t>
      </w:r>
      <w:r w:rsidR="00DE2E2C" w:rsidRPr="00E56B33">
        <w:rPr>
          <w:rFonts w:ascii="Segoe UI" w:hAnsi="Segoe UI" w:cs="Segoe UI"/>
        </w:rPr>
        <w:t>continued</w:t>
      </w:r>
      <w:r w:rsidRPr="00E56B33">
        <w:rPr>
          <w:rFonts w:ascii="Segoe UI" w:hAnsi="Segoe UI" w:cs="Segoe UI"/>
        </w:rPr>
        <w:t xml:space="preserve"> to expand</w:t>
      </w:r>
      <w:r w:rsidR="000B3245" w:rsidRPr="00E56B33">
        <w:rPr>
          <w:rFonts w:ascii="Segoe UI" w:hAnsi="Segoe UI" w:cs="Segoe UI"/>
        </w:rPr>
        <w:t xml:space="preserve"> in the quarter,</w:t>
      </w:r>
      <w:r w:rsidRPr="00E56B33">
        <w:rPr>
          <w:rFonts w:ascii="Segoe UI" w:hAnsi="Segoe UI" w:cs="Segoe UI"/>
        </w:rPr>
        <w:t xml:space="preserve"> to</w:t>
      </w:r>
      <w:r w:rsidR="002C37DA" w:rsidRPr="00E56B33">
        <w:rPr>
          <w:rFonts w:ascii="Segoe UI" w:hAnsi="Segoe UI" w:cs="Segoe UI"/>
        </w:rPr>
        <w:t xml:space="preserve"> about</w:t>
      </w:r>
      <w:r w:rsidRPr="00E56B33">
        <w:rPr>
          <w:rFonts w:ascii="Segoe UI" w:hAnsi="Segoe UI" w:cs="Segoe UI"/>
        </w:rPr>
        <w:t xml:space="preserve"> 1</w:t>
      </w:r>
      <w:r w:rsidR="000B237D">
        <w:rPr>
          <w:rFonts w:ascii="Segoe UI" w:hAnsi="Segoe UI" w:cs="Segoe UI"/>
        </w:rPr>
        <w:t>3.8</w:t>
      </w:r>
      <w:r w:rsidRPr="00E56B33">
        <w:rPr>
          <w:rFonts w:ascii="Segoe UI" w:hAnsi="Segoe UI" w:cs="Segoe UI"/>
        </w:rPr>
        <w:t xml:space="preserve"> percent, a trend that began </w:t>
      </w:r>
      <w:r w:rsidR="00DE2E2C" w:rsidRPr="00E56B33">
        <w:rPr>
          <w:rFonts w:ascii="Segoe UI" w:hAnsi="Segoe UI" w:cs="Segoe UI"/>
        </w:rPr>
        <w:t>in the second half of 2024,</w:t>
      </w:r>
      <w:r w:rsidR="000B3245" w:rsidRPr="00E56B33">
        <w:rPr>
          <w:rFonts w:ascii="Segoe UI" w:hAnsi="Segoe UI" w:cs="Segoe UI"/>
        </w:rPr>
        <w:t xml:space="preserve"> </w:t>
      </w:r>
      <w:r w:rsidR="00DE2E2C" w:rsidRPr="00E56B33">
        <w:rPr>
          <w:rFonts w:ascii="Segoe UI" w:hAnsi="Segoe UI" w:cs="Segoe UI"/>
        </w:rPr>
        <w:t xml:space="preserve">after a slowdown in the two preceding years. This </w:t>
      </w:r>
      <w:r w:rsidR="000B237D">
        <w:rPr>
          <w:rFonts w:ascii="Segoe UI" w:hAnsi="Segoe UI" w:cs="Segoe UI"/>
        </w:rPr>
        <w:t xml:space="preserve">increase was mainly impacted by the continued expansion of the balance of </w:t>
      </w:r>
      <w:r w:rsidR="00DE2E2C" w:rsidRPr="00E56B33">
        <w:rPr>
          <w:rFonts w:ascii="Segoe UI" w:hAnsi="Segoe UI" w:cs="Segoe UI"/>
        </w:rPr>
        <w:t>bank debt</w:t>
      </w:r>
      <w:r w:rsidR="002C37DA" w:rsidRPr="00E56B33">
        <w:rPr>
          <w:rFonts w:ascii="Segoe UI" w:hAnsi="Segoe UI" w:cs="Segoe UI"/>
        </w:rPr>
        <w:t>,</w:t>
      </w:r>
      <w:r w:rsidR="00DE2E2C" w:rsidRPr="00E56B33">
        <w:rPr>
          <w:rFonts w:ascii="Segoe UI" w:hAnsi="Segoe UI" w:cs="Segoe UI"/>
        </w:rPr>
        <w:t xml:space="preserve"> the growth rate </w:t>
      </w:r>
      <w:r w:rsidR="000B237D">
        <w:rPr>
          <w:rFonts w:ascii="Segoe UI" w:hAnsi="Segoe UI" w:cs="Segoe UI"/>
        </w:rPr>
        <w:t>of which was about</w:t>
      </w:r>
      <w:r w:rsidR="000B3245" w:rsidRPr="00E56B33">
        <w:rPr>
          <w:rFonts w:ascii="Segoe UI" w:hAnsi="Segoe UI" w:cs="Segoe UI"/>
        </w:rPr>
        <w:t xml:space="preserve"> </w:t>
      </w:r>
      <w:r w:rsidR="000B237D">
        <w:rPr>
          <w:rFonts w:ascii="Segoe UI" w:hAnsi="Segoe UI" w:cs="Segoe UI"/>
        </w:rPr>
        <w:t>19</w:t>
      </w:r>
      <w:r w:rsidR="003617BB" w:rsidRPr="00E56B33">
        <w:rPr>
          <w:rFonts w:ascii="Segoe UI" w:hAnsi="Segoe UI" w:cs="Segoe UI"/>
        </w:rPr>
        <w:t xml:space="preserve"> </w:t>
      </w:r>
      <w:r w:rsidR="002F28CA" w:rsidRPr="00E56B33">
        <w:rPr>
          <w:rFonts w:ascii="Segoe UI" w:hAnsi="Segoe UI" w:cs="Segoe UI"/>
        </w:rPr>
        <w:t>percent</w:t>
      </w:r>
      <w:r w:rsidR="000B237D">
        <w:rPr>
          <w:rFonts w:ascii="Segoe UI" w:hAnsi="Segoe UI" w:cs="Segoe UI"/>
        </w:rPr>
        <w:t>,</w:t>
      </w:r>
      <w:r w:rsidR="00DE2E2C" w:rsidRPr="00E56B33">
        <w:rPr>
          <w:rFonts w:ascii="Segoe UI" w:hAnsi="Segoe UI" w:cs="Segoe UI"/>
        </w:rPr>
        <w:t xml:space="preserve"> </w:t>
      </w:r>
      <w:r w:rsidR="000B237D">
        <w:rPr>
          <w:rFonts w:ascii="Segoe UI" w:hAnsi="Segoe UI" w:cs="Segoe UI"/>
        </w:rPr>
        <w:t>while t</w:t>
      </w:r>
      <w:r w:rsidR="00DE2E2C" w:rsidRPr="00E56B33">
        <w:rPr>
          <w:rFonts w:ascii="Segoe UI" w:hAnsi="Segoe UI" w:cs="Segoe UI"/>
        </w:rPr>
        <w:t xml:space="preserve">he annual growth rate in the nonbank debt balance </w:t>
      </w:r>
      <w:r w:rsidR="000B237D">
        <w:rPr>
          <w:rFonts w:ascii="Segoe UI" w:hAnsi="Segoe UI" w:cs="Segoe UI"/>
        </w:rPr>
        <w:t>rose to</w:t>
      </w:r>
      <w:r w:rsidR="00DE2E2C" w:rsidRPr="00E56B33">
        <w:rPr>
          <w:rFonts w:ascii="Segoe UI" w:hAnsi="Segoe UI" w:cs="Segoe UI"/>
        </w:rPr>
        <w:t xml:space="preserve"> </w:t>
      </w:r>
      <w:r w:rsidR="002F28CA" w:rsidRPr="00E56B33">
        <w:rPr>
          <w:rFonts w:ascii="Segoe UI" w:hAnsi="Segoe UI" w:cs="Segoe UI"/>
        </w:rPr>
        <w:t>about</w:t>
      </w:r>
      <w:r w:rsidR="00DE2E2C" w:rsidRPr="00E56B33">
        <w:rPr>
          <w:rFonts w:ascii="Segoe UI" w:hAnsi="Segoe UI" w:cs="Segoe UI"/>
        </w:rPr>
        <w:t xml:space="preserve"> </w:t>
      </w:r>
      <w:r w:rsidR="000B237D">
        <w:rPr>
          <w:rFonts w:ascii="Segoe UI" w:hAnsi="Segoe UI" w:cs="Segoe UI"/>
        </w:rPr>
        <w:t>6.6</w:t>
      </w:r>
      <w:r w:rsidR="00DE2E2C" w:rsidRPr="00E56B33">
        <w:rPr>
          <w:rFonts w:ascii="Segoe UI" w:hAnsi="Segoe UI" w:cs="Segoe UI"/>
        </w:rPr>
        <w:t xml:space="preserve"> percent</w:t>
      </w:r>
      <w:r w:rsidR="002F28CA" w:rsidRPr="00E56B33">
        <w:rPr>
          <w:rFonts w:ascii="Segoe UI" w:hAnsi="Segoe UI" w:cs="Segoe UI"/>
        </w:rPr>
        <w:t>,</w:t>
      </w:r>
      <w:r w:rsidR="00DE2E2C" w:rsidRPr="00E56B33">
        <w:rPr>
          <w:rFonts w:ascii="Segoe UI" w:hAnsi="Segoe UI" w:cs="Segoe UI"/>
        </w:rPr>
        <w:t xml:space="preserve"> </w:t>
      </w:r>
      <w:r w:rsidR="002C37DA" w:rsidRPr="00E56B33">
        <w:rPr>
          <w:rFonts w:ascii="Segoe UI" w:hAnsi="Segoe UI" w:cs="Segoe UI"/>
        </w:rPr>
        <w:t xml:space="preserve">and remains </w:t>
      </w:r>
      <w:r w:rsidR="00B8482F" w:rsidRPr="00E56B33">
        <w:rPr>
          <w:rFonts w:ascii="Segoe UI" w:hAnsi="Segoe UI" w:cs="Segoe UI"/>
        </w:rPr>
        <w:t>lower than th</w:t>
      </w:r>
      <w:r w:rsidR="002F28CA" w:rsidRPr="00E56B33">
        <w:rPr>
          <w:rFonts w:ascii="Segoe UI" w:hAnsi="Segoe UI" w:cs="Segoe UI"/>
        </w:rPr>
        <w:t>e</w:t>
      </w:r>
      <w:r w:rsidR="00B8482F" w:rsidRPr="00E56B33">
        <w:rPr>
          <w:rFonts w:ascii="Segoe UI" w:hAnsi="Segoe UI" w:cs="Segoe UI"/>
        </w:rPr>
        <w:t xml:space="preserve"> </w:t>
      </w:r>
      <w:r w:rsidR="002C37DA" w:rsidRPr="00E56B33">
        <w:rPr>
          <w:rFonts w:ascii="Segoe UI" w:hAnsi="Segoe UI" w:cs="Segoe UI"/>
        </w:rPr>
        <w:t>annual</w:t>
      </w:r>
      <w:r w:rsidR="00B8482F" w:rsidRPr="00E56B33">
        <w:rPr>
          <w:rFonts w:ascii="Segoe UI" w:hAnsi="Segoe UI" w:cs="Segoe UI"/>
        </w:rPr>
        <w:t xml:space="preserve"> growth</w:t>
      </w:r>
      <w:r w:rsidR="002C37DA" w:rsidRPr="00E56B33">
        <w:rPr>
          <w:rFonts w:ascii="Segoe UI" w:hAnsi="Segoe UI" w:cs="Segoe UI"/>
        </w:rPr>
        <w:t xml:space="preserve"> rate of bank debt</w:t>
      </w:r>
      <w:r w:rsidR="002F28CA" w:rsidRPr="00E56B33">
        <w:rPr>
          <w:rFonts w:ascii="Segoe UI" w:hAnsi="Segoe UI" w:cs="Segoe UI"/>
        </w:rPr>
        <w:t xml:space="preserve"> (Figures 1, 2). </w:t>
      </w:r>
    </w:p>
    <w:p w14:paraId="729EF3DE" w14:textId="1259004C" w:rsidR="009C0B2C" w:rsidRPr="00E56B33" w:rsidRDefault="00F1230D" w:rsidP="00591023">
      <w:pPr>
        <w:pStyle w:val="ListParagraph"/>
        <w:numPr>
          <w:ilvl w:val="0"/>
          <w:numId w:val="1"/>
        </w:numPr>
        <w:spacing w:after="0" w:line="240" w:lineRule="auto"/>
        <w:jc w:val="both"/>
        <w:rPr>
          <w:rFonts w:ascii="Segoe UI" w:hAnsi="Segoe UI" w:cs="Segoe UI"/>
        </w:rPr>
      </w:pPr>
      <w:r w:rsidRPr="00E56B33">
        <w:rPr>
          <w:rFonts w:ascii="Segoe UI" w:hAnsi="Segoe UI" w:cs="Segoe UI"/>
        </w:rPr>
        <w:t>I</w:t>
      </w:r>
      <w:r w:rsidR="00BD6B80" w:rsidRPr="00E56B33">
        <w:rPr>
          <w:rFonts w:ascii="Segoe UI" w:hAnsi="Segoe UI" w:cs="Segoe UI"/>
        </w:rPr>
        <w:t xml:space="preserve">n the </w:t>
      </w:r>
      <w:r w:rsidR="000B237D">
        <w:rPr>
          <w:rFonts w:ascii="Segoe UI" w:hAnsi="Segoe UI" w:cs="Segoe UI"/>
        </w:rPr>
        <w:t>second</w:t>
      </w:r>
      <w:r w:rsidR="007000FF" w:rsidRPr="00E56B33">
        <w:rPr>
          <w:rFonts w:ascii="Segoe UI" w:hAnsi="Segoe UI" w:cs="Segoe UI"/>
        </w:rPr>
        <w:t xml:space="preserve"> quarter</w:t>
      </w:r>
      <w:r w:rsidR="00294C24" w:rsidRPr="00E56B33">
        <w:rPr>
          <w:rFonts w:ascii="Segoe UI" w:hAnsi="Segoe UI" w:cs="Segoe UI"/>
        </w:rPr>
        <w:t xml:space="preserve"> of the year</w:t>
      </w:r>
      <w:r w:rsidR="00BD6B80" w:rsidRPr="00E56B33">
        <w:rPr>
          <w:rFonts w:ascii="Segoe UI" w:hAnsi="Segoe UI" w:cs="Segoe UI"/>
        </w:rPr>
        <w:t xml:space="preserve">, the </w:t>
      </w:r>
      <w:r w:rsidR="00BD6B80" w:rsidRPr="00E56B33">
        <w:rPr>
          <w:rFonts w:ascii="Segoe UI" w:hAnsi="Segoe UI" w:cs="Segoe UI"/>
          <w:b/>
          <w:bCs/>
        </w:rPr>
        <w:t>business sector</w:t>
      </w:r>
      <w:r w:rsidR="00BD6B80" w:rsidRPr="00E56B33">
        <w:rPr>
          <w:rFonts w:ascii="Segoe UI" w:hAnsi="Segoe UI" w:cs="Segoe UI"/>
        </w:rPr>
        <w:t xml:space="preserve"> </w:t>
      </w:r>
      <w:r w:rsidR="00BD6B80" w:rsidRPr="00E56B33">
        <w:rPr>
          <w:rFonts w:ascii="Segoe UI" w:hAnsi="Segoe UI" w:cs="Segoe UI"/>
          <w:b/>
          <w:bCs/>
        </w:rPr>
        <w:t>issued</w:t>
      </w:r>
      <w:r w:rsidR="00BD6B80" w:rsidRPr="00E56B33">
        <w:rPr>
          <w:rFonts w:ascii="Segoe UI" w:hAnsi="Segoe UI" w:cs="Segoe UI"/>
        </w:rPr>
        <w:t xml:space="preserve"> about NIS </w:t>
      </w:r>
      <w:r w:rsidR="000B237D">
        <w:rPr>
          <w:rFonts w:ascii="Segoe UI" w:hAnsi="Segoe UI" w:cs="Segoe UI"/>
        </w:rPr>
        <w:t>33</w:t>
      </w:r>
      <w:r w:rsidR="00F64B68" w:rsidRPr="00E56B33">
        <w:rPr>
          <w:rFonts w:ascii="Segoe UI" w:hAnsi="Segoe UI" w:cs="Segoe UI"/>
        </w:rPr>
        <w:t xml:space="preserve"> </w:t>
      </w:r>
      <w:r w:rsidR="00BD6B80" w:rsidRPr="00E56B33">
        <w:rPr>
          <w:rFonts w:ascii="Segoe UI" w:hAnsi="Segoe UI" w:cs="Segoe UI"/>
        </w:rPr>
        <w:t xml:space="preserve">billion in bonds, </w:t>
      </w:r>
      <w:r w:rsidR="000B237D">
        <w:rPr>
          <w:rFonts w:ascii="Segoe UI" w:hAnsi="Segoe UI" w:cs="Segoe UI"/>
        </w:rPr>
        <w:t>half of which were issued in June. This volume is higher</w:t>
      </w:r>
      <w:r w:rsidR="009C0B2C" w:rsidRPr="00E56B33">
        <w:rPr>
          <w:rFonts w:ascii="Segoe UI" w:hAnsi="Segoe UI" w:cs="Segoe UI"/>
        </w:rPr>
        <w:t xml:space="preserve"> than the average </w:t>
      </w:r>
      <w:r w:rsidR="00BC5984" w:rsidRPr="00E56B33">
        <w:rPr>
          <w:rFonts w:ascii="Segoe UI" w:hAnsi="Segoe UI" w:cs="Segoe UI"/>
        </w:rPr>
        <w:t>quarterly</w:t>
      </w:r>
      <w:r w:rsidR="009C0B2C" w:rsidRPr="00E56B33">
        <w:rPr>
          <w:rFonts w:ascii="Segoe UI" w:hAnsi="Segoe UI" w:cs="Segoe UI"/>
        </w:rPr>
        <w:t xml:space="preserve"> </w:t>
      </w:r>
      <w:r w:rsidR="003B60D8" w:rsidRPr="00E56B33">
        <w:rPr>
          <w:rFonts w:ascii="Segoe UI" w:hAnsi="Segoe UI" w:cs="Segoe UI"/>
        </w:rPr>
        <w:t xml:space="preserve">funds </w:t>
      </w:r>
      <w:r w:rsidR="00BC5984" w:rsidRPr="00E56B33">
        <w:rPr>
          <w:rFonts w:ascii="Segoe UI" w:hAnsi="Segoe UI" w:cs="Segoe UI"/>
        </w:rPr>
        <w:t>raised in</w:t>
      </w:r>
      <w:r w:rsidR="009C0B2C" w:rsidRPr="00E56B33">
        <w:rPr>
          <w:rFonts w:ascii="Segoe UI" w:hAnsi="Segoe UI" w:cs="Segoe UI"/>
        </w:rPr>
        <w:t xml:space="preserve"> the </w:t>
      </w:r>
      <w:r w:rsidR="003B60D8" w:rsidRPr="00E56B33">
        <w:rPr>
          <w:rFonts w:ascii="Segoe UI" w:hAnsi="Segoe UI" w:cs="Segoe UI"/>
        </w:rPr>
        <w:t>p</w:t>
      </w:r>
      <w:r w:rsidR="009C0B2C" w:rsidRPr="00E56B33">
        <w:rPr>
          <w:rFonts w:ascii="Segoe UI" w:hAnsi="Segoe UI" w:cs="Segoe UI"/>
        </w:rPr>
        <w:t>ast four quarters (about NIS 2</w:t>
      </w:r>
      <w:r w:rsidR="000B237D">
        <w:rPr>
          <w:rFonts w:ascii="Segoe UI" w:hAnsi="Segoe UI" w:cs="Segoe UI"/>
        </w:rPr>
        <w:t>3</w:t>
      </w:r>
      <w:r w:rsidR="009C0B2C" w:rsidRPr="00E56B33">
        <w:rPr>
          <w:rFonts w:ascii="Segoe UI" w:hAnsi="Segoe UI" w:cs="Segoe UI"/>
        </w:rPr>
        <w:t xml:space="preserve"> billion).</w:t>
      </w:r>
      <w:r w:rsidR="003B60D8" w:rsidRPr="00E56B33">
        <w:rPr>
          <w:rFonts w:ascii="Segoe UI" w:hAnsi="Segoe UI" w:cs="Segoe UI"/>
        </w:rPr>
        <w:t xml:space="preserve"> About </w:t>
      </w:r>
      <w:r w:rsidR="002C37DA" w:rsidRPr="00E56B33">
        <w:rPr>
          <w:rFonts w:ascii="Segoe UI" w:hAnsi="Segoe UI" w:cs="Segoe UI"/>
        </w:rPr>
        <w:t>5</w:t>
      </w:r>
      <w:r w:rsidR="000B237D">
        <w:rPr>
          <w:rFonts w:ascii="Segoe UI" w:hAnsi="Segoe UI" w:cs="Segoe UI"/>
        </w:rPr>
        <w:t>2</w:t>
      </w:r>
      <w:r w:rsidR="003B60D8" w:rsidRPr="00E56B33">
        <w:rPr>
          <w:rFonts w:ascii="Segoe UI" w:hAnsi="Segoe UI" w:cs="Segoe UI"/>
        </w:rPr>
        <w:t xml:space="preserve"> </w:t>
      </w:r>
      <w:r w:rsidR="00BC5984" w:rsidRPr="00E56B33">
        <w:rPr>
          <w:rFonts w:ascii="Segoe UI" w:hAnsi="Segoe UI" w:cs="Segoe UI"/>
        </w:rPr>
        <w:t>percent</w:t>
      </w:r>
      <w:r w:rsidR="003B60D8" w:rsidRPr="00E56B33">
        <w:rPr>
          <w:rFonts w:ascii="Segoe UI" w:hAnsi="Segoe UI" w:cs="Segoe UI"/>
        </w:rPr>
        <w:t xml:space="preserve"> of the </w:t>
      </w:r>
      <w:r w:rsidR="00C21B2C" w:rsidRPr="00E56B33">
        <w:rPr>
          <w:rFonts w:ascii="Segoe UI" w:hAnsi="Segoe UI" w:cs="Segoe UI"/>
        </w:rPr>
        <w:t>issues</w:t>
      </w:r>
      <w:r w:rsidR="003B60D8" w:rsidRPr="00E56B33">
        <w:rPr>
          <w:rFonts w:ascii="Segoe UI" w:hAnsi="Segoe UI" w:cs="Segoe UI"/>
        </w:rPr>
        <w:t xml:space="preserve"> in the </w:t>
      </w:r>
      <w:r w:rsidR="00BC5984" w:rsidRPr="00E56B33">
        <w:rPr>
          <w:rFonts w:ascii="Segoe UI" w:hAnsi="Segoe UI" w:cs="Segoe UI"/>
        </w:rPr>
        <w:t>quarter</w:t>
      </w:r>
      <w:r w:rsidR="003B60D8" w:rsidRPr="00E56B33">
        <w:rPr>
          <w:rFonts w:ascii="Segoe UI" w:hAnsi="Segoe UI" w:cs="Segoe UI"/>
        </w:rPr>
        <w:t xml:space="preserve"> </w:t>
      </w:r>
      <w:r w:rsidR="00BC5984" w:rsidRPr="00E56B33">
        <w:rPr>
          <w:rFonts w:ascii="Segoe UI" w:hAnsi="Segoe UI" w:cs="Segoe UI"/>
        </w:rPr>
        <w:t xml:space="preserve">were by </w:t>
      </w:r>
      <w:r w:rsidR="00C21B2C" w:rsidRPr="00E56B33">
        <w:rPr>
          <w:rFonts w:ascii="Segoe UI" w:hAnsi="Segoe UI" w:cs="Segoe UI"/>
        </w:rPr>
        <w:t>companies</w:t>
      </w:r>
      <w:r w:rsidR="003B60D8" w:rsidRPr="00E56B33">
        <w:rPr>
          <w:rFonts w:ascii="Segoe UI" w:hAnsi="Segoe UI" w:cs="Segoe UI"/>
        </w:rPr>
        <w:t xml:space="preserve"> in the real </w:t>
      </w:r>
      <w:r w:rsidR="00C21B2C" w:rsidRPr="00E56B33">
        <w:rPr>
          <w:rFonts w:ascii="Segoe UI" w:hAnsi="Segoe UI" w:cs="Segoe UI"/>
        </w:rPr>
        <w:t>estate</w:t>
      </w:r>
      <w:r w:rsidR="003B60D8" w:rsidRPr="00E56B33">
        <w:rPr>
          <w:rFonts w:ascii="Segoe UI" w:hAnsi="Segoe UI" w:cs="Segoe UI"/>
        </w:rPr>
        <w:t xml:space="preserve"> and construction industry, </w:t>
      </w:r>
      <w:r w:rsidR="00D67DAD" w:rsidRPr="00E56B33">
        <w:rPr>
          <w:rFonts w:ascii="Segoe UI" w:hAnsi="Segoe UI" w:cs="Segoe UI"/>
        </w:rPr>
        <w:t xml:space="preserve">the </w:t>
      </w:r>
      <w:r w:rsidR="003B60D8" w:rsidRPr="00E56B33">
        <w:rPr>
          <w:rFonts w:ascii="Segoe UI" w:hAnsi="Segoe UI" w:cs="Segoe UI"/>
        </w:rPr>
        <w:t xml:space="preserve">industry that continues to lead in </w:t>
      </w:r>
      <w:r w:rsidR="00FD5EA6" w:rsidRPr="00E56B33">
        <w:rPr>
          <w:rFonts w:ascii="Segoe UI" w:hAnsi="Segoe UI" w:cs="Segoe UI"/>
        </w:rPr>
        <w:t>funds</w:t>
      </w:r>
      <w:r w:rsidR="00D67DAD" w:rsidRPr="00E56B33">
        <w:rPr>
          <w:rFonts w:ascii="Segoe UI" w:hAnsi="Segoe UI" w:cs="Segoe UI"/>
        </w:rPr>
        <w:t xml:space="preserve"> raised</w:t>
      </w:r>
      <w:r w:rsidR="00BC5984" w:rsidRPr="00E56B33">
        <w:rPr>
          <w:rFonts w:ascii="Segoe UI" w:hAnsi="Segoe UI" w:cs="Segoe UI"/>
        </w:rPr>
        <w:t>, as in previo</w:t>
      </w:r>
      <w:r w:rsidR="003B60D8" w:rsidRPr="00E56B33">
        <w:rPr>
          <w:rFonts w:ascii="Segoe UI" w:hAnsi="Segoe UI" w:cs="Segoe UI"/>
        </w:rPr>
        <w:t>u</w:t>
      </w:r>
      <w:r w:rsidR="00BC5984" w:rsidRPr="00E56B33">
        <w:rPr>
          <w:rFonts w:ascii="Segoe UI" w:hAnsi="Segoe UI" w:cs="Segoe UI"/>
        </w:rPr>
        <w:t>s years (</w:t>
      </w:r>
      <w:r w:rsidR="003B60D8" w:rsidRPr="00E56B33">
        <w:rPr>
          <w:rFonts w:ascii="Segoe UI" w:hAnsi="Segoe UI" w:cs="Segoe UI"/>
        </w:rPr>
        <w:t>Figure 3).</w:t>
      </w:r>
    </w:p>
    <w:p w14:paraId="5ACDB33D" w14:textId="0E44B4A6" w:rsidR="00901AB2" w:rsidRPr="00E56B33" w:rsidRDefault="00BD6B80" w:rsidP="00591023">
      <w:pPr>
        <w:pStyle w:val="ListParagraph"/>
        <w:numPr>
          <w:ilvl w:val="0"/>
          <w:numId w:val="1"/>
        </w:numPr>
        <w:spacing w:after="0" w:line="240" w:lineRule="auto"/>
        <w:jc w:val="both"/>
        <w:rPr>
          <w:rFonts w:ascii="Segoe UI" w:hAnsi="Segoe UI" w:cs="Segoe UI"/>
          <w:b/>
          <w:bCs/>
          <w:u w:val="single"/>
        </w:rPr>
      </w:pPr>
      <w:r w:rsidRPr="00E56B33">
        <w:rPr>
          <w:rFonts w:ascii="Segoe UI" w:hAnsi="Segoe UI" w:cs="Segoe UI"/>
        </w:rPr>
        <w:t xml:space="preserve">In </w:t>
      </w:r>
      <w:r w:rsidR="00683C09" w:rsidRPr="00E56B33">
        <w:rPr>
          <w:rFonts w:ascii="Segoe UI" w:hAnsi="Segoe UI" w:cs="Segoe UI"/>
        </w:rPr>
        <w:t xml:space="preserve">the </w:t>
      </w:r>
      <w:r w:rsidR="00591023">
        <w:rPr>
          <w:rFonts w:ascii="Segoe UI" w:hAnsi="Segoe UI" w:cs="Segoe UI"/>
        </w:rPr>
        <w:t>second</w:t>
      </w:r>
      <w:r w:rsidR="007000FF" w:rsidRPr="00E56B33">
        <w:rPr>
          <w:rFonts w:ascii="Segoe UI" w:hAnsi="Segoe UI" w:cs="Segoe UI"/>
        </w:rPr>
        <w:t xml:space="preserve"> quarter of 2026</w:t>
      </w:r>
      <w:r w:rsidR="00EC7346" w:rsidRPr="00E56B33">
        <w:rPr>
          <w:rFonts w:ascii="Segoe UI" w:hAnsi="Segoe UI" w:cs="Segoe UI"/>
        </w:rPr>
        <w:t xml:space="preserve">, </w:t>
      </w:r>
      <w:r w:rsidRPr="00E56B33">
        <w:rPr>
          <w:rFonts w:ascii="Segoe UI" w:hAnsi="Segoe UI" w:cs="Segoe UI"/>
          <w:b/>
          <w:bCs/>
        </w:rPr>
        <w:t>the spread</w:t>
      </w:r>
      <w:r w:rsidR="00E5340E" w:rsidRPr="00E56B33">
        <w:rPr>
          <w:rStyle w:val="FootnoteReference"/>
          <w:rFonts w:ascii="Segoe UI" w:hAnsi="Segoe UI" w:cs="Segoe UI"/>
          <w:b/>
          <w:bCs/>
        </w:rPr>
        <w:footnoteReference w:id="3"/>
      </w:r>
      <w:r w:rsidRPr="00E56B33">
        <w:rPr>
          <w:rFonts w:ascii="Segoe UI" w:hAnsi="Segoe UI" w:cs="Segoe UI"/>
          <w:b/>
          <w:bCs/>
        </w:rPr>
        <w:t xml:space="preserve"> between yields on </w:t>
      </w:r>
      <w:r w:rsidR="00B307F1" w:rsidRPr="00E56B33">
        <w:rPr>
          <w:rFonts w:ascii="Segoe UI" w:hAnsi="Segoe UI" w:cs="Segoe UI"/>
          <w:b/>
          <w:bCs/>
        </w:rPr>
        <w:t>c</w:t>
      </w:r>
      <w:r w:rsidRPr="00E56B33">
        <w:rPr>
          <w:rFonts w:ascii="Segoe UI" w:hAnsi="Segoe UI" w:cs="Segoe UI"/>
          <w:b/>
          <w:bCs/>
        </w:rPr>
        <w:t>orporate bonds</w:t>
      </w:r>
      <w:r w:rsidR="00AE7CEE" w:rsidRPr="00E56B33">
        <w:rPr>
          <w:rFonts w:ascii="Segoe UI" w:hAnsi="Segoe UI" w:cs="Segoe UI"/>
          <w:b/>
          <w:bCs/>
        </w:rPr>
        <w:t xml:space="preserve"> that are</w:t>
      </w:r>
      <w:r w:rsidRPr="00E56B33">
        <w:rPr>
          <w:rFonts w:ascii="Segoe UI" w:hAnsi="Segoe UI" w:cs="Segoe UI"/>
          <w:b/>
          <w:bCs/>
        </w:rPr>
        <w:t xml:space="preserve"> included in the Tel Bond 60 </w:t>
      </w:r>
      <w:r w:rsidR="0034192F" w:rsidRPr="00E56B33">
        <w:rPr>
          <w:rFonts w:ascii="Segoe UI" w:hAnsi="Segoe UI" w:cs="Segoe UI"/>
          <w:b/>
          <w:bCs/>
        </w:rPr>
        <w:t>I</w:t>
      </w:r>
      <w:r w:rsidRPr="00E56B33">
        <w:rPr>
          <w:rFonts w:ascii="Segoe UI" w:hAnsi="Segoe UI" w:cs="Segoe UI"/>
          <w:b/>
          <w:bCs/>
        </w:rPr>
        <w:t>ndex and the yield</w:t>
      </w:r>
      <w:r w:rsidR="00B307F1" w:rsidRPr="00E56B33">
        <w:rPr>
          <w:rFonts w:ascii="Segoe UI" w:hAnsi="Segoe UI" w:cs="Segoe UI"/>
          <w:b/>
          <w:bCs/>
        </w:rPr>
        <w:t>s</w:t>
      </w:r>
      <w:r w:rsidRPr="00E56B33">
        <w:rPr>
          <w:rFonts w:ascii="Segoe UI" w:hAnsi="Segoe UI" w:cs="Segoe UI"/>
          <w:b/>
          <w:bCs/>
        </w:rPr>
        <w:t xml:space="preserve"> on CPI-indexed government bonds</w:t>
      </w:r>
      <w:r w:rsidRPr="00E56B33">
        <w:rPr>
          <w:rFonts w:ascii="Segoe UI" w:hAnsi="Segoe UI" w:cs="Segoe UI"/>
        </w:rPr>
        <w:t xml:space="preserve"> </w:t>
      </w:r>
      <w:r w:rsidR="003B60D8" w:rsidRPr="00E56B33">
        <w:rPr>
          <w:rFonts w:ascii="Segoe UI" w:hAnsi="Segoe UI" w:cs="Segoe UI"/>
        </w:rPr>
        <w:t>cont</w:t>
      </w:r>
      <w:r w:rsidR="002C37DA" w:rsidRPr="00E56B33">
        <w:rPr>
          <w:rFonts w:ascii="Segoe UI" w:hAnsi="Segoe UI" w:cs="Segoe UI"/>
        </w:rPr>
        <w:t>inued to narrow</w:t>
      </w:r>
      <w:r w:rsidR="00BD1872" w:rsidRPr="00E56B33">
        <w:rPr>
          <w:rFonts w:ascii="Segoe UI" w:hAnsi="Segoe UI" w:cs="Segoe UI"/>
        </w:rPr>
        <w:t>, t</w:t>
      </w:r>
      <w:r w:rsidR="00683C09" w:rsidRPr="00E56B33">
        <w:rPr>
          <w:rFonts w:ascii="Segoe UI" w:hAnsi="Segoe UI" w:cs="Segoe UI"/>
        </w:rPr>
        <w:t xml:space="preserve">o </w:t>
      </w:r>
      <w:r w:rsidR="00D8435D" w:rsidRPr="00E56B33">
        <w:rPr>
          <w:rFonts w:ascii="Segoe UI" w:hAnsi="Segoe UI" w:cs="Segoe UI"/>
        </w:rPr>
        <w:t xml:space="preserve">about </w:t>
      </w:r>
      <w:r w:rsidR="00BD1872" w:rsidRPr="00E56B33">
        <w:rPr>
          <w:rFonts w:ascii="Segoe UI" w:hAnsi="Segoe UI" w:cs="Segoe UI"/>
        </w:rPr>
        <w:t>0.</w:t>
      </w:r>
      <w:r w:rsidR="00591023">
        <w:rPr>
          <w:rFonts w:ascii="Segoe UI" w:hAnsi="Segoe UI" w:cs="Segoe UI"/>
        </w:rPr>
        <w:t>76</w:t>
      </w:r>
      <w:r w:rsidR="00AE5FB9" w:rsidRPr="00E56B33">
        <w:rPr>
          <w:rFonts w:ascii="Segoe UI" w:hAnsi="Segoe UI" w:cs="Segoe UI"/>
        </w:rPr>
        <w:t xml:space="preserve"> </w:t>
      </w:r>
      <w:r w:rsidR="00683C09" w:rsidRPr="00E56B33">
        <w:rPr>
          <w:rFonts w:ascii="Segoe UI" w:hAnsi="Segoe UI" w:cs="Segoe UI"/>
        </w:rPr>
        <w:t>percentage points</w:t>
      </w:r>
      <w:r w:rsidR="00C47BA9" w:rsidRPr="00E56B33">
        <w:rPr>
          <w:rFonts w:ascii="Segoe UI" w:hAnsi="Segoe UI" w:cs="Segoe UI"/>
        </w:rPr>
        <w:t>.</w:t>
      </w:r>
      <w:r w:rsidR="00DC48C0" w:rsidRPr="00E56B33">
        <w:rPr>
          <w:rFonts w:ascii="Segoe UI" w:hAnsi="Segoe UI" w:cs="Segoe UI"/>
        </w:rPr>
        <w:t xml:space="preserve"> </w:t>
      </w:r>
      <w:r w:rsidR="00901AB2" w:rsidRPr="00E56B33">
        <w:rPr>
          <w:rFonts w:ascii="Segoe UI" w:hAnsi="Segoe UI" w:cs="Segoe UI"/>
        </w:rPr>
        <w:t xml:space="preserve">This contraction </w:t>
      </w:r>
      <w:r w:rsidR="00BC5984" w:rsidRPr="00E56B33">
        <w:rPr>
          <w:rFonts w:ascii="Segoe UI" w:hAnsi="Segoe UI" w:cs="Segoe UI"/>
        </w:rPr>
        <w:t xml:space="preserve">continued </w:t>
      </w:r>
      <w:r w:rsidR="00901AB2" w:rsidRPr="00E56B33">
        <w:rPr>
          <w:rFonts w:ascii="Segoe UI" w:hAnsi="Segoe UI" w:cs="Segoe UI"/>
        </w:rPr>
        <w:t>in</w:t>
      </w:r>
      <w:r w:rsidR="002C37DA" w:rsidRPr="00E56B33">
        <w:rPr>
          <w:rFonts w:ascii="Segoe UI" w:hAnsi="Segoe UI" w:cs="Segoe UI"/>
        </w:rPr>
        <w:t xml:space="preserve">to </w:t>
      </w:r>
      <w:r w:rsidR="00591023">
        <w:rPr>
          <w:rFonts w:ascii="Segoe UI" w:hAnsi="Segoe UI" w:cs="Segoe UI"/>
        </w:rPr>
        <w:t>July</w:t>
      </w:r>
      <w:r w:rsidR="002C37DA" w:rsidRPr="00E56B33">
        <w:rPr>
          <w:rFonts w:ascii="Segoe UI" w:hAnsi="Segoe UI" w:cs="Segoe UI"/>
        </w:rPr>
        <w:t>–</w:t>
      </w:r>
      <w:r w:rsidR="00591023">
        <w:rPr>
          <w:rFonts w:ascii="Segoe UI" w:hAnsi="Segoe UI" w:cs="Segoe UI"/>
        </w:rPr>
        <w:t>August</w:t>
      </w:r>
      <w:r w:rsidR="002C37DA" w:rsidRPr="00E56B33">
        <w:rPr>
          <w:rFonts w:ascii="Segoe UI" w:hAnsi="Segoe UI" w:cs="Segoe UI"/>
        </w:rPr>
        <w:t>,</w:t>
      </w:r>
      <w:r w:rsidR="00901AB2" w:rsidRPr="00E56B33">
        <w:rPr>
          <w:rFonts w:ascii="Segoe UI" w:hAnsi="Segoe UI" w:cs="Segoe UI"/>
        </w:rPr>
        <w:t xml:space="preserve"> to </w:t>
      </w:r>
      <w:r w:rsidR="00591023">
        <w:rPr>
          <w:rFonts w:ascii="Segoe UI" w:hAnsi="Segoe UI" w:cs="Segoe UI"/>
        </w:rPr>
        <w:t xml:space="preserve">about </w:t>
      </w:r>
      <w:r w:rsidR="00901AB2" w:rsidRPr="00E56B33">
        <w:rPr>
          <w:rFonts w:ascii="Segoe UI" w:hAnsi="Segoe UI" w:cs="Segoe UI"/>
        </w:rPr>
        <w:t>0.</w:t>
      </w:r>
      <w:r w:rsidR="002C37DA" w:rsidRPr="00E56B33">
        <w:rPr>
          <w:rFonts w:ascii="Segoe UI" w:hAnsi="Segoe UI" w:cs="Segoe UI"/>
        </w:rPr>
        <w:t>7</w:t>
      </w:r>
      <w:r w:rsidR="00901AB2" w:rsidRPr="00E56B33">
        <w:rPr>
          <w:rFonts w:ascii="Segoe UI" w:hAnsi="Segoe UI" w:cs="Segoe UI"/>
        </w:rPr>
        <w:t xml:space="preserve"> percentage points (Figure 4)</w:t>
      </w:r>
      <w:r w:rsidR="002C37DA" w:rsidRPr="00E56B33">
        <w:rPr>
          <w:rFonts w:ascii="Segoe UI" w:hAnsi="Segoe UI" w:cs="Segoe UI"/>
        </w:rPr>
        <w:t>.</w:t>
      </w:r>
    </w:p>
    <w:p w14:paraId="682CBEA8" w14:textId="77777777" w:rsidR="00901AB2" w:rsidRPr="00E56B33" w:rsidRDefault="00901AB2" w:rsidP="00901AB2">
      <w:pPr>
        <w:spacing w:after="0" w:line="240" w:lineRule="auto"/>
        <w:jc w:val="both"/>
        <w:rPr>
          <w:rFonts w:ascii="Segoe UI" w:hAnsi="Segoe UI" w:cs="Segoe UI"/>
          <w:b/>
          <w:bCs/>
          <w:u w:val="single"/>
        </w:rPr>
      </w:pPr>
    </w:p>
    <w:p w14:paraId="0938FF2B" w14:textId="658A4264" w:rsidR="008074CE" w:rsidRDefault="008074CE" w:rsidP="00901AB2">
      <w:pPr>
        <w:pStyle w:val="ListParagraph"/>
        <w:spacing w:after="0" w:line="240" w:lineRule="auto"/>
        <w:ind w:left="360"/>
        <w:jc w:val="both"/>
        <w:rPr>
          <w:rFonts w:ascii="Segoe UI" w:hAnsi="Segoe UI" w:cs="Segoe UI"/>
          <w:b/>
          <w:bCs/>
          <w:u w:val="single"/>
        </w:rPr>
      </w:pPr>
    </w:p>
    <w:p w14:paraId="0421ED3E" w14:textId="4A392067" w:rsidR="00834359" w:rsidRDefault="00834359" w:rsidP="00901AB2">
      <w:pPr>
        <w:pStyle w:val="ListParagraph"/>
        <w:spacing w:after="0" w:line="240" w:lineRule="auto"/>
        <w:ind w:left="360"/>
        <w:jc w:val="both"/>
        <w:rPr>
          <w:rFonts w:ascii="Segoe UI" w:hAnsi="Segoe UI" w:cs="Segoe UI"/>
          <w:b/>
          <w:bCs/>
          <w:u w:val="single"/>
        </w:rPr>
      </w:pPr>
    </w:p>
    <w:p w14:paraId="0C9CDF25" w14:textId="5F6BEA89" w:rsidR="00834359" w:rsidRDefault="00834359" w:rsidP="00901AB2">
      <w:pPr>
        <w:pStyle w:val="ListParagraph"/>
        <w:spacing w:after="0" w:line="240" w:lineRule="auto"/>
        <w:ind w:left="360"/>
        <w:jc w:val="both"/>
        <w:rPr>
          <w:rFonts w:ascii="Segoe UI" w:hAnsi="Segoe UI" w:cs="Segoe UI"/>
          <w:b/>
          <w:bCs/>
          <w:u w:val="single"/>
        </w:rPr>
      </w:pPr>
    </w:p>
    <w:p w14:paraId="4A1176CA" w14:textId="40FEBA59" w:rsidR="00834359" w:rsidRDefault="00834359">
      <w:pPr>
        <w:rPr>
          <w:rFonts w:ascii="Segoe UI" w:hAnsi="Segoe UI" w:cs="Segoe UI"/>
          <w:b/>
          <w:bCs/>
          <w:u w:val="single"/>
        </w:rPr>
      </w:pPr>
      <w:r>
        <w:rPr>
          <w:rFonts w:ascii="Segoe UI" w:hAnsi="Segoe UI" w:cs="Segoe UI"/>
          <w:b/>
          <w:bCs/>
          <w:u w:val="single"/>
        </w:rPr>
        <w:br w:type="page"/>
      </w:r>
    </w:p>
    <w:p w14:paraId="6CA0CF7C" w14:textId="77777777" w:rsidR="008074CE" w:rsidRPr="008074CE" w:rsidRDefault="008074CE" w:rsidP="008074CE">
      <w:pPr>
        <w:spacing w:after="0" w:line="240" w:lineRule="auto"/>
        <w:jc w:val="both"/>
        <w:rPr>
          <w:rFonts w:asciiTheme="majorBidi" w:hAnsiTheme="majorBidi" w:cstheme="majorBidi"/>
          <w:b/>
          <w:bCs/>
          <w:sz w:val="24"/>
          <w:szCs w:val="24"/>
          <w:u w:val="single"/>
        </w:rPr>
      </w:pPr>
    </w:p>
    <w:p w14:paraId="462C8BDF" w14:textId="77777777" w:rsidR="00BD6B80" w:rsidRDefault="00BD6B80" w:rsidP="006E1851">
      <w:pPr>
        <w:spacing w:after="0" w:line="240" w:lineRule="auto"/>
        <w:jc w:val="center"/>
        <w:rPr>
          <w:rFonts w:asciiTheme="majorBidi" w:hAnsiTheme="majorBidi" w:cstheme="majorBidi"/>
          <w:b/>
          <w:bCs/>
          <w:sz w:val="24"/>
          <w:szCs w:val="24"/>
          <w:u w:val="single"/>
        </w:rPr>
      </w:pPr>
    </w:p>
    <w:p w14:paraId="35FEC919" w14:textId="77777777" w:rsidR="00016D01" w:rsidRPr="00E56B33" w:rsidRDefault="00A06BF2" w:rsidP="006E1851">
      <w:pPr>
        <w:spacing w:after="0" w:line="240" w:lineRule="auto"/>
        <w:jc w:val="center"/>
        <w:rPr>
          <w:rFonts w:ascii="Segoe UI" w:hAnsi="Segoe UI" w:cs="Segoe UI"/>
          <w:b/>
          <w:bCs/>
          <w:u w:val="single"/>
        </w:rPr>
      </w:pPr>
      <w:r w:rsidRPr="00E56B33">
        <w:rPr>
          <w:rFonts w:ascii="Segoe UI" w:hAnsi="Segoe UI" w:cs="Segoe UI"/>
          <w:b/>
          <w:bCs/>
          <w:u w:val="single"/>
        </w:rPr>
        <w:t xml:space="preserve">Table 1: The </w:t>
      </w:r>
      <w:r w:rsidR="006E1851" w:rsidRPr="00E56B33">
        <w:rPr>
          <w:rFonts w:ascii="Segoe UI" w:hAnsi="Segoe UI" w:cs="Segoe UI"/>
          <w:b/>
          <w:bCs/>
          <w:u w:val="single"/>
        </w:rPr>
        <w:t>C</w:t>
      </w:r>
      <w:r w:rsidRPr="00E56B33">
        <w:rPr>
          <w:rFonts w:ascii="Segoe UI" w:hAnsi="Segoe UI" w:cs="Segoe UI"/>
          <w:b/>
          <w:bCs/>
          <w:u w:val="single"/>
        </w:rPr>
        <w:t xml:space="preserve">omposition of </w:t>
      </w:r>
      <w:r w:rsidR="006E1851" w:rsidRPr="00E56B33">
        <w:rPr>
          <w:rFonts w:ascii="Segoe UI" w:hAnsi="Segoe UI" w:cs="Segoe UI"/>
          <w:b/>
          <w:bCs/>
          <w:u w:val="single"/>
        </w:rPr>
        <w:t>B</w:t>
      </w:r>
      <w:r w:rsidRPr="00E56B33">
        <w:rPr>
          <w:rFonts w:ascii="Segoe UI" w:hAnsi="Segoe UI" w:cs="Segoe UI"/>
          <w:b/>
          <w:bCs/>
          <w:u w:val="single"/>
        </w:rPr>
        <w:t xml:space="preserve">usiness </w:t>
      </w:r>
      <w:r w:rsidR="006E1851" w:rsidRPr="00E56B33">
        <w:rPr>
          <w:rFonts w:ascii="Segoe UI" w:hAnsi="Segoe UI" w:cs="Segoe UI"/>
          <w:b/>
          <w:bCs/>
          <w:u w:val="single"/>
        </w:rPr>
        <w:t>S</w:t>
      </w:r>
      <w:r w:rsidRPr="00E56B33">
        <w:rPr>
          <w:rFonts w:ascii="Segoe UI" w:hAnsi="Segoe UI" w:cs="Segoe UI"/>
          <w:b/>
          <w:bCs/>
          <w:u w:val="single"/>
        </w:rPr>
        <w:t xml:space="preserve">ector </w:t>
      </w:r>
      <w:r w:rsidR="006E1851" w:rsidRPr="00E56B33">
        <w:rPr>
          <w:rFonts w:ascii="Segoe UI" w:hAnsi="Segoe UI" w:cs="Segoe UI"/>
          <w:b/>
          <w:bCs/>
          <w:u w:val="single"/>
        </w:rPr>
        <w:t>D</w:t>
      </w:r>
      <w:r w:rsidRPr="00E56B33">
        <w:rPr>
          <w:rFonts w:ascii="Segoe UI" w:hAnsi="Segoe UI" w:cs="Segoe UI"/>
          <w:b/>
          <w:bCs/>
          <w:u w:val="single"/>
        </w:rPr>
        <w:t>ebt</w:t>
      </w:r>
    </w:p>
    <w:p w14:paraId="0A758AD1" w14:textId="7D7AE506" w:rsidR="00A06BF2" w:rsidRPr="00E56B33" w:rsidRDefault="00834359" w:rsidP="005A41A8">
      <w:pPr>
        <w:spacing w:before="240" w:after="0" w:line="240" w:lineRule="auto"/>
        <w:jc w:val="center"/>
        <w:rPr>
          <w:rFonts w:ascii="Segoe UI" w:hAnsi="Segoe UI" w:cs="Segoe UI"/>
        </w:rPr>
      </w:pPr>
      <w:r w:rsidRPr="00834359">
        <w:rPr>
          <w:noProof/>
        </w:rPr>
        <w:drawing>
          <wp:inline distT="0" distB="0" distL="0" distR="0" wp14:anchorId="7A9F2093" wp14:editId="27B70D52">
            <wp:extent cx="5940425" cy="2678756"/>
            <wp:effectExtent l="19050" t="19050" r="22225" b="2667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2678756"/>
                    </a:xfrm>
                    <a:prstGeom prst="rect">
                      <a:avLst/>
                    </a:prstGeom>
                    <a:noFill/>
                    <a:ln>
                      <a:solidFill>
                        <a:schemeClr val="tx1"/>
                      </a:solidFill>
                    </a:ln>
                  </pic:spPr>
                </pic:pic>
              </a:graphicData>
            </a:graphic>
          </wp:inline>
        </w:drawing>
      </w:r>
    </w:p>
    <w:p w14:paraId="78B54D0C" w14:textId="77777777" w:rsidR="001B335C" w:rsidRPr="00E56B33" w:rsidRDefault="001B335C" w:rsidP="004C4A1E">
      <w:pPr>
        <w:spacing w:before="480" w:line="240" w:lineRule="auto"/>
        <w:jc w:val="center"/>
        <w:rPr>
          <w:rFonts w:ascii="Segoe UI" w:hAnsi="Segoe UI" w:cs="Segoe UI"/>
          <w:b/>
          <w:bCs/>
          <w:u w:val="single"/>
        </w:rPr>
      </w:pPr>
      <w:r w:rsidRPr="00E56B33">
        <w:rPr>
          <w:rFonts w:ascii="Segoe UI" w:hAnsi="Segoe UI" w:cs="Segoe UI"/>
          <w:b/>
          <w:bCs/>
          <w:u w:val="single"/>
        </w:rPr>
        <w:t>Figure 1: Estimated Net Quarterly Quantitative Change in Business Sector Debt</w:t>
      </w:r>
    </w:p>
    <w:p w14:paraId="5E59CD81" w14:textId="1070700D" w:rsidR="005A41A8" w:rsidRPr="00E56B33" w:rsidRDefault="00834359" w:rsidP="004C4A1E">
      <w:pPr>
        <w:spacing w:after="0" w:line="240" w:lineRule="auto"/>
        <w:jc w:val="center"/>
        <w:rPr>
          <w:rFonts w:ascii="Segoe UI" w:hAnsi="Segoe UI" w:cs="Segoe UI"/>
        </w:rPr>
      </w:pPr>
      <w:r>
        <w:rPr>
          <w:rFonts w:ascii="Segoe UI" w:hAnsi="Segoe UI" w:cs="Segoe UI"/>
          <w:noProof/>
        </w:rPr>
        <w:drawing>
          <wp:inline distT="0" distB="0" distL="0" distR="0" wp14:anchorId="426F4459" wp14:editId="182CF99B">
            <wp:extent cx="4608830" cy="2725420"/>
            <wp:effectExtent l="0" t="0" r="127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8830" cy="2725420"/>
                    </a:xfrm>
                    <a:prstGeom prst="rect">
                      <a:avLst/>
                    </a:prstGeom>
                    <a:noFill/>
                  </pic:spPr>
                </pic:pic>
              </a:graphicData>
            </a:graphic>
          </wp:inline>
        </w:drawing>
      </w:r>
    </w:p>
    <w:p w14:paraId="362DA95A" w14:textId="77777777" w:rsidR="00866494" w:rsidRPr="00E56B33" w:rsidRDefault="00866494" w:rsidP="004C4A1E">
      <w:pPr>
        <w:spacing w:after="0" w:line="240" w:lineRule="auto"/>
        <w:jc w:val="center"/>
        <w:rPr>
          <w:rFonts w:ascii="Segoe UI" w:hAnsi="Segoe UI" w:cs="Segoe UI"/>
        </w:rPr>
      </w:pPr>
    </w:p>
    <w:p w14:paraId="576F5789" w14:textId="77777777" w:rsidR="008074CE" w:rsidRPr="00E56B33" w:rsidRDefault="008074CE">
      <w:pPr>
        <w:rPr>
          <w:rFonts w:ascii="Segoe UI" w:hAnsi="Segoe UI" w:cs="Segoe UI"/>
          <w:b/>
          <w:bCs/>
          <w:u w:val="single"/>
        </w:rPr>
      </w:pPr>
      <w:r w:rsidRPr="00E56B33">
        <w:rPr>
          <w:rFonts w:ascii="Segoe UI" w:hAnsi="Segoe UI" w:cs="Segoe UI"/>
          <w:b/>
          <w:bCs/>
          <w:u w:val="single"/>
        </w:rPr>
        <w:br w:type="page"/>
      </w:r>
    </w:p>
    <w:p w14:paraId="10C6B338" w14:textId="0DDC4C7F" w:rsidR="006C4650" w:rsidRPr="00E56B33" w:rsidRDefault="006C4650" w:rsidP="0035759F">
      <w:pPr>
        <w:rPr>
          <w:rFonts w:ascii="Segoe UI" w:hAnsi="Segoe UI" w:cs="Segoe UI"/>
          <w:b/>
          <w:bCs/>
          <w:u w:val="single"/>
        </w:rPr>
      </w:pPr>
      <w:r w:rsidRPr="00E56B33">
        <w:rPr>
          <w:rFonts w:ascii="Segoe UI" w:hAnsi="Segoe UI" w:cs="Segoe UI"/>
          <w:b/>
          <w:bCs/>
          <w:u w:val="single"/>
        </w:rPr>
        <w:lastRenderedPageBreak/>
        <w:t xml:space="preserve">Figure 2: </w:t>
      </w:r>
      <w:r w:rsidR="00353BAF" w:rsidRPr="00E56B33">
        <w:rPr>
          <w:rFonts w:ascii="Segoe UI" w:hAnsi="Segoe UI" w:cs="Segoe UI"/>
          <w:b/>
          <w:bCs/>
          <w:u w:val="single"/>
        </w:rPr>
        <w:t>Rate of Change (Year on Year) in the Business Sector's Bank and Nonbank Debt</w:t>
      </w:r>
    </w:p>
    <w:p w14:paraId="31D636CC" w14:textId="492F6862" w:rsidR="006C4650" w:rsidRPr="00E56B33" w:rsidRDefault="00834359" w:rsidP="00206102">
      <w:pPr>
        <w:spacing w:before="480" w:after="0" w:line="240" w:lineRule="auto"/>
        <w:jc w:val="center"/>
        <w:rPr>
          <w:rFonts w:ascii="Segoe UI" w:hAnsi="Segoe UI" w:cs="Segoe UI"/>
          <w:b/>
          <w:bCs/>
        </w:rPr>
      </w:pPr>
      <w:r>
        <w:rPr>
          <w:rFonts w:ascii="Segoe UI" w:hAnsi="Segoe UI" w:cs="Segoe UI"/>
          <w:b/>
          <w:bCs/>
          <w:noProof/>
        </w:rPr>
        <w:drawing>
          <wp:inline distT="0" distB="0" distL="0" distR="0" wp14:anchorId="4203FA18" wp14:editId="59450DCD">
            <wp:extent cx="5261610" cy="2493645"/>
            <wp:effectExtent l="0" t="0" r="0" b="190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1610" cy="2493645"/>
                    </a:xfrm>
                    <a:prstGeom prst="rect">
                      <a:avLst/>
                    </a:prstGeom>
                    <a:noFill/>
                  </pic:spPr>
                </pic:pic>
              </a:graphicData>
            </a:graphic>
          </wp:inline>
        </w:drawing>
      </w:r>
    </w:p>
    <w:p w14:paraId="67FF5DC0" w14:textId="77777777" w:rsidR="0083539E" w:rsidRPr="00E56B33" w:rsidRDefault="0083539E" w:rsidP="0083539E">
      <w:pPr>
        <w:rPr>
          <w:rFonts w:ascii="Segoe UI" w:hAnsi="Segoe UI" w:cs="Segoe UI"/>
          <w:b/>
          <w:bCs/>
          <w:u w:val="single"/>
        </w:rPr>
      </w:pPr>
    </w:p>
    <w:p w14:paraId="7C6626C4" w14:textId="41056245" w:rsidR="00016D01" w:rsidRPr="00E56B33" w:rsidRDefault="00C672E3" w:rsidP="0083539E">
      <w:pPr>
        <w:rPr>
          <w:rFonts w:ascii="Segoe UI" w:hAnsi="Segoe UI" w:cs="Segoe UI"/>
          <w:b/>
          <w:bCs/>
          <w:u w:val="single"/>
        </w:rPr>
      </w:pPr>
      <w:r w:rsidRPr="00E56B33">
        <w:rPr>
          <w:rFonts w:ascii="Segoe UI" w:hAnsi="Segoe UI" w:cs="Segoe UI"/>
          <w:b/>
          <w:bCs/>
          <w:u w:val="single"/>
        </w:rPr>
        <w:t xml:space="preserve">Figure </w:t>
      </w:r>
      <w:r w:rsidR="006C4650" w:rsidRPr="00E56B33">
        <w:rPr>
          <w:rFonts w:ascii="Segoe UI" w:hAnsi="Segoe UI" w:cs="Segoe UI"/>
          <w:b/>
          <w:bCs/>
          <w:u w:val="single"/>
        </w:rPr>
        <w:t>3</w:t>
      </w:r>
      <w:r w:rsidRPr="00E56B33">
        <w:rPr>
          <w:rFonts w:ascii="Segoe UI" w:hAnsi="Segoe UI" w:cs="Segoe UI"/>
          <w:b/>
          <w:bCs/>
          <w:u w:val="single"/>
        </w:rPr>
        <w:t xml:space="preserve">: </w:t>
      </w:r>
      <w:r w:rsidR="00353BAF" w:rsidRPr="00E56B33">
        <w:rPr>
          <w:rFonts w:ascii="Segoe UI" w:hAnsi="Segoe UI" w:cs="Segoe UI"/>
          <w:b/>
          <w:bCs/>
          <w:u w:val="single"/>
        </w:rPr>
        <w:t>Nonfinancial Business Sector Bond Issuance during the quarter, by</w:t>
      </w:r>
      <w:r w:rsidR="00353BAF" w:rsidRPr="00E56B33">
        <w:rPr>
          <w:rFonts w:ascii="Segoe UI" w:eastAsiaTheme="minorEastAsia" w:hAnsi="Segoe UI" w:cs="Segoe UI"/>
          <w:b/>
          <w:bCs/>
          <w:sz w:val="20"/>
          <w:szCs w:val="20"/>
        </w:rPr>
        <w:t xml:space="preserve"> </w:t>
      </w:r>
      <w:r w:rsidR="00353BAF" w:rsidRPr="00E56B33">
        <w:rPr>
          <w:rFonts w:ascii="Segoe UI" w:hAnsi="Segoe UI" w:cs="Segoe UI"/>
          <w:b/>
          <w:bCs/>
          <w:u w:val="single"/>
        </w:rPr>
        <w:t>Industry</w:t>
      </w:r>
      <w:r w:rsidR="005601C4" w:rsidRPr="00E56B33">
        <w:rPr>
          <w:rFonts w:ascii="Segoe UI" w:hAnsi="Segoe UI" w:cs="Segoe UI"/>
          <w:b/>
          <w:bCs/>
          <w:u w:val="single"/>
        </w:rPr>
        <w:t xml:space="preserve"> </w:t>
      </w:r>
    </w:p>
    <w:p w14:paraId="75EA2696" w14:textId="4864E620" w:rsidR="00C672E3" w:rsidRPr="00E56B33" w:rsidRDefault="00834359" w:rsidP="00206102">
      <w:pPr>
        <w:spacing w:before="240" w:after="0" w:line="240" w:lineRule="auto"/>
        <w:jc w:val="center"/>
        <w:rPr>
          <w:rFonts w:ascii="Segoe UI" w:hAnsi="Segoe UI" w:cs="Segoe UI"/>
          <w:sz w:val="20"/>
          <w:szCs w:val="20"/>
        </w:rPr>
      </w:pPr>
      <w:r>
        <w:rPr>
          <w:rFonts w:ascii="Segoe UI" w:hAnsi="Segoe UI" w:cs="Segoe UI"/>
          <w:noProof/>
          <w:sz w:val="20"/>
          <w:szCs w:val="20"/>
        </w:rPr>
        <w:drawing>
          <wp:inline distT="0" distB="0" distL="0" distR="0" wp14:anchorId="23C782DD" wp14:editId="6E6589D0">
            <wp:extent cx="5414010" cy="299339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4010" cy="2993390"/>
                    </a:xfrm>
                    <a:prstGeom prst="rect">
                      <a:avLst/>
                    </a:prstGeom>
                    <a:noFill/>
                  </pic:spPr>
                </pic:pic>
              </a:graphicData>
            </a:graphic>
          </wp:inline>
        </w:drawing>
      </w:r>
    </w:p>
    <w:p w14:paraId="32D7434D" w14:textId="77777777" w:rsidR="00514DE4" w:rsidRPr="00E56B33" w:rsidRDefault="00514DE4">
      <w:pPr>
        <w:rPr>
          <w:rFonts w:ascii="Segoe UI" w:hAnsi="Segoe UI" w:cs="Segoe UI"/>
          <w:b/>
          <w:bCs/>
          <w:u w:val="single"/>
        </w:rPr>
      </w:pPr>
    </w:p>
    <w:p w14:paraId="3E3B2B5B" w14:textId="77777777" w:rsidR="0083539E" w:rsidRPr="00E56B33" w:rsidRDefault="0083539E" w:rsidP="004C4A1E">
      <w:pPr>
        <w:spacing w:before="480" w:after="0" w:line="240" w:lineRule="auto"/>
        <w:jc w:val="center"/>
        <w:rPr>
          <w:rFonts w:ascii="Segoe UI" w:hAnsi="Segoe UI" w:cs="Segoe UI"/>
          <w:b/>
          <w:bCs/>
          <w:u w:val="single"/>
        </w:rPr>
      </w:pPr>
    </w:p>
    <w:p w14:paraId="63B965AF" w14:textId="77777777" w:rsidR="0083539E" w:rsidRPr="00E56B33" w:rsidRDefault="0083539E" w:rsidP="004C4A1E">
      <w:pPr>
        <w:spacing w:before="480" w:after="0" w:line="240" w:lineRule="auto"/>
        <w:jc w:val="center"/>
        <w:rPr>
          <w:rFonts w:ascii="Segoe UI" w:hAnsi="Segoe UI" w:cs="Segoe UI"/>
          <w:b/>
          <w:bCs/>
          <w:u w:val="single"/>
        </w:rPr>
      </w:pPr>
    </w:p>
    <w:p w14:paraId="5AEE3564" w14:textId="77777777" w:rsidR="0083539E" w:rsidRDefault="0083539E" w:rsidP="004C4A1E">
      <w:pPr>
        <w:spacing w:before="480" w:after="0" w:line="240" w:lineRule="auto"/>
        <w:jc w:val="center"/>
        <w:rPr>
          <w:rFonts w:asciiTheme="majorBidi" w:hAnsiTheme="majorBidi" w:cstheme="majorBidi"/>
          <w:b/>
          <w:bCs/>
          <w:sz w:val="24"/>
          <w:szCs w:val="24"/>
          <w:u w:val="single"/>
        </w:rPr>
      </w:pPr>
    </w:p>
    <w:p w14:paraId="073DAFBA" w14:textId="054ED1A9" w:rsidR="008A34E1" w:rsidRPr="00E56B33" w:rsidRDefault="008A34E1" w:rsidP="004C4A1E">
      <w:pPr>
        <w:spacing w:before="480" w:after="0" w:line="240" w:lineRule="auto"/>
        <w:jc w:val="center"/>
        <w:rPr>
          <w:rFonts w:ascii="Segoe UI" w:hAnsi="Segoe UI" w:cs="Segoe UI"/>
          <w:b/>
          <w:bCs/>
          <w:u w:val="single"/>
        </w:rPr>
      </w:pPr>
      <w:r w:rsidRPr="00E56B33">
        <w:rPr>
          <w:rFonts w:ascii="Segoe UI" w:hAnsi="Segoe UI" w:cs="Segoe UI"/>
          <w:b/>
          <w:bCs/>
          <w:u w:val="single"/>
        </w:rPr>
        <w:lastRenderedPageBreak/>
        <w:t xml:space="preserve">Figure </w:t>
      </w:r>
      <w:r w:rsidR="00E2691B" w:rsidRPr="00E56B33">
        <w:rPr>
          <w:rFonts w:ascii="Segoe UI" w:hAnsi="Segoe UI" w:cs="Segoe UI"/>
          <w:b/>
          <w:bCs/>
          <w:u w:val="single"/>
        </w:rPr>
        <w:t>4:</w:t>
      </w:r>
      <w:r w:rsidRPr="00E56B33">
        <w:rPr>
          <w:rFonts w:ascii="Segoe UI" w:hAnsi="Segoe UI" w:cs="Segoe UI"/>
          <w:b/>
          <w:bCs/>
          <w:u w:val="single"/>
        </w:rPr>
        <w:t xml:space="preserve"> Spread between Indexed Corporate Bonds (Tel-Bond 60) and Indexed Government Bonds (monthly average) </w:t>
      </w:r>
    </w:p>
    <w:p w14:paraId="648B225F" w14:textId="3DDB8F1C" w:rsidR="008A34E1" w:rsidRPr="00E56B33" w:rsidRDefault="00834359" w:rsidP="00846F1D">
      <w:pPr>
        <w:spacing w:before="240" w:after="0" w:line="240" w:lineRule="auto"/>
        <w:jc w:val="center"/>
        <w:rPr>
          <w:rFonts w:ascii="Segoe UI" w:hAnsi="Segoe UI" w:cs="Segoe UI"/>
          <w:noProof/>
          <w:sz w:val="20"/>
          <w:szCs w:val="20"/>
        </w:rPr>
      </w:pPr>
      <w:r>
        <w:rPr>
          <w:rFonts w:ascii="Segoe UI" w:hAnsi="Segoe UI" w:cs="Segoe UI"/>
          <w:noProof/>
          <w:sz w:val="20"/>
          <w:szCs w:val="20"/>
        </w:rPr>
        <w:drawing>
          <wp:inline distT="0" distB="0" distL="0" distR="0" wp14:anchorId="53A63593" wp14:editId="18BDA124">
            <wp:extent cx="5316220" cy="2603500"/>
            <wp:effectExtent l="0" t="0" r="0" b="635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6220" cy="2603500"/>
                    </a:xfrm>
                    <a:prstGeom prst="rect">
                      <a:avLst/>
                    </a:prstGeom>
                    <a:noFill/>
                  </pic:spPr>
                </pic:pic>
              </a:graphicData>
            </a:graphic>
          </wp:inline>
        </w:drawing>
      </w:r>
    </w:p>
    <w:p w14:paraId="48B2925E" w14:textId="77777777" w:rsidR="008A34E1" w:rsidRPr="00E56B33" w:rsidRDefault="008A34E1" w:rsidP="00C672E3">
      <w:pPr>
        <w:spacing w:after="0" w:line="240" w:lineRule="auto"/>
        <w:jc w:val="center"/>
        <w:rPr>
          <w:rFonts w:ascii="Segoe UI" w:hAnsi="Segoe UI" w:cs="Segoe UI"/>
        </w:rPr>
      </w:pPr>
    </w:p>
    <w:p w14:paraId="54F3F96A" w14:textId="77777777" w:rsidR="004C4A1E" w:rsidRPr="00E56B33" w:rsidRDefault="004C4A1E" w:rsidP="00674023">
      <w:pPr>
        <w:spacing w:after="0" w:line="240" w:lineRule="auto"/>
        <w:rPr>
          <w:rFonts w:ascii="Segoe UI" w:hAnsi="Segoe UI" w:cs="Segoe UI"/>
          <w:b/>
          <w:bCs/>
          <w:rtl/>
        </w:rPr>
      </w:pPr>
    </w:p>
    <w:p w14:paraId="2EB42FB3" w14:textId="77777777" w:rsidR="004C4A1E" w:rsidRPr="00E56B33" w:rsidRDefault="004C4A1E" w:rsidP="00674023">
      <w:pPr>
        <w:spacing w:after="0" w:line="240" w:lineRule="auto"/>
        <w:rPr>
          <w:rFonts w:ascii="Segoe UI" w:hAnsi="Segoe UI" w:cs="Segoe UI"/>
          <w:b/>
          <w:bCs/>
        </w:rPr>
      </w:pPr>
    </w:p>
    <w:p w14:paraId="5196B7D9" w14:textId="77777777" w:rsidR="00BD6B80" w:rsidRPr="00E56B33" w:rsidRDefault="00BD6B80" w:rsidP="00BD6B80">
      <w:pPr>
        <w:spacing w:after="0" w:line="240" w:lineRule="auto"/>
        <w:rPr>
          <w:rFonts w:ascii="Segoe UI" w:hAnsi="Segoe UI" w:cs="Segoe UI"/>
          <w:b/>
          <w:bCs/>
        </w:rPr>
      </w:pPr>
      <w:r w:rsidRPr="00405DBD">
        <w:rPr>
          <w:rFonts w:ascii="Segoe UI" w:hAnsi="Segoe UI" w:cs="Segoe UI"/>
          <w:b/>
          <w:bCs/>
        </w:rPr>
        <w:t>Household debt</w:t>
      </w:r>
    </w:p>
    <w:p w14:paraId="5AD925C4" w14:textId="0320391F" w:rsidR="00CA36A4" w:rsidRPr="003A1A7A" w:rsidRDefault="00936A8F" w:rsidP="003A1A7A">
      <w:pPr>
        <w:pStyle w:val="ListParagraph"/>
        <w:numPr>
          <w:ilvl w:val="0"/>
          <w:numId w:val="2"/>
        </w:numPr>
        <w:spacing w:after="0" w:line="240" w:lineRule="auto"/>
        <w:jc w:val="both"/>
        <w:rPr>
          <w:rFonts w:ascii="Segoe UI" w:hAnsi="Segoe UI" w:cs="Segoe UI"/>
        </w:rPr>
      </w:pPr>
      <w:r w:rsidRPr="003A1A7A">
        <w:rPr>
          <w:rFonts w:ascii="Segoe UI" w:hAnsi="Segoe UI" w:cs="Segoe UI"/>
        </w:rPr>
        <w:t xml:space="preserve">In the </w:t>
      </w:r>
      <w:r w:rsidR="00BC78DF" w:rsidRPr="003A1A7A">
        <w:rPr>
          <w:rFonts w:ascii="Segoe UI" w:hAnsi="Segoe UI" w:cs="Segoe UI"/>
        </w:rPr>
        <w:t>second qua</w:t>
      </w:r>
      <w:r w:rsidR="00BC78DF">
        <w:rPr>
          <w:rFonts w:ascii="Segoe UI" w:hAnsi="Segoe UI" w:cs="Segoe UI"/>
        </w:rPr>
        <w:t>rter</w:t>
      </w:r>
      <w:r w:rsidR="007000FF" w:rsidRPr="00E56B33">
        <w:rPr>
          <w:rFonts w:ascii="Segoe UI" w:hAnsi="Segoe UI" w:cs="Segoe UI"/>
        </w:rPr>
        <w:t xml:space="preserve"> of 2026</w:t>
      </w:r>
      <w:r w:rsidRPr="00E56B33">
        <w:rPr>
          <w:rFonts w:ascii="Segoe UI" w:hAnsi="Segoe UI" w:cs="Segoe UI"/>
        </w:rPr>
        <w:t>, t</w:t>
      </w:r>
      <w:r w:rsidR="005D233F" w:rsidRPr="00E56B33">
        <w:rPr>
          <w:rFonts w:ascii="Segoe UI" w:hAnsi="Segoe UI" w:cs="Segoe UI"/>
        </w:rPr>
        <w:t xml:space="preserve">he </w:t>
      </w:r>
      <w:r w:rsidR="00406B46" w:rsidRPr="00E56B33">
        <w:rPr>
          <w:rFonts w:ascii="Segoe UI" w:hAnsi="Segoe UI" w:cs="Segoe UI"/>
          <w:b/>
          <w:bCs/>
        </w:rPr>
        <w:t xml:space="preserve">balance </w:t>
      </w:r>
      <w:r w:rsidR="005D233F" w:rsidRPr="00E56B33">
        <w:rPr>
          <w:rFonts w:ascii="Segoe UI" w:hAnsi="Segoe UI" w:cs="Segoe UI"/>
          <w:b/>
          <w:bCs/>
        </w:rPr>
        <w:t>of h</w:t>
      </w:r>
      <w:r w:rsidR="00BD6B80" w:rsidRPr="00E56B33">
        <w:rPr>
          <w:rFonts w:ascii="Segoe UI" w:hAnsi="Segoe UI" w:cs="Segoe UI"/>
          <w:b/>
          <w:bCs/>
        </w:rPr>
        <w:t>ouseholds’ outstanding debt</w:t>
      </w:r>
      <w:r w:rsidR="00406B46" w:rsidRPr="00E56B33">
        <w:rPr>
          <w:rFonts w:ascii="Segoe UI" w:hAnsi="Segoe UI" w:cs="Segoe UI"/>
        </w:rPr>
        <w:t xml:space="preserve"> </w:t>
      </w:r>
      <w:r w:rsidR="00266EA8" w:rsidRPr="00E56B33">
        <w:rPr>
          <w:rFonts w:ascii="Segoe UI" w:hAnsi="Segoe UI" w:cs="Segoe UI"/>
        </w:rPr>
        <w:t xml:space="preserve">continued to </w:t>
      </w:r>
      <w:r w:rsidR="00ED2658" w:rsidRPr="00E56B33">
        <w:rPr>
          <w:rFonts w:ascii="Segoe UI" w:hAnsi="Segoe UI" w:cs="Segoe UI"/>
        </w:rPr>
        <w:t>i</w:t>
      </w:r>
      <w:r w:rsidR="00683C09" w:rsidRPr="00E56B33">
        <w:rPr>
          <w:rFonts w:ascii="Segoe UI" w:hAnsi="Segoe UI" w:cs="Segoe UI"/>
        </w:rPr>
        <w:t>ncrease</w:t>
      </w:r>
      <w:r w:rsidR="00266EA8" w:rsidRPr="00E56B33">
        <w:rPr>
          <w:rFonts w:ascii="Segoe UI" w:hAnsi="Segoe UI" w:cs="Segoe UI"/>
        </w:rPr>
        <w:t xml:space="preserve">, to </w:t>
      </w:r>
      <w:r w:rsidR="003F53B6" w:rsidRPr="00E56B33">
        <w:rPr>
          <w:rFonts w:ascii="Segoe UI" w:hAnsi="Segoe UI" w:cs="Segoe UI"/>
        </w:rPr>
        <w:t xml:space="preserve">about </w:t>
      </w:r>
      <w:r w:rsidR="00266EA8" w:rsidRPr="00E56B33">
        <w:rPr>
          <w:rFonts w:ascii="Segoe UI" w:hAnsi="Segoe UI" w:cs="Segoe UI"/>
        </w:rPr>
        <w:t>NIS 9</w:t>
      </w:r>
      <w:r w:rsidR="00A0023B">
        <w:rPr>
          <w:rFonts w:ascii="Segoe UI" w:hAnsi="Segoe UI" w:cs="Segoe UI"/>
        </w:rPr>
        <w:t>35</w:t>
      </w:r>
      <w:r w:rsidR="00266EA8" w:rsidRPr="00E56B33">
        <w:rPr>
          <w:rFonts w:ascii="Segoe UI" w:hAnsi="Segoe UI" w:cs="Segoe UI"/>
        </w:rPr>
        <w:t xml:space="preserve"> billion</w:t>
      </w:r>
      <w:r w:rsidR="00A0023B">
        <w:rPr>
          <w:rFonts w:ascii="Segoe UI" w:hAnsi="Segoe UI" w:cs="Segoe UI"/>
        </w:rPr>
        <w:t>—</w:t>
      </w:r>
      <w:r w:rsidR="00CA36A4" w:rsidRPr="00E56B33">
        <w:rPr>
          <w:rFonts w:ascii="Segoe UI" w:hAnsi="Segoe UI" w:cs="Segoe UI"/>
        </w:rPr>
        <w:t>a</w:t>
      </w:r>
      <w:r w:rsidR="00266EA8" w:rsidRPr="00E56B33">
        <w:rPr>
          <w:rFonts w:ascii="Segoe UI" w:hAnsi="Segoe UI" w:cs="Segoe UI"/>
        </w:rPr>
        <w:t xml:space="preserve">n </w:t>
      </w:r>
      <w:r w:rsidR="00CA36A4" w:rsidRPr="00E56B33">
        <w:rPr>
          <w:rFonts w:ascii="Segoe UI" w:hAnsi="Segoe UI" w:cs="Segoe UI"/>
        </w:rPr>
        <w:t>i</w:t>
      </w:r>
      <w:r w:rsidR="00266EA8" w:rsidRPr="00E56B33">
        <w:rPr>
          <w:rFonts w:ascii="Segoe UI" w:hAnsi="Segoe UI" w:cs="Segoe UI"/>
        </w:rPr>
        <w:t xml:space="preserve">ncrease of </w:t>
      </w:r>
      <w:r w:rsidR="003F53B6" w:rsidRPr="00E56B33">
        <w:rPr>
          <w:rFonts w:ascii="Segoe UI" w:hAnsi="Segoe UI" w:cs="Segoe UI"/>
        </w:rPr>
        <w:t xml:space="preserve">about </w:t>
      </w:r>
      <w:r w:rsidR="00266EA8" w:rsidRPr="00E56B33">
        <w:rPr>
          <w:rFonts w:ascii="Segoe UI" w:hAnsi="Segoe UI" w:cs="Segoe UI"/>
        </w:rPr>
        <w:t xml:space="preserve">NIS </w:t>
      </w:r>
      <w:r w:rsidR="00A0023B">
        <w:rPr>
          <w:rFonts w:ascii="Segoe UI" w:hAnsi="Segoe UI" w:cs="Segoe UI"/>
        </w:rPr>
        <w:t>22</w:t>
      </w:r>
      <w:r w:rsidR="00266EA8" w:rsidRPr="00E56B33">
        <w:rPr>
          <w:rFonts w:ascii="Segoe UI" w:hAnsi="Segoe UI" w:cs="Segoe UI"/>
        </w:rPr>
        <w:t xml:space="preserve"> billion (</w:t>
      </w:r>
      <w:r w:rsidR="00A0023B">
        <w:rPr>
          <w:rFonts w:ascii="Segoe UI" w:hAnsi="Segoe UI" w:cs="Segoe UI"/>
        </w:rPr>
        <w:t>2.4</w:t>
      </w:r>
      <w:r w:rsidR="00266EA8" w:rsidRPr="00E56B33">
        <w:rPr>
          <w:rFonts w:ascii="Segoe UI" w:hAnsi="Segoe UI" w:cs="Segoe UI"/>
        </w:rPr>
        <w:t xml:space="preserve"> p</w:t>
      </w:r>
      <w:r w:rsidR="00F23597" w:rsidRPr="00E56B33">
        <w:rPr>
          <w:rFonts w:ascii="Segoe UI" w:hAnsi="Segoe UI" w:cs="Segoe UI"/>
        </w:rPr>
        <w:t>e</w:t>
      </w:r>
      <w:r w:rsidR="00266EA8" w:rsidRPr="00E56B33">
        <w:rPr>
          <w:rFonts w:ascii="Segoe UI" w:hAnsi="Segoe UI" w:cs="Segoe UI"/>
        </w:rPr>
        <w:t>rcent)</w:t>
      </w:r>
      <w:r w:rsidR="00A0023B">
        <w:rPr>
          <w:rFonts w:ascii="Segoe UI" w:hAnsi="Segoe UI" w:cs="Segoe UI"/>
        </w:rPr>
        <w:t>.</w:t>
      </w:r>
      <w:r w:rsidR="003F53B6" w:rsidRPr="00E56B33">
        <w:rPr>
          <w:rFonts w:ascii="Segoe UI" w:hAnsi="Segoe UI" w:cs="Segoe UI"/>
        </w:rPr>
        <w:t xml:space="preserve"> </w:t>
      </w:r>
      <w:r w:rsidR="00A0023B">
        <w:rPr>
          <w:rFonts w:ascii="Segoe UI" w:hAnsi="Segoe UI" w:cs="Segoe UI"/>
        </w:rPr>
        <w:t>The</w:t>
      </w:r>
      <w:r w:rsidR="003F53B6" w:rsidRPr="00E56B33">
        <w:rPr>
          <w:rFonts w:ascii="Segoe UI" w:hAnsi="Segoe UI" w:cs="Segoe UI"/>
        </w:rPr>
        <w:t xml:space="preserve"> increase in the </w:t>
      </w:r>
      <w:r w:rsidR="00CA36A4" w:rsidRPr="00E56B33">
        <w:rPr>
          <w:rFonts w:ascii="Segoe UI" w:hAnsi="Segoe UI" w:cs="Segoe UI"/>
          <w:b/>
          <w:bCs/>
        </w:rPr>
        <w:t xml:space="preserve">balance of </w:t>
      </w:r>
      <w:r w:rsidR="00A0023B">
        <w:rPr>
          <w:rFonts w:ascii="Segoe UI" w:hAnsi="Segoe UI" w:cs="Segoe UI"/>
          <w:b/>
          <w:bCs/>
        </w:rPr>
        <w:t>non</w:t>
      </w:r>
      <w:r w:rsidR="00CA36A4" w:rsidRPr="00E56B33">
        <w:rPr>
          <w:rFonts w:ascii="Segoe UI" w:hAnsi="Segoe UI" w:cs="Segoe UI"/>
          <w:b/>
          <w:bCs/>
        </w:rPr>
        <w:t>housing debt</w:t>
      </w:r>
      <w:r w:rsidR="003F53B6" w:rsidRPr="00E56B33">
        <w:rPr>
          <w:rFonts w:ascii="Segoe UI" w:hAnsi="Segoe UI" w:cs="Segoe UI"/>
          <w:b/>
          <w:bCs/>
        </w:rPr>
        <w:t xml:space="preserve"> </w:t>
      </w:r>
      <w:r w:rsidR="00A0023B">
        <w:rPr>
          <w:rFonts w:ascii="Segoe UI" w:hAnsi="Segoe UI" w:cs="Segoe UI"/>
        </w:rPr>
        <w:t>was particularly prominent, as this component grew by 3.6 percent to about NIS 260 billion, following a decline of 0.1 percent in the first quarter.  This increase encompassed all main lenders, including the banks, the credit card companies, and the institutional investors</w:t>
      </w:r>
      <w:r w:rsidR="00A0023B" w:rsidRPr="003A1A7A">
        <w:rPr>
          <w:rFonts w:ascii="Segoe UI" w:hAnsi="Segoe UI" w:cs="Segoe UI"/>
        </w:rPr>
        <w:t xml:space="preserve">.  </w:t>
      </w:r>
      <w:r w:rsidR="003A1A7A" w:rsidRPr="003A1A7A">
        <w:rPr>
          <w:rFonts w:ascii="Segoe UI" w:hAnsi="Segoe UI" w:cs="Segoe UI"/>
          <w:b/>
          <w:bCs/>
        </w:rPr>
        <w:t>H</w:t>
      </w:r>
      <w:r w:rsidR="00A0023B" w:rsidRPr="003A1A7A">
        <w:rPr>
          <w:rFonts w:ascii="Segoe UI" w:hAnsi="Segoe UI" w:cs="Segoe UI"/>
          <w:b/>
          <w:bCs/>
        </w:rPr>
        <w:t>ousing debt</w:t>
      </w:r>
      <w:r w:rsidR="00A0023B" w:rsidRPr="003A1A7A">
        <w:rPr>
          <w:rFonts w:ascii="Segoe UI" w:hAnsi="Segoe UI" w:cs="Segoe UI"/>
        </w:rPr>
        <w:t xml:space="preserve"> </w:t>
      </w:r>
      <w:r w:rsidR="003A1A7A" w:rsidRPr="003A1A7A">
        <w:rPr>
          <w:rFonts w:ascii="Segoe UI" w:hAnsi="Segoe UI" w:cs="Segoe UI"/>
        </w:rPr>
        <w:t xml:space="preserve">continued to increase </w:t>
      </w:r>
      <w:r w:rsidR="00A0023B" w:rsidRPr="003A1A7A">
        <w:rPr>
          <w:rFonts w:ascii="Segoe UI" w:hAnsi="Segoe UI" w:cs="Segoe UI"/>
        </w:rPr>
        <w:t>(about NIS 13 billion, about 1.9 percent)</w:t>
      </w:r>
      <w:r w:rsidR="003A1A7A" w:rsidRPr="003A1A7A">
        <w:rPr>
          <w:rFonts w:ascii="Segoe UI" w:hAnsi="Segoe UI" w:cs="Segoe UI"/>
        </w:rPr>
        <w:t xml:space="preserve"> to about NIS 675 billion, mostly to banks</w:t>
      </w:r>
      <w:r w:rsidR="00CA36A4" w:rsidRPr="003A1A7A">
        <w:rPr>
          <w:rFonts w:ascii="Segoe UI" w:hAnsi="Segoe UI" w:cs="Segoe UI"/>
        </w:rPr>
        <w:t xml:space="preserve">. </w:t>
      </w:r>
    </w:p>
    <w:p w14:paraId="693ED8E6" w14:textId="2B8C23CF" w:rsidR="002C6B99" w:rsidRPr="00E56B33" w:rsidRDefault="00F25646" w:rsidP="003A1A7A">
      <w:pPr>
        <w:pStyle w:val="ListParagraph"/>
        <w:numPr>
          <w:ilvl w:val="0"/>
          <w:numId w:val="2"/>
        </w:numPr>
        <w:spacing w:after="0" w:line="240" w:lineRule="auto"/>
        <w:jc w:val="both"/>
        <w:rPr>
          <w:rFonts w:ascii="Segoe UI" w:hAnsi="Segoe UI" w:cs="Segoe UI"/>
        </w:rPr>
      </w:pPr>
      <w:r w:rsidRPr="00E56B33">
        <w:rPr>
          <w:rFonts w:ascii="Segoe UI" w:hAnsi="Segoe UI" w:cs="Segoe UI"/>
        </w:rPr>
        <w:t>Due to these effects, t</w:t>
      </w:r>
      <w:r w:rsidR="00ED554D" w:rsidRPr="00E56B33">
        <w:rPr>
          <w:rFonts w:ascii="Segoe UI" w:hAnsi="Segoe UI" w:cs="Segoe UI"/>
        </w:rPr>
        <w:t>he annual growth rate</w:t>
      </w:r>
      <w:r w:rsidR="00C70F48" w:rsidRPr="00E56B33">
        <w:rPr>
          <w:rFonts w:ascii="Segoe UI" w:hAnsi="Segoe UI" w:cs="Segoe UI"/>
        </w:rPr>
        <w:t xml:space="preserve"> </w:t>
      </w:r>
      <w:r w:rsidR="00ED554D" w:rsidRPr="00E56B33">
        <w:rPr>
          <w:rFonts w:ascii="Segoe UI" w:hAnsi="Segoe UI" w:cs="Segoe UI"/>
        </w:rPr>
        <w:t xml:space="preserve">of </w:t>
      </w:r>
      <w:r w:rsidR="003A1A7A">
        <w:rPr>
          <w:rFonts w:ascii="Segoe UI" w:hAnsi="Segoe UI" w:cs="Segoe UI"/>
        </w:rPr>
        <w:t>non</w:t>
      </w:r>
      <w:r w:rsidR="007A6081" w:rsidRPr="00E56B33">
        <w:rPr>
          <w:rFonts w:ascii="Segoe UI" w:hAnsi="Segoe UI" w:cs="Segoe UI"/>
        </w:rPr>
        <w:t>housing</w:t>
      </w:r>
      <w:r w:rsidR="002540B2" w:rsidRPr="00E56B33">
        <w:rPr>
          <w:rFonts w:ascii="Segoe UI" w:hAnsi="Segoe UI" w:cs="Segoe UI"/>
        </w:rPr>
        <w:t xml:space="preserve"> </w:t>
      </w:r>
      <w:r w:rsidR="00555468" w:rsidRPr="00E56B33">
        <w:rPr>
          <w:rFonts w:ascii="Segoe UI" w:hAnsi="Segoe UI" w:cs="Segoe UI"/>
        </w:rPr>
        <w:t>debt</w:t>
      </w:r>
      <w:r w:rsidR="007A6081" w:rsidRPr="00E56B33">
        <w:rPr>
          <w:rFonts w:ascii="Segoe UI" w:hAnsi="Segoe UI" w:cs="Segoe UI"/>
        </w:rPr>
        <w:t xml:space="preserve"> </w:t>
      </w:r>
      <w:r w:rsidR="003A1A7A">
        <w:rPr>
          <w:rFonts w:ascii="Segoe UI" w:hAnsi="Segoe UI" w:cs="Segoe UI"/>
        </w:rPr>
        <w:t>increased to about 10 percent, compared with</w:t>
      </w:r>
      <w:r w:rsidR="00E56B33">
        <w:rPr>
          <w:rFonts w:ascii="Segoe UI" w:hAnsi="Segoe UI" w:cs="Segoe UI"/>
        </w:rPr>
        <w:t xml:space="preserve"> 5.7 percent</w:t>
      </w:r>
      <w:r w:rsidR="003A1A7A">
        <w:rPr>
          <w:rFonts w:ascii="Segoe UI" w:hAnsi="Segoe UI" w:cs="Segoe UI"/>
        </w:rPr>
        <w:t xml:space="preserve"> in the previous quarter.  In contrast, the annual growth rate of housing debt remained stable at about 7 percent</w:t>
      </w:r>
      <w:r w:rsidR="002C6B99" w:rsidRPr="00E56B33">
        <w:rPr>
          <w:rFonts w:ascii="Segoe UI" w:hAnsi="Segoe UI" w:cs="Segoe UI"/>
        </w:rPr>
        <w:t xml:space="preserve"> (Figure 5).</w:t>
      </w:r>
    </w:p>
    <w:p w14:paraId="77CB2F4E" w14:textId="34C641AF" w:rsidR="002C6B99" w:rsidRPr="00E56B33" w:rsidRDefault="000B56C8" w:rsidP="003A1A7A">
      <w:pPr>
        <w:pStyle w:val="ListParagraph"/>
        <w:numPr>
          <w:ilvl w:val="0"/>
          <w:numId w:val="2"/>
        </w:numPr>
        <w:spacing w:after="0" w:line="240" w:lineRule="auto"/>
        <w:jc w:val="both"/>
        <w:rPr>
          <w:rFonts w:ascii="Segoe UI" w:hAnsi="Segoe UI" w:cs="Segoe UI"/>
        </w:rPr>
      </w:pPr>
      <w:r w:rsidRPr="00E56B33">
        <w:rPr>
          <w:rFonts w:ascii="Segoe UI" w:hAnsi="Segoe UI" w:cs="Segoe UI"/>
        </w:rPr>
        <w:t xml:space="preserve">The increase </w:t>
      </w:r>
      <w:r w:rsidR="00581434" w:rsidRPr="00E56B33">
        <w:rPr>
          <w:rFonts w:ascii="Segoe UI" w:hAnsi="Segoe UI" w:cs="Segoe UI"/>
        </w:rPr>
        <w:t>in housing debt is the result of continued new</w:t>
      </w:r>
      <w:r w:rsidR="005F3471" w:rsidRPr="00E56B33">
        <w:rPr>
          <w:rFonts w:ascii="Segoe UI" w:hAnsi="Segoe UI" w:cs="Segoe UI"/>
        </w:rPr>
        <w:t xml:space="preserve"> mortgage</w:t>
      </w:r>
      <w:r w:rsidR="00581434" w:rsidRPr="00E56B33">
        <w:rPr>
          <w:rFonts w:ascii="Segoe UI" w:hAnsi="Segoe UI" w:cs="Segoe UI"/>
        </w:rPr>
        <w:t xml:space="preserve"> borrowing from the banks, </w:t>
      </w:r>
      <w:r w:rsidR="003A1A7A">
        <w:rPr>
          <w:rFonts w:ascii="Segoe UI" w:hAnsi="Segoe UI" w:cs="Segoe UI"/>
        </w:rPr>
        <w:t xml:space="preserve">totaling about NIS 29 billion in </w:t>
      </w:r>
      <w:r w:rsidR="002C6B99" w:rsidRPr="00E56B33">
        <w:rPr>
          <w:rFonts w:ascii="Segoe UI" w:hAnsi="Segoe UI" w:cs="Segoe UI"/>
        </w:rPr>
        <w:t xml:space="preserve">the </w:t>
      </w:r>
      <w:r w:rsidR="00BC78DF">
        <w:rPr>
          <w:rFonts w:ascii="Segoe UI" w:hAnsi="Segoe UI" w:cs="Segoe UI"/>
        </w:rPr>
        <w:t>second quarter</w:t>
      </w:r>
      <w:r w:rsidR="00C21B2C" w:rsidRPr="00E56B33">
        <w:rPr>
          <w:rFonts w:ascii="Segoe UI" w:hAnsi="Segoe UI" w:cs="Segoe UI"/>
        </w:rPr>
        <w:t xml:space="preserve"> of</w:t>
      </w:r>
      <w:r w:rsidR="00A90999" w:rsidRPr="00E56B33">
        <w:rPr>
          <w:rFonts w:ascii="Segoe UI" w:hAnsi="Segoe UI" w:cs="Segoe UI"/>
        </w:rPr>
        <w:t xml:space="preserve"> </w:t>
      </w:r>
      <w:r w:rsidR="00C21B2C" w:rsidRPr="00E56B33">
        <w:rPr>
          <w:rFonts w:ascii="Segoe UI" w:hAnsi="Segoe UI" w:cs="Segoe UI"/>
        </w:rPr>
        <w:t>the year</w:t>
      </w:r>
      <w:r w:rsidR="00A90999" w:rsidRPr="00E56B33">
        <w:rPr>
          <w:rFonts w:ascii="Segoe UI" w:hAnsi="Segoe UI" w:cs="Segoe UI"/>
        </w:rPr>
        <w:t>,</w:t>
      </w:r>
      <w:r w:rsidR="00C21B2C" w:rsidRPr="00E56B33">
        <w:rPr>
          <w:rFonts w:ascii="Segoe UI" w:hAnsi="Segoe UI" w:cs="Segoe UI"/>
        </w:rPr>
        <w:t xml:space="preserve"> after seasonal</w:t>
      </w:r>
      <w:r w:rsidR="002C6B99" w:rsidRPr="00E56B33">
        <w:rPr>
          <w:rFonts w:ascii="Segoe UI" w:hAnsi="Segoe UI" w:cs="Segoe UI"/>
        </w:rPr>
        <w:t xml:space="preserve"> </w:t>
      </w:r>
      <w:r w:rsidR="00C21B2C" w:rsidRPr="00E56B33">
        <w:rPr>
          <w:rFonts w:ascii="Segoe UI" w:hAnsi="Segoe UI" w:cs="Segoe UI"/>
        </w:rPr>
        <w:t>adjustment</w:t>
      </w:r>
      <w:r w:rsidR="003A1A7A">
        <w:rPr>
          <w:rFonts w:ascii="Segoe UI" w:hAnsi="Segoe UI" w:cs="Segoe UI"/>
        </w:rPr>
        <w:t>—similar to</w:t>
      </w:r>
      <w:r w:rsidR="00EC52DF" w:rsidRPr="00E56B33">
        <w:rPr>
          <w:rFonts w:ascii="Segoe UI" w:hAnsi="Segoe UI" w:cs="Segoe UI"/>
        </w:rPr>
        <w:t xml:space="preserve"> the quarterly </w:t>
      </w:r>
      <w:r w:rsidR="00C21B2C" w:rsidRPr="00E56B33">
        <w:rPr>
          <w:rFonts w:ascii="Segoe UI" w:hAnsi="Segoe UI" w:cs="Segoe UI"/>
        </w:rPr>
        <w:t>average</w:t>
      </w:r>
      <w:r w:rsidR="00EC52DF" w:rsidRPr="00E56B33">
        <w:rPr>
          <w:rFonts w:ascii="Segoe UI" w:hAnsi="Segoe UI" w:cs="Segoe UI"/>
        </w:rPr>
        <w:t xml:space="preserve"> of new mortgage volume in </w:t>
      </w:r>
      <w:r w:rsidR="003A1A7A">
        <w:rPr>
          <w:rFonts w:ascii="Segoe UI" w:hAnsi="Segoe UI" w:cs="Segoe UI"/>
        </w:rPr>
        <w:t>the previous four quarters</w:t>
      </w:r>
      <w:r w:rsidR="00E56B33">
        <w:rPr>
          <w:rFonts w:ascii="Segoe UI" w:hAnsi="Segoe UI" w:cs="Segoe UI"/>
        </w:rPr>
        <w:t>.</w:t>
      </w:r>
    </w:p>
    <w:p w14:paraId="6C27CC53" w14:textId="752F6FE3" w:rsidR="00EC52DF" w:rsidRPr="00E56B33" w:rsidRDefault="00EC52DF" w:rsidP="003A1A7A">
      <w:pPr>
        <w:pStyle w:val="ListParagraph"/>
        <w:numPr>
          <w:ilvl w:val="0"/>
          <w:numId w:val="2"/>
        </w:numPr>
        <w:spacing w:after="0" w:line="240" w:lineRule="auto"/>
        <w:jc w:val="both"/>
        <w:rPr>
          <w:rFonts w:ascii="Segoe UI" w:hAnsi="Segoe UI" w:cs="Segoe UI"/>
        </w:rPr>
      </w:pPr>
      <w:r w:rsidRPr="00E56B33">
        <w:rPr>
          <w:rFonts w:ascii="Segoe UI" w:hAnsi="Segoe UI" w:cs="Segoe UI"/>
        </w:rPr>
        <w:t xml:space="preserve">In </w:t>
      </w:r>
      <w:r w:rsidR="003A1A7A">
        <w:rPr>
          <w:rFonts w:ascii="Segoe UI" w:hAnsi="Segoe UI" w:cs="Segoe UI"/>
        </w:rPr>
        <w:t>July</w:t>
      </w:r>
      <w:r w:rsidR="00E56B33">
        <w:rPr>
          <w:rFonts w:ascii="Segoe UI" w:hAnsi="Segoe UI" w:cs="Segoe UI"/>
        </w:rPr>
        <w:t>–</w:t>
      </w:r>
      <w:r w:rsidR="003A1A7A">
        <w:rPr>
          <w:rFonts w:ascii="Segoe UI" w:hAnsi="Segoe UI" w:cs="Segoe UI"/>
        </w:rPr>
        <w:t>August</w:t>
      </w:r>
      <w:r w:rsidRPr="00E56B33">
        <w:rPr>
          <w:rFonts w:ascii="Segoe UI" w:hAnsi="Segoe UI" w:cs="Segoe UI"/>
        </w:rPr>
        <w:t xml:space="preserve"> 2026, </w:t>
      </w:r>
      <w:r w:rsidR="00E56B33">
        <w:rPr>
          <w:rFonts w:ascii="Segoe UI" w:hAnsi="Segoe UI" w:cs="Segoe UI"/>
        </w:rPr>
        <w:t xml:space="preserve">the volume of </w:t>
      </w:r>
      <w:r w:rsidRPr="00E56B33">
        <w:rPr>
          <w:rFonts w:ascii="Segoe UI" w:hAnsi="Segoe UI" w:cs="Segoe UI"/>
        </w:rPr>
        <w:t>new mortg</w:t>
      </w:r>
      <w:r w:rsidR="00C21B2C" w:rsidRPr="00E56B33">
        <w:rPr>
          <w:rFonts w:ascii="Segoe UI" w:hAnsi="Segoe UI" w:cs="Segoe UI"/>
        </w:rPr>
        <w:t>age</w:t>
      </w:r>
      <w:r w:rsidRPr="00E56B33">
        <w:rPr>
          <w:rFonts w:ascii="Segoe UI" w:hAnsi="Segoe UI" w:cs="Segoe UI"/>
        </w:rPr>
        <w:t xml:space="preserve"> </w:t>
      </w:r>
      <w:r w:rsidR="00E56B33">
        <w:rPr>
          <w:rFonts w:ascii="Segoe UI" w:hAnsi="Segoe UI" w:cs="Segoe UI"/>
        </w:rPr>
        <w:t xml:space="preserve">borrowing </w:t>
      </w:r>
      <w:r w:rsidRPr="00E56B33">
        <w:rPr>
          <w:rFonts w:ascii="Segoe UI" w:hAnsi="Segoe UI" w:cs="Segoe UI"/>
        </w:rPr>
        <w:t>fr</w:t>
      </w:r>
      <w:r w:rsidR="00C21B2C" w:rsidRPr="00E56B33">
        <w:rPr>
          <w:rFonts w:ascii="Segoe UI" w:hAnsi="Segoe UI" w:cs="Segoe UI"/>
        </w:rPr>
        <w:t>om the banks, after sea</w:t>
      </w:r>
      <w:r w:rsidRPr="00E56B33">
        <w:rPr>
          <w:rFonts w:ascii="Segoe UI" w:hAnsi="Segoe UI" w:cs="Segoe UI"/>
        </w:rPr>
        <w:t>s</w:t>
      </w:r>
      <w:r w:rsidR="00C21B2C" w:rsidRPr="00E56B33">
        <w:rPr>
          <w:rFonts w:ascii="Segoe UI" w:hAnsi="Segoe UI" w:cs="Segoe UI"/>
        </w:rPr>
        <w:t>on</w:t>
      </w:r>
      <w:r w:rsidRPr="00E56B33">
        <w:rPr>
          <w:rFonts w:ascii="Segoe UI" w:hAnsi="Segoe UI" w:cs="Segoe UI"/>
        </w:rPr>
        <w:t xml:space="preserve">al </w:t>
      </w:r>
      <w:r w:rsidR="00C21B2C" w:rsidRPr="00E56B33">
        <w:rPr>
          <w:rFonts w:ascii="Segoe UI" w:hAnsi="Segoe UI" w:cs="Segoe UI"/>
        </w:rPr>
        <w:t>adjustment</w:t>
      </w:r>
      <w:r w:rsidRPr="00E56B33">
        <w:rPr>
          <w:rFonts w:ascii="Segoe UI" w:hAnsi="Segoe UI" w:cs="Segoe UI"/>
        </w:rPr>
        <w:t xml:space="preserve">, </w:t>
      </w:r>
      <w:r w:rsidR="00E56B33">
        <w:rPr>
          <w:rFonts w:ascii="Segoe UI" w:hAnsi="Segoe UI" w:cs="Segoe UI"/>
        </w:rPr>
        <w:t>reached a monthly average of</w:t>
      </w:r>
      <w:r w:rsidRPr="00E56B33">
        <w:rPr>
          <w:rFonts w:ascii="Segoe UI" w:hAnsi="Segoe UI" w:cs="Segoe UI"/>
        </w:rPr>
        <w:t xml:space="preserve"> </w:t>
      </w:r>
      <w:r w:rsidR="003A1A7A">
        <w:rPr>
          <w:rFonts w:ascii="Segoe UI" w:hAnsi="Segoe UI" w:cs="Segoe UI"/>
        </w:rPr>
        <w:t xml:space="preserve">about </w:t>
      </w:r>
      <w:r w:rsidRPr="00E56B33">
        <w:rPr>
          <w:rFonts w:ascii="Segoe UI" w:hAnsi="Segoe UI" w:cs="Segoe UI"/>
        </w:rPr>
        <w:t xml:space="preserve">NIS </w:t>
      </w:r>
      <w:r w:rsidR="003A1A7A">
        <w:rPr>
          <w:rFonts w:ascii="Segoe UI" w:hAnsi="Segoe UI" w:cs="Segoe UI"/>
        </w:rPr>
        <w:t>10</w:t>
      </w:r>
      <w:r w:rsidRPr="00E56B33">
        <w:rPr>
          <w:rFonts w:ascii="Segoe UI" w:hAnsi="Segoe UI" w:cs="Segoe UI"/>
        </w:rPr>
        <w:t xml:space="preserve"> bi</w:t>
      </w:r>
      <w:r w:rsidR="00C21B2C" w:rsidRPr="00E56B33">
        <w:rPr>
          <w:rFonts w:ascii="Segoe UI" w:hAnsi="Segoe UI" w:cs="Segoe UI"/>
        </w:rPr>
        <w:t>l</w:t>
      </w:r>
      <w:r w:rsidRPr="00E56B33">
        <w:rPr>
          <w:rFonts w:ascii="Segoe UI" w:hAnsi="Segoe UI" w:cs="Segoe UI"/>
        </w:rPr>
        <w:t xml:space="preserve">lion, </w:t>
      </w:r>
      <w:r w:rsidR="003A1A7A">
        <w:rPr>
          <w:rFonts w:ascii="Segoe UI" w:hAnsi="Segoe UI" w:cs="Segoe UI"/>
        </w:rPr>
        <w:t>similar to</w:t>
      </w:r>
      <w:r w:rsidRPr="00E56B33">
        <w:rPr>
          <w:rFonts w:ascii="Segoe UI" w:hAnsi="Segoe UI" w:cs="Segoe UI"/>
        </w:rPr>
        <w:t xml:space="preserve"> the monthly avera</w:t>
      </w:r>
      <w:r w:rsidR="00C21B2C" w:rsidRPr="00E56B33">
        <w:rPr>
          <w:rFonts w:ascii="Segoe UI" w:hAnsi="Segoe UI" w:cs="Segoe UI"/>
        </w:rPr>
        <w:t xml:space="preserve">ge </w:t>
      </w:r>
      <w:r w:rsidRPr="00E56B33">
        <w:rPr>
          <w:rFonts w:ascii="Segoe UI" w:hAnsi="Segoe UI" w:cs="Segoe UI"/>
        </w:rPr>
        <w:t xml:space="preserve">during </w:t>
      </w:r>
      <w:r w:rsidR="00E56B33">
        <w:rPr>
          <w:rFonts w:ascii="Segoe UI" w:hAnsi="Segoe UI" w:cs="Segoe UI"/>
        </w:rPr>
        <w:t xml:space="preserve">the </w:t>
      </w:r>
      <w:r w:rsidR="00BC78DF">
        <w:rPr>
          <w:rFonts w:ascii="Segoe UI" w:hAnsi="Segoe UI" w:cs="Segoe UI"/>
        </w:rPr>
        <w:t>second quarter</w:t>
      </w:r>
      <w:r w:rsidR="00E56B33">
        <w:rPr>
          <w:rFonts w:ascii="Segoe UI" w:hAnsi="Segoe UI" w:cs="Segoe UI"/>
        </w:rPr>
        <w:t xml:space="preserve"> of 2026</w:t>
      </w:r>
      <w:r w:rsidRPr="00E56B33">
        <w:rPr>
          <w:rFonts w:ascii="Segoe UI" w:hAnsi="Segoe UI" w:cs="Segoe UI"/>
        </w:rPr>
        <w:t xml:space="preserve"> (Figure 6).</w:t>
      </w:r>
    </w:p>
    <w:p w14:paraId="5F18E53D" w14:textId="6D9C13D5" w:rsidR="004C4A1E" w:rsidRPr="007A6081" w:rsidRDefault="004C4A1E" w:rsidP="001B4DE7">
      <w:pPr>
        <w:spacing w:after="0" w:line="240" w:lineRule="auto"/>
        <w:jc w:val="both"/>
        <w:rPr>
          <w:rFonts w:asciiTheme="majorBidi" w:hAnsiTheme="majorBidi" w:cstheme="majorBidi"/>
          <w:sz w:val="24"/>
          <w:szCs w:val="24"/>
        </w:rPr>
      </w:pPr>
    </w:p>
    <w:p w14:paraId="591F4075" w14:textId="551359B0" w:rsidR="00684074" w:rsidRDefault="00684074">
      <w:pPr>
        <w:rPr>
          <w:rFonts w:asciiTheme="majorBidi" w:hAnsiTheme="majorBidi" w:cstheme="majorBidi"/>
          <w:sz w:val="24"/>
          <w:szCs w:val="24"/>
        </w:rPr>
      </w:pPr>
      <w:r>
        <w:rPr>
          <w:rFonts w:asciiTheme="majorBidi" w:hAnsiTheme="majorBidi" w:cstheme="majorBidi"/>
          <w:sz w:val="24"/>
          <w:szCs w:val="24"/>
        </w:rPr>
        <w:br w:type="page"/>
      </w:r>
    </w:p>
    <w:p w14:paraId="62648C78" w14:textId="77777777" w:rsidR="004C4A1E" w:rsidRPr="004C4A1E" w:rsidRDefault="004C4A1E" w:rsidP="004C4A1E">
      <w:pPr>
        <w:spacing w:after="0" w:line="240" w:lineRule="auto"/>
        <w:jc w:val="both"/>
        <w:rPr>
          <w:rFonts w:asciiTheme="majorBidi" w:hAnsiTheme="majorBidi" w:cstheme="majorBidi"/>
          <w:sz w:val="24"/>
          <w:szCs w:val="24"/>
        </w:rPr>
      </w:pPr>
    </w:p>
    <w:p w14:paraId="1EF8A68B" w14:textId="77777777" w:rsidR="00E12D2E" w:rsidRPr="00E56B33" w:rsidRDefault="00E12D2E" w:rsidP="004C4A1E">
      <w:pPr>
        <w:jc w:val="center"/>
        <w:rPr>
          <w:rFonts w:ascii="Segoe UI" w:hAnsi="Segoe UI" w:cs="Segoe UI"/>
          <w:b/>
          <w:bCs/>
          <w:u w:val="single"/>
        </w:rPr>
      </w:pPr>
      <w:r w:rsidRPr="00E56B33">
        <w:rPr>
          <w:rFonts w:ascii="Segoe UI" w:hAnsi="Segoe UI" w:cs="Segoe UI"/>
          <w:b/>
          <w:bCs/>
          <w:u w:val="single"/>
        </w:rPr>
        <w:t xml:space="preserve">Table </w:t>
      </w:r>
      <w:r w:rsidR="002808EA" w:rsidRPr="00E56B33">
        <w:rPr>
          <w:rFonts w:ascii="Segoe UI" w:hAnsi="Segoe UI" w:cs="Segoe UI"/>
          <w:b/>
          <w:bCs/>
          <w:u w:val="single"/>
        </w:rPr>
        <w:t>2</w:t>
      </w:r>
      <w:r w:rsidRPr="00E56B33">
        <w:rPr>
          <w:rFonts w:ascii="Segoe UI" w:hAnsi="Segoe UI" w:cs="Segoe UI"/>
          <w:b/>
          <w:bCs/>
          <w:u w:val="single"/>
        </w:rPr>
        <w:t xml:space="preserve">: Outstanding </w:t>
      </w:r>
      <w:r w:rsidR="006E1851" w:rsidRPr="00E56B33">
        <w:rPr>
          <w:rFonts w:ascii="Segoe UI" w:hAnsi="Segoe UI" w:cs="Segoe UI"/>
          <w:b/>
          <w:bCs/>
          <w:u w:val="single"/>
        </w:rPr>
        <w:t>D</w:t>
      </w:r>
      <w:r w:rsidRPr="00E56B33">
        <w:rPr>
          <w:rFonts w:ascii="Segoe UI" w:hAnsi="Segoe UI" w:cs="Segoe UI"/>
          <w:b/>
          <w:bCs/>
          <w:u w:val="single"/>
        </w:rPr>
        <w:t xml:space="preserve">ebt </w:t>
      </w:r>
      <w:r w:rsidR="006E1851" w:rsidRPr="00E56B33">
        <w:rPr>
          <w:rFonts w:ascii="Segoe UI" w:hAnsi="Segoe UI" w:cs="Segoe UI"/>
          <w:b/>
          <w:bCs/>
          <w:u w:val="single"/>
        </w:rPr>
        <w:t>B</w:t>
      </w:r>
      <w:r w:rsidRPr="00E56B33">
        <w:rPr>
          <w:rFonts w:ascii="Segoe UI" w:hAnsi="Segoe UI" w:cs="Segoe UI"/>
          <w:b/>
          <w:bCs/>
          <w:u w:val="single"/>
        </w:rPr>
        <w:t xml:space="preserve">alances of </w:t>
      </w:r>
      <w:r w:rsidR="006E1851" w:rsidRPr="00E56B33">
        <w:rPr>
          <w:rFonts w:ascii="Segoe UI" w:hAnsi="Segoe UI" w:cs="Segoe UI"/>
          <w:b/>
          <w:bCs/>
          <w:u w:val="single"/>
        </w:rPr>
        <w:t>H</w:t>
      </w:r>
      <w:r w:rsidRPr="00E56B33">
        <w:rPr>
          <w:rFonts w:ascii="Segoe UI" w:hAnsi="Segoe UI" w:cs="Segoe UI"/>
          <w:b/>
          <w:bCs/>
          <w:u w:val="single"/>
        </w:rPr>
        <w:t>ouseholds</w:t>
      </w:r>
      <w:r w:rsidR="00EF7E00" w:rsidRPr="00E56B33">
        <w:rPr>
          <w:rFonts w:ascii="Segoe UI" w:hAnsi="Segoe UI" w:cs="Segoe UI"/>
          <w:b/>
          <w:bCs/>
          <w:u w:val="single"/>
          <w:vertAlign w:val="superscript"/>
        </w:rPr>
        <w:t>1</w:t>
      </w:r>
    </w:p>
    <w:p w14:paraId="4419D466" w14:textId="5B9F7EE9" w:rsidR="00E12D2E" w:rsidRPr="00E56B33" w:rsidRDefault="00B10A36" w:rsidP="00846F1D">
      <w:pPr>
        <w:spacing w:before="240" w:after="0" w:line="240" w:lineRule="auto"/>
        <w:jc w:val="center"/>
        <w:rPr>
          <w:rFonts w:ascii="Segoe UI" w:hAnsi="Segoe UI" w:cs="Segoe UI"/>
          <w:noProof/>
        </w:rPr>
      </w:pPr>
      <w:r w:rsidRPr="00B10A36">
        <w:rPr>
          <w:noProof/>
        </w:rPr>
        <w:drawing>
          <wp:inline distT="0" distB="0" distL="0" distR="0" wp14:anchorId="53092D73" wp14:editId="16237E3D">
            <wp:extent cx="5940425" cy="3639263"/>
            <wp:effectExtent l="0" t="0" r="317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639263"/>
                    </a:xfrm>
                    <a:prstGeom prst="rect">
                      <a:avLst/>
                    </a:prstGeom>
                    <a:noFill/>
                    <a:ln>
                      <a:noFill/>
                    </a:ln>
                  </pic:spPr>
                </pic:pic>
              </a:graphicData>
            </a:graphic>
          </wp:inline>
        </w:drawing>
      </w:r>
    </w:p>
    <w:p w14:paraId="26F1833C" w14:textId="77777777" w:rsidR="00A5598D" w:rsidRPr="00E56B33" w:rsidRDefault="002A455A" w:rsidP="004C4A1E">
      <w:pPr>
        <w:spacing w:before="480" w:line="240" w:lineRule="auto"/>
        <w:jc w:val="center"/>
        <w:rPr>
          <w:rFonts w:ascii="Segoe UI" w:hAnsi="Segoe UI" w:cs="Segoe UI"/>
          <w:b/>
          <w:bCs/>
          <w:u w:val="single"/>
        </w:rPr>
      </w:pPr>
      <w:r w:rsidRPr="00E56B33">
        <w:rPr>
          <w:rFonts w:ascii="Segoe UI" w:hAnsi="Segoe UI" w:cs="Segoe UI"/>
          <w:b/>
          <w:bCs/>
          <w:u w:val="single"/>
        </w:rPr>
        <w:t xml:space="preserve">Figure </w:t>
      </w:r>
      <w:r w:rsidR="00473011" w:rsidRPr="00E56B33">
        <w:rPr>
          <w:rFonts w:ascii="Segoe UI" w:hAnsi="Segoe UI" w:cs="Segoe UI"/>
          <w:b/>
          <w:bCs/>
          <w:u w:val="single"/>
        </w:rPr>
        <w:t>5</w:t>
      </w:r>
      <w:r w:rsidRPr="00E56B33">
        <w:rPr>
          <w:rFonts w:ascii="Segoe UI" w:hAnsi="Segoe UI" w:cs="Segoe UI"/>
          <w:b/>
          <w:bCs/>
          <w:u w:val="single"/>
        </w:rPr>
        <w:t xml:space="preserve">: </w:t>
      </w:r>
      <w:r w:rsidR="00800174" w:rsidRPr="00E56B33">
        <w:rPr>
          <w:rFonts w:ascii="Segoe UI" w:hAnsi="Segoe UI" w:cs="Segoe UI"/>
          <w:b/>
          <w:bCs/>
          <w:u w:val="single"/>
        </w:rPr>
        <w:t>R</w:t>
      </w:r>
      <w:r w:rsidRPr="00E56B33">
        <w:rPr>
          <w:rFonts w:ascii="Segoe UI" w:hAnsi="Segoe UI" w:cs="Segoe UI"/>
          <w:b/>
          <w:bCs/>
          <w:u w:val="single"/>
        </w:rPr>
        <w:t xml:space="preserve">ates of </w:t>
      </w:r>
      <w:r w:rsidR="00800174" w:rsidRPr="00E56B33">
        <w:rPr>
          <w:rFonts w:ascii="Segoe UI" w:hAnsi="Segoe UI" w:cs="Segoe UI"/>
          <w:b/>
          <w:bCs/>
          <w:u w:val="single"/>
        </w:rPr>
        <w:t>C</w:t>
      </w:r>
      <w:r w:rsidRPr="00E56B33">
        <w:rPr>
          <w:rFonts w:ascii="Segoe UI" w:hAnsi="Segoe UI" w:cs="Segoe UI"/>
          <w:b/>
          <w:bCs/>
          <w:u w:val="single"/>
        </w:rPr>
        <w:t xml:space="preserve">hange in </w:t>
      </w:r>
      <w:r w:rsidR="00800174" w:rsidRPr="00E56B33">
        <w:rPr>
          <w:rFonts w:ascii="Segoe UI" w:hAnsi="Segoe UI" w:cs="Segoe UI"/>
          <w:b/>
          <w:bCs/>
          <w:u w:val="single"/>
        </w:rPr>
        <w:t>H</w:t>
      </w:r>
      <w:r w:rsidRPr="00E56B33">
        <w:rPr>
          <w:rFonts w:ascii="Segoe UI" w:hAnsi="Segoe UI" w:cs="Segoe UI"/>
          <w:b/>
          <w:bCs/>
          <w:u w:val="single"/>
        </w:rPr>
        <w:t>ousehold</w:t>
      </w:r>
      <w:r w:rsidR="00DF5DF8" w:rsidRPr="00E56B33">
        <w:rPr>
          <w:rFonts w:ascii="Segoe UI" w:hAnsi="Segoe UI" w:cs="Segoe UI"/>
          <w:b/>
          <w:bCs/>
          <w:u w:val="single"/>
        </w:rPr>
        <w:t>s’</w:t>
      </w:r>
      <w:r w:rsidRPr="00E56B33">
        <w:rPr>
          <w:rFonts w:ascii="Segoe UI" w:hAnsi="Segoe UI" w:cs="Segoe UI"/>
          <w:b/>
          <w:bCs/>
          <w:u w:val="single"/>
        </w:rPr>
        <w:t xml:space="preserve"> </w:t>
      </w:r>
      <w:r w:rsidR="00800174" w:rsidRPr="00E56B33">
        <w:rPr>
          <w:rFonts w:ascii="Segoe UI" w:hAnsi="Segoe UI" w:cs="Segoe UI"/>
          <w:b/>
          <w:bCs/>
          <w:u w:val="single"/>
        </w:rPr>
        <w:t>H</w:t>
      </w:r>
      <w:r w:rsidRPr="00E56B33">
        <w:rPr>
          <w:rFonts w:ascii="Segoe UI" w:hAnsi="Segoe UI" w:cs="Segoe UI"/>
          <w:b/>
          <w:bCs/>
          <w:u w:val="single"/>
        </w:rPr>
        <w:t xml:space="preserve">ousing and </w:t>
      </w:r>
      <w:r w:rsidR="00800174" w:rsidRPr="00E56B33">
        <w:rPr>
          <w:rFonts w:ascii="Segoe UI" w:hAnsi="Segoe UI" w:cs="Segoe UI"/>
          <w:b/>
          <w:bCs/>
          <w:u w:val="single"/>
        </w:rPr>
        <w:t>N</w:t>
      </w:r>
      <w:r w:rsidRPr="00E56B33">
        <w:rPr>
          <w:rFonts w:ascii="Segoe UI" w:hAnsi="Segoe UI" w:cs="Segoe UI"/>
          <w:b/>
          <w:bCs/>
          <w:u w:val="single"/>
        </w:rPr>
        <w:t xml:space="preserve">onhousing </w:t>
      </w:r>
      <w:r w:rsidR="00800174" w:rsidRPr="00E56B33">
        <w:rPr>
          <w:rFonts w:ascii="Segoe UI" w:hAnsi="Segoe UI" w:cs="Segoe UI"/>
          <w:b/>
          <w:bCs/>
          <w:u w:val="single"/>
        </w:rPr>
        <w:t>D</w:t>
      </w:r>
      <w:r w:rsidRPr="00E56B33">
        <w:rPr>
          <w:rFonts w:ascii="Segoe UI" w:hAnsi="Segoe UI" w:cs="Segoe UI"/>
          <w:b/>
          <w:bCs/>
          <w:u w:val="single"/>
        </w:rPr>
        <w:t>ebt</w:t>
      </w:r>
      <w:r w:rsidR="00800174" w:rsidRPr="00E56B33">
        <w:rPr>
          <w:rFonts w:ascii="Segoe UI" w:hAnsi="Segoe UI" w:cs="Segoe UI"/>
          <w:b/>
          <w:bCs/>
          <w:u w:val="single"/>
        </w:rPr>
        <w:t>, Current Quarter vs. Corresponding Quarter of Previous Year</w:t>
      </w:r>
    </w:p>
    <w:p w14:paraId="1A446B7E" w14:textId="41ADF8B4" w:rsidR="004C4A1E" w:rsidRPr="00E56B33" w:rsidRDefault="00B10A36" w:rsidP="004C4A1E">
      <w:pPr>
        <w:spacing w:after="0" w:line="240" w:lineRule="auto"/>
        <w:jc w:val="center"/>
        <w:rPr>
          <w:rFonts w:ascii="Segoe UI" w:hAnsi="Segoe UI" w:cs="Segoe UI"/>
          <w:b/>
          <w:bCs/>
        </w:rPr>
      </w:pPr>
      <w:r w:rsidRPr="00B10A36">
        <w:rPr>
          <w:noProof/>
        </w:rPr>
        <w:drawing>
          <wp:inline distT="0" distB="0" distL="0" distR="0" wp14:anchorId="60E7DCFA" wp14:editId="40636F34">
            <wp:extent cx="5568950" cy="2743200"/>
            <wp:effectExtent l="0" t="0" r="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68950" cy="2743200"/>
                    </a:xfrm>
                    <a:prstGeom prst="rect">
                      <a:avLst/>
                    </a:prstGeom>
                    <a:noFill/>
                    <a:ln>
                      <a:noFill/>
                    </a:ln>
                  </pic:spPr>
                </pic:pic>
              </a:graphicData>
            </a:graphic>
          </wp:inline>
        </w:drawing>
      </w:r>
    </w:p>
    <w:p w14:paraId="4DDC7A51" w14:textId="77777777" w:rsidR="00E12D2E" w:rsidRPr="00E56B33" w:rsidRDefault="00E12D2E" w:rsidP="00473011">
      <w:pPr>
        <w:spacing w:before="480" w:after="0" w:line="240" w:lineRule="auto"/>
        <w:jc w:val="center"/>
        <w:rPr>
          <w:rFonts w:ascii="Segoe UI" w:hAnsi="Segoe UI" w:cs="Segoe UI"/>
          <w:b/>
          <w:bCs/>
          <w:u w:val="single"/>
        </w:rPr>
      </w:pPr>
      <w:r w:rsidRPr="00E56B33">
        <w:rPr>
          <w:rFonts w:ascii="Segoe UI" w:hAnsi="Segoe UI" w:cs="Segoe UI"/>
          <w:b/>
          <w:bCs/>
          <w:u w:val="single"/>
        </w:rPr>
        <w:t xml:space="preserve">Figure </w:t>
      </w:r>
      <w:r w:rsidR="00473011" w:rsidRPr="00E56B33">
        <w:rPr>
          <w:rFonts w:ascii="Segoe UI" w:hAnsi="Segoe UI" w:cs="Segoe UI"/>
          <w:b/>
          <w:bCs/>
          <w:u w:val="single"/>
        </w:rPr>
        <w:t>6</w:t>
      </w:r>
      <w:r w:rsidRPr="00E56B33">
        <w:rPr>
          <w:rFonts w:ascii="Segoe UI" w:hAnsi="Segoe UI" w:cs="Segoe UI"/>
          <w:b/>
          <w:bCs/>
          <w:u w:val="single"/>
        </w:rPr>
        <w:t xml:space="preserve"> :</w:t>
      </w:r>
      <w:r w:rsidR="00010832" w:rsidRPr="00E56B33">
        <w:rPr>
          <w:rFonts w:ascii="Segoe UI" w:hAnsi="Segoe UI" w:cs="Segoe UI"/>
          <w:b/>
          <w:bCs/>
          <w:u w:val="single"/>
        </w:rPr>
        <w:t>Amount of New Home Purchase Loans Provided by Banks to the Public (Mortgages)</w:t>
      </w:r>
    </w:p>
    <w:p w14:paraId="1E4D6273" w14:textId="411F1D08" w:rsidR="00C1433E" w:rsidRPr="00E56B33" w:rsidRDefault="00B10A36" w:rsidP="00584BBA">
      <w:pPr>
        <w:spacing w:before="240" w:after="0" w:line="240" w:lineRule="auto"/>
        <w:jc w:val="center"/>
        <w:rPr>
          <w:rFonts w:ascii="Segoe UI" w:hAnsi="Segoe UI" w:cs="Segoe UI"/>
          <w:noProof/>
        </w:rPr>
      </w:pPr>
      <w:bookmarkStart w:id="0" w:name="_GoBack"/>
      <w:r>
        <w:rPr>
          <w:rFonts w:ascii="Segoe UI" w:hAnsi="Segoe UI" w:cs="Segoe UI"/>
          <w:noProof/>
        </w:rPr>
        <w:lastRenderedPageBreak/>
        <w:drawing>
          <wp:inline distT="0" distB="0" distL="0" distR="0" wp14:anchorId="6A79F376" wp14:editId="2FC203F8">
            <wp:extent cx="5273675" cy="2822575"/>
            <wp:effectExtent l="0" t="0" r="3175"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3675" cy="2822575"/>
                    </a:xfrm>
                    <a:prstGeom prst="rect">
                      <a:avLst/>
                    </a:prstGeom>
                    <a:noFill/>
                  </pic:spPr>
                </pic:pic>
              </a:graphicData>
            </a:graphic>
          </wp:inline>
        </w:drawing>
      </w:r>
      <w:bookmarkEnd w:id="0"/>
    </w:p>
    <w:p w14:paraId="19C69445" w14:textId="61A862B4" w:rsidR="002D7E10" w:rsidRPr="00E56B33" w:rsidRDefault="00584BBA" w:rsidP="006010D5">
      <w:pPr>
        <w:spacing w:before="480" w:after="0" w:line="240" w:lineRule="auto"/>
        <w:jc w:val="both"/>
        <w:rPr>
          <w:rFonts w:ascii="Segoe UI" w:hAnsi="Segoe UI" w:cs="Segoe UI"/>
          <w:rtl/>
        </w:rPr>
      </w:pPr>
      <w:r w:rsidRPr="00E56B33">
        <w:rPr>
          <w:rFonts w:ascii="Segoe UI" w:hAnsi="Segoe UI" w:cs="Segoe UI"/>
        </w:rPr>
        <w:t>L</w:t>
      </w:r>
      <w:r w:rsidR="002D7E10" w:rsidRPr="00E56B33">
        <w:rPr>
          <w:rFonts w:ascii="Segoe UI" w:hAnsi="Segoe UI" w:cs="Segoe UI"/>
        </w:rPr>
        <w:t xml:space="preserve">inks to Data </w:t>
      </w:r>
      <w:r w:rsidR="008D3530" w:rsidRPr="00E56B33">
        <w:rPr>
          <w:rFonts w:ascii="Segoe UI" w:hAnsi="Segoe UI" w:cs="Segoe UI"/>
        </w:rPr>
        <w:t xml:space="preserve">and Statistics </w:t>
      </w:r>
      <w:r w:rsidR="002D7E10" w:rsidRPr="00E56B33">
        <w:rPr>
          <w:rFonts w:ascii="Segoe UI" w:hAnsi="Segoe UI" w:cs="Segoe UI"/>
        </w:rPr>
        <w:t>on the Bank of Israel website:</w:t>
      </w:r>
    </w:p>
    <w:p w14:paraId="5CA9AB9E" w14:textId="77777777" w:rsidR="00E75BD4" w:rsidRPr="00E56B33" w:rsidRDefault="008C1C08" w:rsidP="00E75BD4">
      <w:pPr>
        <w:jc w:val="both"/>
        <w:rPr>
          <w:rFonts w:ascii="Segoe UI" w:hAnsi="Segoe UI" w:cs="Segoe UI"/>
        </w:rPr>
      </w:pPr>
      <w:hyperlink r:id="rId17" w:history="1">
        <w:r w:rsidR="00E75BD4" w:rsidRPr="00E56B33">
          <w:rPr>
            <w:rStyle w:val="Hyperlink"/>
            <w:rFonts w:ascii="Segoe UI" w:hAnsi="Segoe UI" w:cs="Segoe UI"/>
          </w:rPr>
          <w:t>https://www.boi.org.il/en/economic-roles/data-and-statistics/money-and-debt-aggregates/debt-and-credit/</w:t>
        </w:r>
      </w:hyperlink>
    </w:p>
    <w:p w14:paraId="13DF8403" w14:textId="77777777" w:rsidR="00E75BD4" w:rsidRPr="00E56B33" w:rsidRDefault="00E75BD4" w:rsidP="006010D5">
      <w:pPr>
        <w:spacing w:before="480" w:after="0" w:line="240" w:lineRule="auto"/>
        <w:jc w:val="both"/>
        <w:rPr>
          <w:rFonts w:ascii="Segoe UI" w:hAnsi="Segoe UI" w:cs="Segoe UI"/>
        </w:rPr>
      </w:pPr>
    </w:p>
    <w:sectPr w:rsidR="00E75BD4" w:rsidRPr="00E56B33" w:rsidSect="00846122">
      <w:footerReference w:type="default" r:id="rId18"/>
      <w:pgSz w:w="12240" w:h="15840"/>
      <w:pgMar w:top="709" w:right="146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3266F" w14:textId="77777777" w:rsidR="000B237D" w:rsidRDefault="000B237D" w:rsidP="00A06BF2">
      <w:pPr>
        <w:spacing w:after="0" w:line="240" w:lineRule="auto"/>
      </w:pPr>
      <w:r>
        <w:separator/>
      </w:r>
    </w:p>
  </w:endnote>
  <w:endnote w:type="continuationSeparator" w:id="0">
    <w:p w14:paraId="52C25E8C" w14:textId="77777777" w:rsidR="000B237D" w:rsidRDefault="000B237D" w:rsidP="00A06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C0C57" w14:textId="4092C457" w:rsidR="000B237D" w:rsidRPr="00E56B33" w:rsidRDefault="000B237D" w:rsidP="001A6032">
    <w:pPr>
      <w:pStyle w:val="Footer"/>
      <w:jc w:val="center"/>
      <w:rPr>
        <w:rFonts w:cstheme="minorHAnsi"/>
        <w:sz w:val="24"/>
        <w:szCs w:val="24"/>
      </w:rPr>
    </w:pPr>
    <w:r w:rsidRPr="00E56B33">
      <w:rPr>
        <w:rFonts w:cstheme="minorHAnsi"/>
        <w:sz w:val="24"/>
        <w:szCs w:val="24"/>
      </w:rPr>
      <w:t xml:space="preserve">Debt Developments in the Nonfinancial Private Sector, </w:t>
    </w:r>
    <w:r w:rsidR="001A6032">
      <w:rPr>
        <w:rFonts w:cstheme="minorHAnsi"/>
        <w:sz w:val="24"/>
        <w:szCs w:val="24"/>
      </w:rPr>
      <w:t>second</w:t>
    </w:r>
    <w:r w:rsidRPr="00E56B33">
      <w:rPr>
        <w:rFonts w:cstheme="minorHAnsi"/>
        <w:sz w:val="24"/>
        <w:szCs w:val="24"/>
      </w:rPr>
      <w:t xml:space="preserve"> quarter of 2026</w:t>
    </w:r>
  </w:p>
  <w:p w14:paraId="7DD2583E" w14:textId="16233F7E" w:rsidR="000B237D" w:rsidRPr="00E56B33" w:rsidRDefault="000B237D" w:rsidP="009F4F50">
    <w:pPr>
      <w:pStyle w:val="Footer"/>
      <w:jc w:val="center"/>
      <w:rPr>
        <w:rFonts w:cstheme="minorHAnsi"/>
      </w:rPr>
    </w:pPr>
    <w:r w:rsidRPr="00E56B33">
      <w:rPr>
        <w:rFonts w:cstheme="minorHAnsi"/>
      </w:rPr>
      <w:t>Page</w:t>
    </w:r>
    <w:r w:rsidRPr="00E56B33">
      <w:rPr>
        <w:rFonts w:cstheme="minorHAnsi"/>
        <w:rtl/>
        <w:cs/>
        <w:lang w:val="he-IL"/>
      </w:rPr>
      <w:t xml:space="preserve"> </w:t>
    </w:r>
    <w:r w:rsidRPr="00E56B33">
      <w:rPr>
        <w:rFonts w:cstheme="minorHAnsi"/>
        <w:sz w:val="24"/>
        <w:szCs w:val="24"/>
      </w:rPr>
      <w:fldChar w:fldCharType="begin"/>
    </w:r>
    <w:r w:rsidRPr="00E56B33">
      <w:rPr>
        <w:rFonts w:cstheme="minorHAnsi"/>
        <w:rtl/>
        <w:cs/>
      </w:rPr>
      <w:instrText>PAGE</w:instrText>
    </w:r>
    <w:r w:rsidRPr="00E56B33">
      <w:rPr>
        <w:rFonts w:cstheme="minorHAnsi"/>
        <w:sz w:val="24"/>
        <w:szCs w:val="24"/>
      </w:rPr>
      <w:fldChar w:fldCharType="separate"/>
    </w:r>
    <w:r w:rsidR="008C1C08">
      <w:rPr>
        <w:rFonts w:cstheme="minorHAnsi"/>
        <w:noProof/>
        <w:sz w:val="24"/>
        <w:szCs w:val="24"/>
      </w:rPr>
      <w:t>6</w:t>
    </w:r>
    <w:r w:rsidRPr="00E56B33">
      <w:rPr>
        <w:rFonts w:cstheme="minorHAnsi"/>
        <w:sz w:val="24"/>
        <w:szCs w:val="24"/>
      </w:rPr>
      <w:fldChar w:fldCharType="end"/>
    </w:r>
    <w:r w:rsidRPr="00E56B33">
      <w:rPr>
        <w:rFonts w:cstheme="minorHAnsi"/>
        <w:rtl/>
        <w:cs/>
        <w:lang w:val="he-IL"/>
      </w:rPr>
      <w:t xml:space="preserve"> </w:t>
    </w:r>
    <w:r w:rsidRPr="00E56B33">
      <w:rPr>
        <w:rFonts w:cstheme="minorHAnsi"/>
      </w:rPr>
      <w:t>of</w:t>
    </w:r>
    <w:r w:rsidRPr="00E56B33">
      <w:rPr>
        <w:rFonts w:cstheme="minorHAnsi"/>
        <w:rtl/>
        <w:cs/>
        <w:lang w:val="he-IL"/>
      </w:rPr>
      <w:t xml:space="preserve"> </w:t>
    </w:r>
    <w:r w:rsidRPr="00E56B33">
      <w:rPr>
        <w:rFonts w:cstheme="minorHAnsi"/>
        <w:sz w:val="24"/>
        <w:szCs w:val="24"/>
      </w:rPr>
      <w:fldChar w:fldCharType="begin"/>
    </w:r>
    <w:r w:rsidRPr="00E56B33">
      <w:rPr>
        <w:rFonts w:cstheme="minorHAnsi"/>
        <w:rtl/>
        <w:cs/>
      </w:rPr>
      <w:instrText>NUMPAGES</w:instrText>
    </w:r>
    <w:r w:rsidRPr="00E56B33">
      <w:rPr>
        <w:rFonts w:cstheme="minorHAnsi"/>
        <w:sz w:val="24"/>
        <w:szCs w:val="24"/>
      </w:rPr>
      <w:fldChar w:fldCharType="separate"/>
    </w:r>
    <w:r w:rsidR="008C1C08">
      <w:rPr>
        <w:rFonts w:cstheme="minorHAnsi"/>
        <w:noProof/>
        <w:sz w:val="24"/>
        <w:szCs w:val="24"/>
      </w:rPr>
      <w:t>7</w:t>
    </w:r>
    <w:r w:rsidRPr="00E56B33">
      <w:rPr>
        <w:rFonts w:cstheme="minorHAns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83574" w14:textId="77777777" w:rsidR="000B237D" w:rsidRDefault="000B237D" w:rsidP="00A06BF2">
      <w:pPr>
        <w:spacing w:after="0" w:line="240" w:lineRule="auto"/>
      </w:pPr>
      <w:r>
        <w:separator/>
      </w:r>
    </w:p>
  </w:footnote>
  <w:footnote w:type="continuationSeparator" w:id="0">
    <w:p w14:paraId="42DFCCA5" w14:textId="77777777" w:rsidR="000B237D" w:rsidRDefault="000B237D" w:rsidP="00A06BF2">
      <w:pPr>
        <w:spacing w:after="0" w:line="240" w:lineRule="auto"/>
      </w:pPr>
      <w:r>
        <w:continuationSeparator/>
      </w:r>
    </w:p>
  </w:footnote>
  <w:footnote w:id="1">
    <w:p w14:paraId="72FDDA32" w14:textId="64E0A54B" w:rsidR="000B237D" w:rsidRPr="00E56B33" w:rsidRDefault="000B237D">
      <w:pPr>
        <w:pStyle w:val="FootnoteText"/>
        <w:rPr>
          <w:rFonts w:ascii="Segoe UI" w:hAnsi="Segoe UI" w:cs="Segoe UI"/>
        </w:rPr>
      </w:pPr>
      <w:r w:rsidRPr="00E56B33">
        <w:rPr>
          <w:rStyle w:val="FootnoteReference"/>
          <w:rFonts w:ascii="Segoe UI" w:hAnsi="Segoe UI" w:cs="Segoe UI"/>
        </w:rPr>
        <w:footnoteRef/>
      </w:r>
      <w:r w:rsidRPr="00E56B33">
        <w:rPr>
          <w:rFonts w:ascii="Segoe UI" w:hAnsi="Segoe UI" w:cs="Segoe UI"/>
        </w:rPr>
        <w:t xml:space="preserve"> Israeli corporations, excluding banks, credit card companies, and insurance companies.</w:t>
      </w:r>
    </w:p>
  </w:footnote>
  <w:footnote w:id="2">
    <w:p w14:paraId="54F81838" w14:textId="6E7112B8" w:rsidR="000B237D" w:rsidRPr="00E56B33" w:rsidRDefault="000B237D" w:rsidP="002C37DA">
      <w:pPr>
        <w:pStyle w:val="FootnoteText"/>
        <w:rPr>
          <w:rFonts w:ascii="Segoe UI" w:hAnsi="Segoe UI" w:cs="Segoe UI"/>
        </w:rPr>
      </w:pPr>
      <w:r w:rsidRPr="00E56B33">
        <w:rPr>
          <w:rStyle w:val="FootnoteReference"/>
          <w:rFonts w:ascii="Segoe UI" w:hAnsi="Segoe UI" w:cs="Segoe UI"/>
        </w:rPr>
        <w:footnoteRef/>
      </w:r>
      <w:r w:rsidRPr="00E56B33">
        <w:rPr>
          <w:rFonts w:ascii="Segoe UI" w:hAnsi="Segoe UI" w:cs="Segoe UI"/>
        </w:rPr>
        <w:t xml:space="preserve"> Balances indexed to the CPI are calculated according to the CPI known at the time the financial statements are prepared.  As such, a change in the CPI relates to changes between the known CPI and the CPI of the preceding month.</w:t>
      </w:r>
    </w:p>
  </w:footnote>
  <w:footnote w:id="3">
    <w:p w14:paraId="1DE44997" w14:textId="7E1CFB9D" w:rsidR="000B237D" w:rsidRPr="00E56B33" w:rsidRDefault="000B237D" w:rsidP="00766D12">
      <w:pPr>
        <w:pStyle w:val="FootnoteText"/>
        <w:tabs>
          <w:tab w:val="left" w:pos="8460"/>
        </w:tabs>
        <w:rPr>
          <w:rFonts w:ascii="Segoe UI" w:hAnsi="Segoe UI" w:cs="Segoe UI"/>
        </w:rPr>
      </w:pPr>
      <w:r w:rsidRPr="00E56B33">
        <w:rPr>
          <w:rStyle w:val="FootnoteReference"/>
          <w:rFonts w:ascii="Segoe UI" w:hAnsi="Segoe UI" w:cs="Segoe UI"/>
        </w:rPr>
        <w:footnoteRef/>
      </w:r>
      <w:r w:rsidRPr="00E56B33">
        <w:rPr>
          <w:rFonts w:ascii="Segoe UI" w:hAnsi="Segoe UI" w:cs="Segoe UI"/>
        </w:rPr>
        <w:t xml:space="preserve"> The change in the spread from one quarter to the next is calculated as the difference between the average spread in the final month of the reviewed quarter and the average spread in the final month of the previous quarter.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0333"/>
    <w:multiLevelType w:val="hybridMultilevel"/>
    <w:tmpl w:val="C5025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63CBC"/>
    <w:multiLevelType w:val="hybridMultilevel"/>
    <w:tmpl w:val="01964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58718C0"/>
    <w:multiLevelType w:val="hybridMultilevel"/>
    <w:tmpl w:val="60D2E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28614BC"/>
    <w:multiLevelType w:val="hybridMultilevel"/>
    <w:tmpl w:val="691E4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A82E27"/>
    <w:multiLevelType w:val="hybridMultilevel"/>
    <w:tmpl w:val="777E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F88"/>
    <w:rsid w:val="00005548"/>
    <w:rsid w:val="00006B66"/>
    <w:rsid w:val="00010832"/>
    <w:rsid w:val="00011436"/>
    <w:rsid w:val="00011C1F"/>
    <w:rsid w:val="00012FDF"/>
    <w:rsid w:val="00013B59"/>
    <w:rsid w:val="00016D01"/>
    <w:rsid w:val="000203E8"/>
    <w:rsid w:val="000216DA"/>
    <w:rsid w:val="0002234D"/>
    <w:rsid w:val="000242C5"/>
    <w:rsid w:val="00025780"/>
    <w:rsid w:val="00026C90"/>
    <w:rsid w:val="00030B0E"/>
    <w:rsid w:val="00033390"/>
    <w:rsid w:val="00034D80"/>
    <w:rsid w:val="00034F24"/>
    <w:rsid w:val="000413BF"/>
    <w:rsid w:val="00046A6C"/>
    <w:rsid w:val="00046B1A"/>
    <w:rsid w:val="00053DB3"/>
    <w:rsid w:val="00054324"/>
    <w:rsid w:val="00057334"/>
    <w:rsid w:val="00061E78"/>
    <w:rsid w:val="0006462A"/>
    <w:rsid w:val="00070EEA"/>
    <w:rsid w:val="00071D5B"/>
    <w:rsid w:val="000778C6"/>
    <w:rsid w:val="00080E4D"/>
    <w:rsid w:val="00082322"/>
    <w:rsid w:val="00094C0D"/>
    <w:rsid w:val="000A0F4D"/>
    <w:rsid w:val="000A14D2"/>
    <w:rsid w:val="000A1EFA"/>
    <w:rsid w:val="000A2969"/>
    <w:rsid w:val="000A542B"/>
    <w:rsid w:val="000A5F95"/>
    <w:rsid w:val="000A75C5"/>
    <w:rsid w:val="000B0609"/>
    <w:rsid w:val="000B237D"/>
    <w:rsid w:val="000B3141"/>
    <w:rsid w:val="000B3245"/>
    <w:rsid w:val="000B56C8"/>
    <w:rsid w:val="000B79DC"/>
    <w:rsid w:val="000C5175"/>
    <w:rsid w:val="000C5E6A"/>
    <w:rsid w:val="000C6F20"/>
    <w:rsid w:val="000C7744"/>
    <w:rsid w:val="000D26FC"/>
    <w:rsid w:val="000D4F9F"/>
    <w:rsid w:val="000D66E9"/>
    <w:rsid w:val="000E12B9"/>
    <w:rsid w:val="000E5F5D"/>
    <w:rsid w:val="000F0711"/>
    <w:rsid w:val="000F403C"/>
    <w:rsid w:val="000F5BCB"/>
    <w:rsid w:val="000F7403"/>
    <w:rsid w:val="000F77CA"/>
    <w:rsid w:val="001004B8"/>
    <w:rsid w:val="0010061D"/>
    <w:rsid w:val="00101D53"/>
    <w:rsid w:val="00102F7B"/>
    <w:rsid w:val="0010432C"/>
    <w:rsid w:val="00105660"/>
    <w:rsid w:val="001079C2"/>
    <w:rsid w:val="00107B16"/>
    <w:rsid w:val="00110CE1"/>
    <w:rsid w:val="0011626B"/>
    <w:rsid w:val="00116F55"/>
    <w:rsid w:val="00117045"/>
    <w:rsid w:val="00120934"/>
    <w:rsid w:val="00122419"/>
    <w:rsid w:val="001246EE"/>
    <w:rsid w:val="00133C83"/>
    <w:rsid w:val="00134C09"/>
    <w:rsid w:val="00134C62"/>
    <w:rsid w:val="001421F1"/>
    <w:rsid w:val="001435F1"/>
    <w:rsid w:val="001435F6"/>
    <w:rsid w:val="00145289"/>
    <w:rsid w:val="0014730C"/>
    <w:rsid w:val="00150A31"/>
    <w:rsid w:val="00155E4D"/>
    <w:rsid w:val="00155F03"/>
    <w:rsid w:val="00156209"/>
    <w:rsid w:val="00160BD2"/>
    <w:rsid w:val="001624F1"/>
    <w:rsid w:val="00163FBC"/>
    <w:rsid w:val="00171333"/>
    <w:rsid w:val="00174244"/>
    <w:rsid w:val="001748E9"/>
    <w:rsid w:val="00180ADC"/>
    <w:rsid w:val="00192B8C"/>
    <w:rsid w:val="00196653"/>
    <w:rsid w:val="0019769C"/>
    <w:rsid w:val="001A53BA"/>
    <w:rsid w:val="001A5423"/>
    <w:rsid w:val="001A6032"/>
    <w:rsid w:val="001B2025"/>
    <w:rsid w:val="001B335C"/>
    <w:rsid w:val="001B4DE7"/>
    <w:rsid w:val="001B7BBA"/>
    <w:rsid w:val="001C24DA"/>
    <w:rsid w:val="001C74E5"/>
    <w:rsid w:val="001D3766"/>
    <w:rsid w:val="001D5578"/>
    <w:rsid w:val="001D7C2C"/>
    <w:rsid w:val="001E0354"/>
    <w:rsid w:val="001E03E7"/>
    <w:rsid w:val="001E2D7A"/>
    <w:rsid w:val="001E47E3"/>
    <w:rsid w:val="001E69F4"/>
    <w:rsid w:val="001F1F0E"/>
    <w:rsid w:val="001F31D4"/>
    <w:rsid w:val="001F793C"/>
    <w:rsid w:val="002006A6"/>
    <w:rsid w:val="00200B05"/>
    <w:rsid w:val="0020149C"/>
    <w:rsid w:val="00202954"/>
    <w:rsid w:val="0020361A"/>
    <w:rsid w:val="00204DD9"/>
    <w:rsid w:val="00206102"/>
    <w:rsid w:val="002078C6"/>
    <w:rsid w:val="00210167"/>
    <w:rsid w:val="0021153B"/>
    <w:rsid w:val="00211B16"/>
    <w:rsid w:val="002144B8"/>
    <w:rsid w:val="0022178C"/>
    <w:rsid w:val="00223062"/>
    <w:rsid w:val="00224F83"/>
    <w:rsid w:val="002250D0"/>
    <w:rsid w:val="00227AA4"/>
    <w:rsid w:val="00230451"/>
    <w:rsid w:val="00230EF5"/>
    <w:rsid w:val="00231AEA"/>
    <w:rsid w:val="00234C92"/>
    <w:rsid w:val="0023674F"/>
    <w:rsid w:val="00245ABB"/>
    <w:rsid w:val="00251DAC"/>
    <w:rsid w:val="002525DD"/>
    <w:rsid w:val="002539D1"/>
    <w:rsid w:val="002540B2"/>
    <w:rsid w:val="0025603D"/>
    <w:rsid w:val="00263F12"/>
    <w:rsid w:val="00266DFF"/>
    <w:rsid w:val="00266EA8"/>
    <w:rsid w:val="00271346"/>
    <w:rsid w:val="002735F9"/>
    <w:rsid w:val="00273622"/>
    <w:rsid w:val="0027509F"/>
    <w:rsid w:val="002808EA"/>
    <w:rsid w:val="0028623F"/>
    <w:rsid w:val="00294C24"/>
    <w:rsid w:val="00296730"/>
    <w:rsid w:val="0029681A"/>
    <w:rsid w:val="00296AC8"/>
    <w:rsid w:val="002A3332"/>
    <w:rsid w:val="002A455A"/>
    <w:rsid w:val="002A5535"/>
    <w:rsid w:val="002B25AC"/>
    <w:rsid w:val="002B3782"/>
    <w:rsid w:val="002B6C8C"/>
    <w:rsid w:val="002C15A3"/>
    <w:rsid w:val="002C37DA"/>
    <w:rsid w:val="002C6B99"/>
    <w:rsid w:val="002C70E3"/>
    <w:rsid w:val="002C7AB2"/>
    <w:rsid w:val="002C7C12"/>
    <w:rsid w:val="002D626A"/>
    <w:rsid w:val="002D7E10"/>
    <w:rsid w:val="002E3F49"/>
    <w:rsid w:val="002E7C60"/>
    <w:rsid w:val="002F257B"/>
    <w:rsid w:val="002F28CA"/>
    <w:rsid w:val="002F37FF"/>
    <w:rsid w:val="002F475D"/>
    <w:rsid w:val="002F6792"/>
    <w:rsid w:val="00300FA9"/>
    <w:rsid w:val="00301598"/>
    <w:rsid w:val="00306E0E"/>
    <w:rsid w:val="003122A1"/>
    <w:rsid w:val="00317897"/>
    <w:rsid w:val="00322D44"/>
    <w:rsid w:val="00326E1C"/>
    <w:rsid w:val="00326E29"/>
    <w:rsid w:val="00327DA6"/>
    <w:rsid w:val="0033022F"/>
    <w:rsid w:val="00330322"/>
    <w:rsid w:val="00330702"/>
    <w:rsid w:val="00332AA2"/>
    <w:rsid w:val="00336B5C"/>
    <w:rsid w:val="00340F1D"/>
    <w:rsid w:val="003416CE"/>
    <w:rsid w:val="0034192F"/>
    <w:rsid w:val="00342B2E"/>
    <w:rsid w:val="0034352B"/>
    <w:rsid w:val="00345200"/>
    <w:rsid w:val="00347A55"/>
    <w:rsid w:val="003506A9"/>
    <w:rsid w:val="00353BAF"/>
    <w:rsid w:val="00355962"/>
    <w:rsid w:val="00356E1D"/>
    <w:rsid w:val="0035759F"/>
    <w:rsid w:val="0036087E"/>
    <w:rsid w:val="003617BB"/>
    <w:rsid w:val="00362435"/>
    <w:rsid w:val="00362671"/>
    <w:rsid w:val="003647F0"/>
    <w:rsid w:val="00364E12"/>
    <w:rsid w:val="0036761D"/>
    <w:rsid w:val="0037206E"/>
    <w:rsid w:val="003729EE"/>
    <w:rsid w:val="00373EFD"/>
    <w:rsid w:val="00374BD9"/>
    <w:rsid w:val="00381529"/>
    <w:rsid w:val="00385629"/>
    <w:rsid w:val="00385E29"/>
    <w:rsid w:val="00386A70"/>
    <w:rsid w:val="0039763E"/>
    <w:rsid w:val="0039772D"/>
    <w:rsid w:val="00397FA4"/>
    <w:rsid w:val="003A0E4B"/>
    <w:rsid w:val="003A14D9"/>
    <w:rsid w:val="003A1A7A"/>
    <w:rsid w:val="003A4D3C"/>
    <w:rsid w:val="003B1BFF"/>
    <w:rsid w:val="003B4454"/>
    <w:rsid w:val="003B60D8"/>
    <w:rsid w:val="003B6A28"/>
    <w:rsid w:val="003C2032"/>
    <w:rsid w:val="003C367A"/>
    <w:rsid w:val="003C6E5C"/>
    <w:rsid w:val="003D26B3"/>
    <w:rsid w:val="003D6900"/>
    <w:rsid w:val="003D7C40"/>
    <w:rsid w:val="003F1CCE"/>
    <w:rsid w:val="003F32A0"/>
    <w:rsid w:val="003F3BFA"/>
    <w:rsid w:val="003F4BE0"/>
    <w:rsid w:val="003F53B6"/>
    <w:rsid w:val="00400DCE"/>
    <w:rsid w:val="004020E1"/>
    <w:rsid w:val="004040B7"/>
    <w:rsid w:val="0040461C"/>
    <w:rsid w:val="00405530"/>
    <w:rsid w:val="00405DBD"/>
    <w:rsid w:val="0040655C"/>
    <w:rsid w:val="00406B46"/>
    <w:rsid w:val="00407985"/>
    <w:rsid w:val="004110CA"/>
    <w:rsid w:val="00416276"/>
    <w:rsid w:val="00416B9B"/>
    <w:rsid w:val="00422053"/>
    <w:rsid w:val="00423751"/>
    <w:rsid w:val="00430D9C"/>
    <w:rsid w:val="00432CBB"/>
    <w:rsid w:val="00433B32"/>
    <w:rsid w:val="00436DE4"/>
    <w:rsid w:val="004414A7"/>
    <w:rsid w:val="0044382E"/>
    <w:rsid w:val="00443FF7"/>
    <w:rsid w:val="00461ECE"/>
    <w:rsid w:val="00462A52"/>
    <w:rsid w:val="00465781"/>
    <w:rsid w:val="00473011"/>
    <w:rsid w:val="004732B9"/>
    <w:rsid w:val="00476675"/>
    <w:rsid w:val="00481852"/>
    <w:rsid w:val="00483663"/>
    <w:rsid w:val="00487094"/>
    <w:rsid w:val="0049050F"/>
    <w:rsid w:val="0049133E"/>
    <w:rsid w:val="004914DA"/>
    <w:rsid w:val="004944F5"/>
    <w:rsid w:val="00495F4E"/>
    <w:rsid w:val="00496EB3"/>
    <w:rsid w:val="0049783F"/>
    <w:rsid w:val="004A1331"/>
    <w:rsid w:val="004A4E56"/>
    <w:rsid w:val="004B0290"/>
    <w:rsid w:val="004B2C2C"/>
    <w:rsid w:val="004C1792"/>
    <w:rsid w:val="004C1794"/>
    <w:rsid w:val="004C2681"/>
    <w:rsid w:val="004C4A1E"/>
    <w:rsid w:val="004C506F"/>
    <w:rsid w:val="004C576D"/>
    <w:rsid w:val="004C5E28"/>
    <w:rsid w:val="004C6D22"/>
    <w:rsid w:val="004C7C6D"/>
    <w:rsid w:val="004D24DA"/>
    <w:rsid w:val="004D350E"/>
    <w:rsid w:val="004D4016"/>
    <w:rsid w:val="004D5CA9"/>
    <w:rsid w:val="004D5EDA"/>
    <w:rsid w:val="004D6E91"/>
    <w:rsid w:val="004D7AA9"/>
    <w:rsid w:val="004E1951"/>
    <w:rsid w:val="004E742F"/>
    <w:rsid w:val="00510395"/>
    <w:rsid w:val="005131D2"/>
    <w:rsid w:val="00514DE4"/>
    <w:rsid w:val="00516E00"/>
    <w:rsid w:val="00517C3C"/>
    <w:rsid w:val="0052014E"/>
    <w:rsid w:val="00520BBE"/>
    <w:rsid w:val="005240CF"/>
    <w:rsid w:val="00524A2B"/>
    <w:rsid w:val="005255A8"/>
    <w:rsid w:val="00526154"/>
    <w:rsid w:val="0053381D"/>
    <w:rsid w:val="00537C27"/>
    <w:rsid w:val="0054096B"/>
    <w:rsid w:val="00543332"/>
    <w:rsid w:val="00545A79"/>
    <w:rsid w:val="00545BD1"/>
    <w:rsid w:val="00547126"/>
    <w:rsid w:val="005503B8"/>
    <w:rsid w:val="00551332"/>
    <w:rsid w:val="0055154B"/>
    <w:rsid w:val="005525A3"/>
    <w:rsid w:val="00554629"/>
    <w:rsid w:val="00555468"/>
    <w:rsid w:val="005555EE"/>
    <w:rsid w:val="00556A62"/>
    <w:rsid w:val="005601C4"/>
    <w:rsid w:val="00566C89"/>
    <w:rsid w:val="005711BE"/>
    <w:rsid w:val="00575571"/>
    <w:rsid w:val="00581434"/>
    <w:rsid w:val="00583901"/>
    <w:rsid w:val="00584BBA"/>
    <w:rsid w:val="00585FC8"/>
    <w:rsid w:val="00586837"/>
    <w:rsid w:val="00590F6B"/>
    <w:rsid w:val="00591023"/>
    <w:rsid w:val="00596A54"/>
    <w:rsid w:val="005A0307"/>
    <w:rsid w:val="005A41A8"/>
    <w:rsid w:val="005A4EF9"/>
    <w:rsid w:val="005A6E19"/>
    <w:rsid w:val="005A780B"/>
    <w:rsid w:val="005A7F26"/>
    <w:rsid w:val="005B5131"/>
    <w:rsid w:val="005C195E"/>
    <w:rsid w:val="005C2293"/>
    <w:rsid w:val="005C6984"/>
    <w:rsid w:val="005C6C52"/>
    <w:rsid w:val="005C6FD3"/>
    <w:rsid w:val="005C747F"/>
    <w:rsid w:val="005D09E8"/>
    <w:rsid w:val="005D233F"/>
    <w:rsid w:val="005D2A7F"/>
    <w:rsid w:val="005D4402"/>
    <w:rsid w:val="005D504F"/>
    <w:rsid w:val="005D578E"/>
    <w:rsid w:val="005D630A"/>
    <w:rsid w:val="005E5755"/>
    <w:rsid w:val="005F14E6"/>
    <w:rsid w:val="005F3471"/>
    <w:rsid w:val="005F491B"/>
    <w:rsid w:val="006010D5"/>
    <w:rsid w:val="006037BD"/>
    <w:rsid w:val="0060613E"/>
    <w:rsid w:val="00606434"/>
    <w:rsid w:val="00612BF9"/>
    <w:rsid w:val="006149D4"/>
    <w:rsid w:val="00614C9D"/>
    <w:rsid w:val="00615B66"/>
    <w:rsid w:val="006171F7"/>
    <w:rsid w:val="00617B54"/>
    <w:rsid w:val="006213C6"/>
    <w:rsid w:val="00631F08"/>
    <w:rsid w:val="0063426C"/>
    <w:rsid w:val="006438D8"/>
    <w:rsid w:val="006451C4"/>
    <w:rsid w:val="00645AA6"/>
    <w:rsid w:val="00647F9C"/>
    <w:rsid w:val="00653257"/>
    <w:rsid w:val="006541A1"/>
    <w:rsid w:val="00663FFE"/>
    <w:rsid w:val="00667F03"/>
    <w:rsid w:val="00674023"/>
    <w:rsid w:val="0067554A"/>
    <w:rsid w:val="00675D3E"/>
    <w:rsid w:val="00677CA7"/>
    <w:rsid w:val="00680CE7"/>
    <w:rsid w:val="00683C09"/>
    <w:rsid w:val="00684074"/>
    <w:rsid w:val="00696E21"/>
    <w:rsid w:val="00697A4C"/>
    <w:rsid w:val="006A0BE7"/>
    <w:rsid w:val="006A16E8"/>
    <w:rsid w:val="006A6B37"/>
    <w:rsid w:val="006B0321"/>
    <w:rsid w:val="006B0C9B"/>
    <w:rsid w:val="006B3904"/>
    <w:rsid w:val="006B3B24"/>
    <w:rsid w:val="006B4657"/>
    <w:rsid w:val="006B46BE"/>
    <w:rsid w:val="006B6857"/>
    <w:rsid w:val="006B6C0E"/>
    <w:rsid w:val="006B7408"/>
    <w:rsid w:val="006C1C7E"/>
    <w:rsid w:val="006C1F27"/>
    <w:rsid w:val="006C320C"/>
    <w:rsid w:val="006C4650"/>
    <w:rsid w:val="006C79A1"/>
    <w:rsid w:val="006D2836"/>
    <w:rsid w:val="006D40FC"/>
    <w:rsid w:val="006E1851"/>
    <w:rsid w:val="006E38AF"/>
    <w:rsid w:val="006E3A28"/>
    <w:rsid w:val="006E3D12"/>
    <w:rsid w:val="006E7AB9"/>
    <w:rsid w:val="006F5BFE"/>
    <w:rsid w:val="006F6923"/>
    <w:rsid w:val="007000FF"/>
    <w:rsid w:val="007048C8"/>
    <w:rsid w:val="00706BE5"/>
    <w:rsid w:val="00706E26"/>
    <w:rsid w:val="0070799A"/>
    <w:rsid w:val="00713CDD"/>
    <w:rsid w:val="00724544"/>
    <w:rsid w:val="007257A4"/>
    <w:rsid w:val="00725F24"/>
    <w:rsid w:val="00727456"/>
    <w:rsid w:val="00733715"/>
    <w:rsid w:val="00733E11"/>
    <w:rsid w:val="00734CEC"/>
    <w:rsid w:val="00737B18"/>
    <w:rsid w:val="00737C12"/>
    <w:rsid w:val="00744A88"/>
    <w:rsid w:val="00746BE9"/>
    <w:rsid w:val="00747842"/>
    <w:rsid w:val="007507CE"/>
    <w:rsid w:val="00755833"/>
    <w:rsid w:val="0076044B"/>
    <w:rsid w:val="00760844"/>
    <w:rsid w:val="00765B2B"/>
    <w:rsid w:val="00765FD1"/>
    <w:rsid w:val="00766D12"/>
    <w:rsid w:val="00771CB1"/>
    <w:rsid w:val="0077660D"/>
    <w:rsid w:val="00786703"/>
    <w:rsid w:val="0078697A"/>
    <w:rsid w:val="00790177"/>
    <w:rsid w:val="00790A86"/>
    <w:rsid w:val="00791082"/>
    <w:rsid w:val="00792037"/>
    <w:rsid w:val="00792955"/>
    <w:rsid w:val="00792D73"/>
    <w:rsid w:val="00792E08"/>
    <w:rsid w:val="007A10CF"/>
    <w:rsid w:val="007A6081"/>
    <w:rsid w:val="007A61FA"/>
    <w:rsid w:val="007A73F8"/>
    <w:rsid w:val="007B1365"/>
    <w:rsid w:val="007B1AAF"/>
    <w:rsid w:val="007B2236"/>
    <w:rsid w:val="007B318B"/>
    <w:rsid w:val="007B5499"/>
    <w:rsid w:val="007B5603"/>
    <w:rsid w:val="007B7B7B"/>
    <w:rsid w:val="007C1D95"/>
    <w:rsid w:val="007C2B9B"/>
    <w:rsid w:val="007C69F2"/>
    <w:rsid w:val="007C7A9A"/>
    <w:rsid w:val="007D3A28"/>
    <w:rsid w:val="007D42EA"/>
    <w:rsid w:val="007E73CB"/>
    <w:rsid w:val="007E7DA7"/>
    <w:rsid w:val="007F1603"/>
    <w:rsid w:val="007F2F67"/>
    <w:rsid w:val="007F3D3B"/>
    <w:rsid w:val="007F4615"/>
    <w:rsid w:val="00800174"/>
    <w:rsid w:val="0080109B"/>
    <w:rsid w:val="00801EEF"/>
    <w:rsid w:val="00802665"/>
    <w:rsid w:val="00802EDD"/>
    <w:rsid w:val="008033BB"/>
    <w:rsid w:val="00805302"/>
    <w:rsid w:val="00806F91"/>
    <w:rsid w:val="008074CE"/>
    <w:rsid w:val="008138ED"/>
    <w:rsid w:val="00820BC6"/>
    <w:rsid w:val="008257D8"/>
    <w:rsid w:val="00825CDE"/>
    <w:rsid w:val="008305D7"/>
    <w:rsid w:val="00834359"/>
    <w:rsid w:val="0083539E"/>
    <w:rsid w:val="00835E16"/>
    <w:rsid w:val="00846122"/>
    <w:rsid w:val="00846F1D"/>
    <w:rsid w:val="00847BA0"/>
    <w:rsid w:val="008547E9"/>
    <w:rsid w:val="00857EEF"/>
    <w:rsid w:val="008661E7"/>
    <w:rsid w:val="00866494"/>
    <w:rsid w:val="008665FB"/>
    <w:rsid w:val="00867523"/>
    <w:rsid w:val="0087080B"/>
    <w:rsid w:val="00871103"/>
    <w:rsid w:val="00873E96"/>
    <w:rsid w:val="00875E3C"/>
    <w:rsid w:val="0087630B"/>
    <w:rsid w:val="00876FA7"/>
    <w:rsid w:val="008843CE"/>
    <w:rsid w:val="00892D58"/>
    <w:rsid w:val="00892E9B"/>
    <w:rsid w:val="00894F88"/>
    <w:rsid w:val="008A34E1"/>
    <w:rsid w:val="008A36CF"/>
    <w:rsid w:val="008A394F"/>
    <w:rsid w:val="008A3975"/>
    <w:rsid w:val="008A4149"/>
    <w:rsid w:val="008A6909"/>
    <w:rsid w:val="008A79FF"/>
    <w:rsid w:val="008B2CF8"/>
    <w:rsid w:val="008B3293"/>
    <w:rsid w:val="008B4F5C"/>
    <w:rsid w:val="008B4F68"/>
    <w:rsid w:val="008C0F6C"/>
    <w:rsid w:val="008C1C08"/>
    <w:rsid w:val="008C34B2"/>
    <w:rsid w:val="008C620C"/>
    <w:rsid w:val="008C6BF5"/>
    <w:rsid w:val="008C77F3"/>
    <w:rsid w:val="008D30CB"/>
    <w:rsid w:val="008D325B"/>
    <w:rsid w:val="008D34C8"/>
    <w:rsid w:val="008D3530"/>
    <w:rsid w:val="008D39CF"/>
    <w:rsid w:val="008E02F6"/>
    <w:rsid w:val="008F1553"/>
    <w:rsid w:val="008F2123"/>
    <w:rsid w:val="00901AB2"/>
    <w:rsid w:val="0090225E"/>
    <w:rsid w:val="00902504"/>
    <w:rsid w:val="0090596C"/>
    <w:rsid w:val="00911687"/>
    <w:rsid w:val="009118D2"/>
    <w:rsid w:val="00913192"/>
    <w:rsid w:val="00915618"/>
    <w:rsid w:val="00915A5C"/>
    <w:rsid w:val="009174A3"/>
    <w:rsid w:val="00924693"/>
    <w:rsid w:val="00925A31"/>
    <w:rsid w:val="009271DD"/>
    <w:rsid w:val="009304FA"/>
    <w:rsid w:val="00930C80"/>
    <w:rsid w:val="0093349D"/>
    <w:rsid w:val="00935D05"/>
    <w:rsid w:val="00935D20"/>
    <w:rsid w:val="009364E8"/>
    <w:rsid w:val="00936A8F"/>
    <w:rsid w:val="00942FDD"/>
    <w:rsid w:val="009439C8"/>
    <w:rsid w:val="00943E21"/>
    <w:rsid w:val="00945B94"/>
    <w:rsid w:val="009468FD"/>
    <w:rsid w:val="00946BA6"/>
    <w:rsid w:val="009501E7"/>
    <w:rsid w:val="00954D56"/>
    <w:rsid w:val="00957C9F"/>
    <w:rsid w:val="00962B9E"/>
    <w:rsid w:val="00970F43"/>
    <w:rsid w:val="009724A2"/>
    <w:rsid w:val="00972710"/>
    <w:rsid w:val="0097602F"/>
    <w:rsid w:val="00977D6F"/>
    <w:rsid w:val="0098186C"/>
    <w:rsid w:val="00987E81"/>
    <w:rsid w:val="00991A4A"/>
    <w:rsid w:val="009920B0"/>
    <w:rsid w:val="009A11D7"/>
    <w:rsid w:val="009A39EA"/>
    <w:rsid w:val="009A3BA4"/>
    <w:rsid w:val="009A6B8D"/>
    <w:rsid w:val="009B0F47"/>
    <w:rsid w:val="009B18E7"/>
    <w:rsid w:val="009B1E05"/>
    <w:rsid w:val="009B27AA"/>
    <w:rsid w:val="009B71B2"/>
    <w:rsid w:val="009B789F"/>
    <w:rsid w:val="009C0B2C"/>
    <w:rsid w:val="009C18F6"/>
    <w:rsid w:val="009C5129"/>
    <w:rsid w:val="009C5812"/>
    <w:rsid w:val="009C59F4"/>
    <w:rsid w:val="009D2793"/>
    <w:rsid w:val="009D713F"/>
    <w:rsid w:val="009D7E4E"/>
    <w:rsid w:val="009E0295"/>
    <w:rsid w:val="009E0E7A"/>
    <w:rsid w:val="009E14D4"/>
    <w:rsid w:val="009E1C2B"/>
    <w:rsid w:val="009E625A"/>
    <w:rsid w:val="009F23A6"/>
    <w:rsid w:val="009F3E6B"/>
    <w:rsid w:val="009F4F50"/>
    <w:rsid w:val="009F6704"/>
    <w:rsid w:val="009F7288"/>
    <w:rsid w:val="00A0023B"/>
    <w:rsid w:val="00A00E5A"/>
    <w:rsid w:val="00A02143"/>
    <w:rsid w:val="00A04122"/>
    <w:rsid w:val="00A06BF2"/>
    <w:rsid w:val="00A11B09"/>
    <w:rsid w:val="00A14BC3"/>
    <w:rsid w:val="00A16F94"/>
    <w:rsid w:val="00A23C43"/>
    <w:rsid w:val="00A24630"/>
    <w:rsid w:val="00A273E9"/>
    <w:rsid w:val="00A30D2B"/>
    <w:rsid w:val="00A31F2D"/>
    <w:rsid w:val="00A32E48"/>
    <w:rsid w:val="00A34EC8"/>
    <w:rsid w:val="00A3509E"/>
    <w:rsid w:val="00A363E6"/>
    <w:rsid w:val="00A44E00"/>
    <w:rsid w:val="00A46AE3"/>
    <w:rsid w:val="00A472C9"/>
    <w:rsid w:val="00A519A9"/>
    <w:rsid w:val="00A5598D"/>
    <w:rsid w:val="00A6112F"/>
    <w:rsid w:val="00A62596"/>
    <w:rsid w:val="00A632A6"/>
    <w:rsid w:val="00A64056"/>
    <w:rsid w:val="00A64B2A"/>
    <w:rsid w:val="00A65D46"/>
    <w:rsid w:val="00A66A8B"/>
    <w:rsid w:val="00A72D4E"/>
    <w:rsid w:val="00A72F03"/>
    <w:rsid w:val="00A72F12"/>
    <w:rsid w:val="00A75A29"/>
    <w:rsid w:val="00A76749"/>
    <w:rsid w:val="00A80656"/>
    <w:rsid w:val="00A81A95"/>
    <w:rsid w:val="00A86378"/>
    <w:rsid w:val="00A87274"/>
    <w:rsid w:val="00A87FC9"/>
    <w:rsid w:val="00A90999"/>
    <w:rsid w:val="00A9700F"/>
    <w:rsid w:val="00AA1051"/>
    <w:rsid w:val="00AA25F6"/>
    <w:rsid w:val="00AA6AF4"/>
    <w:rsid w:val="00AB142D"/>
    <w:rsid w:val="00AB14CF"/>
    <w:rsid w:val="00AC080F"/>
    <w:rsid w:val="00AC22EF"/>
    <w:rsid w:val="00AC4374"/>
    <w:rsid w:val="00AC5B57"/>
    <w:rsid w:val="00AC6007"/>
    <w:rsid w:val="00AC7B68"/>
    <w:rsid w:val="00AD027E"/>
    <w:rsid w:val="00AD33E8"/>
    <w:rsid w:val="00AD4096"/>
    <w:rsid w:val="00AE5F89"/>
    <w:rsid w:val="00AE5FB9"/>
    <w:rsid w:val="00AE7CEE"/>
    <w:rsid w:val="00AE7F78"/>
    <w:rsid w:val="00AF1D7F"/>
    <w:rsid w:val="00AF5887"/>
    <w:rsid w:val="00AF6D7B"/>
    <w:rsid w:val="00AF7702"/>
    <w:rsid w:val="00B068C3"/>
    <w:rsid w:val="00B06C06"/>
    <w:rsid w:val="00B07547"/>
    <w:rsid w:val="00B108DC"/>
    <w:rsid w:val="00B10A36"/>
    <w:rsid w:val="00B154AF"/>
    <w:rsid w:val="00B1666A"/>
    <w:rsid w:val="00B17E40"/>
    <w:rsid w:val="00B17EBB"/>
    <w:rsid w:val="00B2382C"/>
    <w:rsid w:val="00B25D9C"/>
    <w:rsid w:val="00B2634B"/>
    <w:rsid w:val="00B307F1"/>
    <w:rsid w:val="00B34D41"/>
    <w:rsid w:val="00B366B9"/>
    <w:rsid w:val="00B43755"/>
    <w:rsid w:val="00B56143"/>
    <w:rsid w:val="00B62162"/>
    <w:rsid w:val="00B63D2B"/>
    <w:rsid w:val="00B67716"/>
    <w:rsid w:val="00B71B10"/>
    <w:rsid w:val="00B74F83"/>
    <w:rsid w:val="00B75697"/>
    <w:rsid w:val="00B807A6"/>
    <w:rsid w:val="00B82079"/>
    <w:rsid w:val="00B8482F"/>
    <w:rsid w:val="00B84B87"/>
    <w:rsid w:val="00B85546"/>
    <w:rsid w:val="00B91C2A"/>
    <w:rsid w:val="00BA0CFD"/>
    <w:rsid w:val="00BA2534"/>
    <w:rsid w:val="00BA6F38"/>
    <w:rsid w:val="00BB0860"/>
    <w:rsid w:val="00BB25FB"/>
    <w:rsid w:val="00BB35B9"/>
    <w:rsid w:val="00BB68FA"/>
    <w:rsid w:val="00BC10DC"/>
    <w:rsid w:val="00BC15E5"/>
    <w:rsid w:val="00BC376E"/>
    <w:rsid w:val="00BC4E2A"/>
    <w:rsid w:val="00BC5984"/>
    <w:rsid w:val="00BC7029"/>
    <w:rsid w:val="00BC7871"/>
    <w:rsid w:val="00BC78DF"/>
    <w:rsid w:val="00BD1872"/>
    <w:rsid w:val="00BD4218"/>
    <w:rsid w:val="00BD451A"/>
    <w:rsid w:val="00BD6B80"/>
    <w:rsid w:val="00BE0E15"/>
    <w:rsid w:val="00BE6846"/>
    <w:rsid w:val="00BF1D39"/>
    <w:rsid w:val="00BF2157"/>
    <w:rsid w:val="00BF4626"/>
    <w:rsid w:val="00BF7CD5"/>
    <w:rsid w:val="00C02766"/>
    <w:rsid w:val="00C0571F"/>
    <w:rsid w:val="00C06BD2"/>
    <w:rsid w:val="00C12B5A"/>
    <w:rsid w:val="00C12D34"/>
    <w:rsid w:val="00C1433E"/>
    <w:rsid w:val="00C15347"/>
    <w:rsid w:val="00C16651"/>
    <w:rsid w:val="00C2143A"/>
    <w:rsid w:val="00C21B2C"/>
    <w:rsid w:val="00C25B62"/>
    <w:rsid w:val="00C264F0"/>
    <w:rsid w:val="00C32128"/>
    <w:rsid w:val="00C34E80"/>
    <w:rsid w:val="00C35305"/>
    <w:rsid w:val="00C361B1"/>
    <w:rsid w:val="00C37377"/>
    <w:rsid w:val="00C404BD"/>
    <w:rsid w:val="00C45DCD"/>
    <w:rsid w:val="00C47BA9"/>
    <w:rsid w:val="00C52C35"/>
    <w:rsid w:val="00C53D28"/>
    <w:rsid w:val="00C5658A"/>
    <w:rsid w:val="00C62102"/>
    <w:rsid w:val="00C662A6"/>
    <w:rsid w:val="00C66D3F"/>
    <w:rsid w:val="00C672E3"/>
    <w:rsid w:val="00C70F48"/>
    <w:rsid w:val="00C72CE5"/>
    <w:rsid w:val="00C74728"/>
    <w:rsid w:val="00C807ED"/>
    <w:rsid w:val="00C8124F"/>
    <w:rsid w:val="00C81D43"/>
    <w:rsid w:val="00C84000"/>
    <w:rsid w:val="00C84306"/>
    <w:rsid w:val="00C87FEE"/>
    <w:rsid w:val="00C91FEE"/>
    <w:rsid w:val="00C91FFE"/>
    <w:rsid w:val="00C924DE"/>
    <w:rsid w:val="00C92A4B"/>
    <w:rsid w:val="00CA1EB1"/>
    <w:rsid w:val="00CA36A4"/>
    <w:rsid w:val="00CA495C"/>
    <w:rsid w:val="00CA548D"/>
    <w:rsid w:val="00CB0290"/>
    <w:rsid w:val="00CB1D0D"/>
    <w:rsid w:val="00CB2104"/>
    <w:rsid w:val="00CB3A01"/>
    <w:rsid w:val="00CB71B0"/>
    <w:rsid w:val="00CC1FD3"/>
    <w:rsid w:val="00CC5C24"/>
    <w:rsid w:val="00CD0599"/>
    <w:rsid w:val="00CD4CB6"/>
    <w:rsid w:val="00CD4D78"/>
    <w:rsid w:val="00CF1C8A"/>
    <w:rsid w:val="00CF40F2"/>
    <w:rsid w:val="00CF4918"/>
    <w:rsid w:val="00CF5750"/>
    <w:rsid w:val="00D0167D"/>
    <w:rsid w:val="00D0275E"/>
    <w:rsid w:val="00D0373D"/>
    <w:rsid w:val="00D052FC"/>
    <w:rsid w:val="00D105BC"/>
    <w:rsid w:val="00D12366"/>
    <w:rsid w:val="00D143A2"/>
    <w:rsid w:val="00D14D4E"/>
    <w:rsid w:val="00D208FB"/>
    <w:rsid w:val="00D20DD7"/>
    <w:rsid w:val="00D22E4C"/>
    <w:rsid w:val="00D26637"/>
    <w:rsid w:val="00D266F4"/>
    <w:rsid w:val="00D31270"/>
    <w:rsid w:val="00D31F3D"/>
    <w:rsid w:val="00D34B18"/>
    <w:rsid w:val="00D3526C"/>
    <w:rsid w:val="00D379F8"/>
    <w:rsid w:val="00D40A7B"/>
    <w:rsid w:val="00D45FF1"/>
    <w:rsid w:val="00D542BB"/>
    <w:rsid w:val="00D55440"/>
    <w:rsid w:val="00D55F5A"/>
    <w:rsid w:val="00D61AB6"/>
    <w:rsid w:val="00D67DAD"/>
    <w:rsid w:val="00D70FAF"/>
    <w:rsid w:val="00D71BFC"/>
    <w:rsid w:val="00D74937"/>
    <w:rsid w:val="00D751A3"/>
    <w:rsid w:val="00D80897"/>
    <w:rsid w:val="00D837D7"/>
    <w:rsid w:val="00D8435D"/>
    <w:rsid w:val="00D85C19"/>
    <w:rsid w:val="00D870F0"/>
    <w:rsid w:val="00D877ED"/>
    <w:rsid w:val="00D915D3"/>
    <w:rsid w:val="00D95B40"/>
    <w:rsid w:val="00D96500"/>
    <w:rsid w:val="00D97088"/>
    <w:rsid w:val="00DA2B4E"/>
    <w:rsid w:val="00DA7CC1"/>
    <w:rsid w:val="00DB0406"/>
    <w:rsid w:val="00DB4D94"/>
    <w:rsid w:val="00DC17A5"/>
    <w:rsid w:val="00DC3490"/>
    <w:rsid w:val="00DC48C0"/>
    <w:rsid w:val="00DC79FD"/>
    <w:rsid w:val="00DD0FBD"/>
    <w:rsid w:val="00DD52F2"/>
    <w:rsid w:val="00DD5E95"/>
    <w:rsid w:val="00DD6BC1"/>
    <w:rsid w:val="00DD6CC9"/>
    <w:rsid w:val="00DD762B"/>
    <w:rsid w:val="00DE165A"/>
    <w:rsid w:val="00DE223E"/>
    <w:rsid w:val="00DE2E2C"/>
    <w:rsid w:val="00DE5C99"/>
    <w:rsid w:val="00DE6EF6"/>
    <w:rsid w:val="00DF0661"/>
    <w:rsid w:val="00DF5DF8"/>
    <w:rsid w:val="00DF6249"/>
    <w:rsid w:val="00DF72C0"/>
    <w:rsid w:val="00E1225F"/>
    <w:rsid w:val="00E12D2E"/>
    <w:rsid w:val="00E14C00"/>
    <w:rsid w:val="00E152B4"/>
    <w:rsid w:val="00E20804"/>
    <w:rsid w:val="00E20874"/>
    <w:rsid w:val="00E21A73"/>
    <w:rsid w:val="00E22138"/>
    <w:rsid w:val="00E2691B"/>
    <w:rsid w:val="00E27478"/>
    <w:rsid w:val="00E307C0"/>
    <w:rsid w:val="00E3293B"/>
    <w:rsid w:val="00E34A5B"/>
    <w:rsid w:val="00E34D06"/>
    <w:rsid w:val="00E40E31"/>
    <w:rsid w:val="00E424FB"/>
    <w:rsid w:val="00E42D15"/>
    <w:rsid w:val="00E5340E"/>
    <w:rsid w:val="00E54383"/>
    <w:rsid w:val="00E56B33"/>
    <w:rsid w:val="00E616E5"/>
    <w:rsid w:val="00E63C82"/>
    <w:rsid w:val="00E67477"/>
    <w:rsid w:val="00E67B56"/>
    <w:rsid w:val="00E71001"/>
    <w:rsid w:val="00E73A93"/>
    <w:rsid w:val="00E75BD4"/>
    <w:rsid w:val="00E8253E"/>
    <w:rsid w:val="00E86617"/>
    <w:rsid w:val="00E90210"/>
    <w:rsid w:val="00E941A1"/>
    <w:rsid w:val="00E9495D"/>
    <w:rsid w:val="00E94CC0"/>
    <w:rsid w:val="00EA1EDA"/>
    <w:rsid w:val="00EA2983"/>
    <w:rsid w:val="00EA4FC8"/>
    <w:rsid w:val="00EA5C40"/>
    <w:rsid w:val="00EA6BB8"/>
    <w:rsid w:val="00EB3731"/>
    <w:rsid w:val="00EC41EA"/>
    <w:rsid w:val="00EC4E01"/>
    <w:rsid w:val="00EC52DF"/>
    <w:rsid w:val="00EC7346"/>
    <w:rsid w:val="00ED123D"/>
    <w:rsid w:val="00ED2658"/>
    <w:rsid w:val="00ED2784"/>
    <w:rsid w:val="00ED554D"/>
    <w:rsid w:val="00ED6DA4"/>
    <w:rsid w:val="00ED6FB8"/>
    <w:rsid w:val="00ED74A5"/>
    <w:rsid w:val="00ED7EBB"/>
    <w:rsid w:val="00ED7F96"/>
    <w:rsid w:val="00EE38C4"/>
    <w:rsid w:val="00EF429E"/>
    <w:rsid w:val="00EF4FA3"/>
    <w:rsid w:val="00EF5BD5"/>
    <w:rsid w:val="00EF7DDC"/>
    <w:rsid w:val="00EF7E00"/>
    <w:rsid w:val="00F0257F"/>
    <w:rsid w:val="00F05D43"/>
    <w:rsid w:val="00F072A7"/>
    <w:rsid w:val="00F07519"/>
    <w:rsid w:val="00F11D9D"/>
    <w:rsid w:val="00F1230D"/>
    <w:rsid w:val="00F152CA"/>
    <w:rsid w:val="00F16AE6"/>
    <w:rsid w:val="00F20FB1"/>
    <w:rsid w:val="00F226B8"/>
    <w:rsid w:val="00F23597"/>
    <w:rsid w:val="00F24BD5"/>
    <w:rsid w:val="00F25646"/>
    <w:rsid w:val="00F27933"/>
    <w:rsid w:val="00F27B61"/>
    <w:rsid w:val="00F343EC"/>
    <w:rsid w:val="00F40B8B"/>
    <w:rsid w:val="00F42E19"/>
    <w:rsid w:val="00F42E5E"/>
    <w:rsid w:val="00F464B8"/>
    <w:rsid w:val="00F47BDF"/>
    <w:rsid w:val="00F514F8"/>
    <w:rsid w:val="00F536FF"/>
    <w:rsid w:val="00F56F1A"/>
    <w:rsid w:val="00F57468"/>
    <w:rsid w:val="00F612D6"/>
    <w:rsid w:val="00F64B68"/>
    <w:rsid w:val="00F67E0D"/>
    <w:rsid w:val="00F70480"/>
    <w:rsid w:val="00F713EF"/>
    <w:rsid w:val="00F71470"/>
    <w:rsid w:val="00F75C8B"/>
    <w:rsid w:val="00F81A94"/>
    <w:rsid w:val="00F86413"/>
    <w:rsid w:val="00F91C9A"/>
    <w:rsid w:val="00F950EE"/>
    <w:rsid w:val="00F97D93"/>
    <w:rsid w:val="00FA2B76"/>
    <w:rsid w:val="00FB1BD6"/>
    <w:rsid w:val="00FB2563"/>
    <w:rsid w:val="00FB2A2D"/>
    <w:rsid w:val="00FC20D7"/>
    <w:rsid w:val="00FC6C5D"/>
    <w:rsid w:val="00FD2D6C"/>
    <w:rsid w:val="00FD3F1B"/>
    <w:rsid w:val="00FD4A31"/>
    <w:rsid w:val="00FD5EA6"/>
    <w:rsid w:val="00FD63D0"/>
    <w:rsid w:val="00FE001D"/>
    <w:rsid w:val="00FE240A"/>
    <w:rsid w:val="00FE5427"/>
    <w:rsid w:val="00FF288C"/>
    <w:rsid w:val="00FF5F2B"/>
    <w:rsid w:val="00FF73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07E78"/>
  <w15:docId w15:val="{680A9A29-4213-4F1C-A891-CC485FF99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D53"/>
    <w:pPr>
      <w:ind w:left="720"/>
      <w:contextualSpacing/>
    </w:pPr>
  </w:style>
  <w:style w:type="paragraph" w:styleId="BalloonText">
    <w:name w:val="Balloon Text"/>
    <w:basedOn w:val="Normal"/>
    <w:link w:val="BalloonTextChar"/>
    <w:uiPriority w:val="99"/>
    <w:semiHidden/>
    <w:unhideWhenUsed/>
    <w:rsid w:val="00D208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8FB"/>
    <w:rPr>
      <w:rFonts w:ascii="Tahoma" w:hAnsi="Tahoma" w:cs="Tahoma"/>
      <w:sz w:val="16"/>
      <w:szCs w:val="16"/>
    </w:rPr>
  </w:style>
  <w:style w:type="character" w:styleId="Hyperlink">
    <w:name w:val="Hyperlink"/>
    <w:basedOn w:val="DefaultParagraphFont"/>
    <w:uiPriority w:val="99"/>
    <w:unhideWhenUsed/>
    <w:rsid w:val="008D3530"/>
    <w:rPr>
      <w:color w:val="0000FF" w:themeColor="hyperlink"/>
      <w:u w:val="single"/>
    </w:rPr>
  </w:style>
  <w:style w:type="paragraph" w:customStyle="1" w:styleId="regpar">
    <w:name w:val="regpar"/>
    <w:basedOn w:val="Normal"/>
    <w:rsid w:val="00C12B5A"/>
    <w:pPr>
      <w:spacing w:after="0" w:line="300" w:lineRule="exact"/>
      <w:ind w:firstLine="240"/>
      <w:jc w:val="both"/>
    </w:pPr>
    <w:rPr>
      <w:rFonts w:ascii="Times" w:eastAsia="Times New Roman" w:hAnsi="Times" w:cs="Times"/>
      <w:sz w:val="24"/>
      <w:szCs w:val="24"/>
    </w:rPr>
  </w:style>
  <w:style w:type="paragraph" w:styleId="Header">
    <w:name w:val="header"/>
    <w:basedOn w:val="Normal"/>
    <w:link w:val="HeaderChar"/>
    <w:uiPriority w:val="99"/>
    <w:unhideWhenUsed/>
    <w:rsid w:val="00A06BF2"/>
    <w:pPr>
      <w:tabs>
        <w:tab w:val="center" w:pos="4153"/>
        <w:tab w:val="right" w:pos="8306"/>
      </w:tabs>
      <w:spacing w:after="0" w:line="240" w:lineRule="auto"/>
    </w:pPr>
  </w:style>
  <w:style w:type="character" w:customStyle="1" w:styleId="HeaderChar">
    <w:name w:val="Header Char"/>
    <w:basedOn w:val="DefaultParagraphFont"/>
    <w:link w:val="Header"/>
    <w:uiPriority w:val="99"/>
    <w:rsid w:val="00A06BF2"/>
  </w:style>
  <w:style w:type="paragraph" w:styleId="Footer">
    <w:name w:val="footer"/>
    <w:basedOn w:val="Normal"/>
    <w:link w:val="FooterChar"/>
    <w:uiPriority w:val="99"/>
    <w:unhideWhenUsed/>
    <w:rsid w:val="00A06BF2"/>
    <w:pPr>
      <w:tabs>
        <w:tab w:val="center" w:pos="4153"/>
        <w:tab w:val="right" w:pos="8306"/>
      </w:tabs>
      <w:spacing w:after="0" w:line="240" w:lineRule="auto"/>
    </w:pPr>
  </w:style>
  <w:style w:type="character" w:customStyle="1" w:styleId="FooterChar">
    <w:name w:val="Footer Char"/>
    <w:basedOn w:val="DefaultParagraphFont"/>
    <w:link w:val="Footer"/>
    <w:uiPriority w:val="99"/>
    <w:rsid w:val="00A06BF2"/>
  </w:style>
  <w:style w:type="paragraph" w:styleId="NormalWeb">
    <w:name w:val="Normal (Web)"/>
    <w:basedOn w:val="Normal"/>
    <w:uiPriority w:val="99"/>
    <w:semiHidden/>
    <w:unhideWhenUsed/>
    <w:rsid w:val="00E12D2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E1851"/>
    <w:rPr>
      <w:color w:val="808080"/>
    </w:rPr>
  </w:style>
  <w:style w:type="paragraph" w:styleId="FootnoteText">
    <w:name w:val="footnote text"/>
    <w:basedOn w:val="Normal"/>
    <w:link w:val="FootnoteTextChar"/>
    <w:uiPriority w:val="99"/>
    <w:semiHidden/>
    <w:unhideWhenUsed/>
    <w:rsid w:val="001F1F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1F0E"/>
    <w:rPr>
      <w:sz w:val="20"/>
      <w:szCs w:val="20"/>
    </w:rPr>
  </w:style>
  <w:style w:type="character" w:styleId="FootnoteReference">
    <w:name w:val="footnote reference"/>
    <w:basedOn w:val="DefaultParagraphFont"/>
    <w:uiPriority w:val="99"/>
    <w:semiHidden/>
    <w:unhideWhenUsed/>
    <w:rsid w:val="001F1F0E"/>
    <w:rPr>
      <w:vertAlign w:val="superscript"/>
    </w:rPr>
  </w:style>
  <w:style w:type="character" w:styleId="CommentReference">
    <w:name w:val="annotation reference"/>
    <w:basedOn w:val="DefaultParagraphFont"/>
    <w:uiPriority w:val="99"/>
    <w:semiHidden/>
    <w:unhideWhenUsed/>
    <w:rsid w:val="00AF6D7B"/>
    <w:rPr>
      <w:sz w:val="16"/>
      <w:szCs w:val="16"/>
    </w:rPr>
  </w:style>
  <w:style w:type="paragraph" w:styleId="CommentText">
    <w:name w:val="annotation text"/>
    <w:basedOn w:val="Normal"/>
    <w:link w:val="CommentTextChar"/>
    <w:uiPriority w:val="99"/>
    <w:semiHidden/>
    <w:unhideWhenUsed/>
    <w:rsid w:val="00AF6D7B"/>
    <w:pPr>
      <w:spacing w:line="240" w:lineRule="auto"/>
    </w:pPr>
    <w:rPr>
      <w:sz w:val="20"/>
      <w:szCs w:val="20"/>
    </w:rPr>
  </w:style>
  <w:style w:type="character" w:customStyle="1" w:styleId="CommentTextChar">
    <w:name w:val="Comment Text Char"/>
    <w:basedOn w:val="DefaultParagraphFont"/>
    <w:link w:val="CommentText"/>
    <w:uiPriority w:val="99"/>
    <w:semiHidden/>
    <w:rsid w:val="00AF6D7B"/>
    <w:rPr>
      <w:sz w:val="20"/>
      <w:szCs w:val="20"/>
    </w:rPr>
  </w:style>
  <w:style w:type="paragraph" w:styleId="CommentSubject">
    <w:name w:val="annotation subject"/>
    <w:basedOn w:val="CommentText"/>
    <w:next w:val="CommentText"/>
    <w:link w:val="CommentSubjectChar"/>
    <w:uiPriority w:val="99"/>
    <w:semiHidden/>
    <w:unhideWhenUsed/>
    <w:rsid w:val="00AF6D7B"/>
    <w:rPr>
      <w:b/>
      <w:bCs/>
    </w:rPr>
  </w:style>
  <w:style w:type="character" w:customStyle="1" w:styleId="CommentSubjectChar">
    <w:name w:val="Comment Subject Char"/>
    <w:basedOn w:val="CommentTextChar"/>
    <w:link w:val="CommentSubject"/>
    <w:uiPriority w:val="99"/>
    <w:semiHidden/>
    <w:rsid w:val="00AF6D7B"/>
    <w:rPr>
      <w:b/>
      <w:bCs/>
      <w:sz w:val="20"/>
      <w:szCs w:val="20"/>
    </w:rPr>
  </w:style>
  <w:style w:type="paragraph" w:customStyle="1" w:styleId="LetterheadBOI">
    <w:name w:val="Letterhead BOI"/>
    <w:basedOn w:val="regpar"/>
    <w:link w:val="LetterheadBOIChar"/>
    <w:qFormat/>
    <w:rsid w:val="00867523"/>
    <w:pPr>
      <w:spacing w:line="300" w:lineRule="atLeast"/>
      <w:ind w:firstLine="0"/>
      <w:jc w:val="center"/>
    </w:pPr>
    <w:rPr>
      <w:rFonts w:ascii="Times New Roman" w:hAnsi="Times New Roman" w:cs="David"/>
      <w:b/>
    </w:rPr>
  </w:style>
  <w:style w:type="paragraph" w:customStyle="1" w:styleId="Letterhead2">
    <w:name w:val="Letterhead 2"/>
    <w:basedOn w:val="regpar"/>
    <w:link w:val="Letterhead2Char"/>
    <w:qFormat/>
    <w:rsid w:val="00867523"/>
    <w:pPr>
      <w:spacing w:line="300" w:lineRule="atLeast"/>
      <w:ind w:firstLine="0"/>
      <w:jc w:val="center"/>
    </w:pPr>
    <w:rPr>
      <w:rFonts w:ascii="Times New Roman" w:hAnsi="Times New Roman" w:cs="Times New Roman"/>
      <w:sz w:val="26"/>
      <w:szCs w:val="26"/>
    </w:rPr>
  </w:style>
  <w:style w:type="character" w:customStyle="1" w:styleId="LetterheadBOIChar">
    <w:name w:val="Letterhead BOI Char"/>
    <w:basedOn w:val="DefaultParagraphFont"/>
    <w:link w:val="LetterheadBOI"/>
    <w:rsid w:val="00867523"/>
    <w:rPr>
      <w:rFonts w:ascii="Times New Roman" w:eastAsia="Times New Roman" w:hAnsi="Times New Roman" w:cs="David"/>
      <w:b/>
      <w:sz w:val="24"/>
      <w:szCs w:val="24"/>
    </w:rPr>
  </w:style>
  <w:style w:type="character" w:customStyle="1" w:styleId="Letterhead2Char">
    <w:name w:val="Letterhead 2 Char"/>
    <w:basedOn w:val="DefaultParagraphFont"/>
    <w:link w:val="Letterhead2"/>
    <w:rsid w:val="00867523"/>
    <w:rPr>
      <w:rFonts w:ascii="Times New Roman" w:eastAsia="Times New Roman" w:hAnsi="Times New Roman" w:cs="Times New Roman"/>
      <w:sz w:val="26"/>
      <w:szCs w:val="26"/>
    </w:rPr>
  </w:style>
  <w:style w:type="paragraph" w:customStyle="1" w:styleId="PressReleaseTitle">
    <w:name w:val="Press Release Title"/>
    <w:basedOn w:val="Normal"/>
    <w:link w:val="PressReleaseTitleChar"/>
    <w:qFormat/>
    <w:rsid w:val="00867523"/>
    <w:pPr>
      <w:tabs>
        <w:tab w:val="center" w:pos="4156"/>
        <w:tab w:val="right" w:pos="8312"/>
      </w:tabs>
      <w:spacing w:after="0" w:line="240" w:lineRule="auto"/>
      <w:jc w:val="center"/>
    </w:pPr>
    <w:rPr>
      <w:rFonts w:ascii="Times New Roman" w:eastAsia="Times New Roman" w:hAnsi="Times New Roman" w:cs="David"/>
      <w:b/>
      <w:bCs/>
      <w:sz w:val="26"/>
      <w:szCs w:val="26"/>
    </w:rPr>
  </w:style>
  <w:style w:type="character" w:customStyle="1" w:styleId="PressReleaseTitleChar">
    <w:name w:val="Press Release Title Char"/>
    <w:basedOn w:val="DefaultParagraphFont"/>
    <w:link w:val="PressReleaseTitle"/>
    <w:rsid w:val="00867523"/>
    <w:rPr>
      <w:rFonts w:ascii="Times New Roman" w:eastAsia="Times New Roman" w:hAnsi="Times New Roman" w:cs="David"/>
      <w:b/>
      <w:bCs/>
      <w:sz w:val="26"/>
      <w:szCs w:val="26"/>
    </w:rPr>
  </w:style>
  <w:style w:type="paragraph" w:styleId="PlainText">
    <w:name w:val="Plain Text"/>
    <w:basedOn w:val="Normal"/>
    <w:link w:val="PlainTextChar"/>
    <w:uiPriority w:val="99"/>
    <w:unhideWhenUsed/>
    <w:rsid w:val="000B3141"/>
    <w:pPr>
      <w:bidi/>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B3141"/>
    <w:rPr>
      <w:rFonts w:ascii="Calibri" w:hAnsi="Calibri"/>
      <w:szCs w:val="21"/>
    </w:rPr>
  </w:style>
  <w:style w:type="character" w:styleId="FollowedHyperlink">
    <w:name w:val="FollowedHyperlink"/>
    <w:basedOn w:val="DefaultParagraphFont"/>
    <w:uiPriority w:val="99"/>
    <w:semiHidden/>
    <w:unhideWhenUsed/>
    <w:rsid w:val="000B31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6831">
      <w:bodyDiv w:val="1"/>
      <w:marLeft w:val="0"/>
      <w:marRight w:val="0"/>
      <w:marTop w:val="0"/>
      <w:marBottom w:val="0"/>
      <w:divBdr>
        <w:top w:val="none" w:sz="0" w:space="0" w:color="auto"/>
        <w:left w:val="none" w:sz="0" w:space="0" w:color="auto"/>
        <w:bottom w:val="none" w:sz="0" w:space="0" w:color="auto"/>
        <w:right w:val="none" w:sz="0" w:space="0" w:color="auto"/>
      </w:divBdr>
    </w:div>
    <w:div w:id="321667994">
      <w:bodyDiv w:val="1"/>
      <w:marLeft w:val="0"/>
      <w:marRight w:val="0"/>
      <w:marTop w:val="0"/>
      <w:marBottom w:val="0"/>
      <w:divBdr>
        <w:top w:val="none" w:sz="0" w:space="0" w:color="auto"/>
        <w:left w:val="none" w:sz="0" w:space="0" w:color="auto"/>
        <w:bottom w:val="none" w:sz="0" w:space="0" w:color="auto"/>
        <w:right w:val="none" w:sz="0" w:space="0" w:color="auto"/>
      </w:divBdr>
    </w:div>
    <w:div w:id="633830435">
      <w:bodyDiv w:val="1"/>
      <w:marLeft w:val="0"/>
      <w:marRight w:val="0"/>
      <w:marTop w:val="0"/>
      <w:marBottom w:val="0"/>
      <w:divBdr>
        <w:top w:val="none" w:sz="0" w:space="0" w:color="auto"/>
        <w:left w:val="none" w:sz="0" w:space="0" w:color="auto"/>
        <w:bottom w:val="none" w:sz="0" w:space="0" w:color="auto"/>
        <w:right w:val="none" w:sz="0" w:space="0" w:color="auto"/>
      </w:divBdr>
    </w:div>
    <w:div w:id="760681925">
      <w:bodyDiv w:val="1"/>
      <w:marLeft w:val="0"/>
      <w:marRight w:val="0"/>
      <w:marTop w:val="0"/>
      <w:marBottom w:val="0"/>
      <w:divBdr>
        <w:top w:val="none" w:sz="0" w:space="0" w:color="auto"/>
        <w:left w:val="none" w:sz="0" w:space="0" w:color="auto"/>
        <w:bottom w:val="none" w:sz="0" w:space="0" w:color="auto"/>
        <w:right w:val="none" w:sz="0" w:space="0" w:color="auto"/>
      </w:divBdr>
    </w:div>
    <w:div w:id="802238250">
      <w:bodyDiv w:val="1"/>
      <w:marLeft w:val="0"/>
      <w:marRight w:val="0"/>
      <w:marTop w:val="0"/>
      <w:marBottom w:val="0"/>
      <w:divBdr>
        <w:top w:val="none" w:sz="0" w:space="0" w:color="auto"/>
        <w:left w:val="none" w:sz="0" w:space="0" w:color="auto"/>
        <w:bottom w:val="none" w:sz="0" w:space="0" w:color="auto"/>
        <w:right w:val="none" w:sz="0" w:space="0" w:color="auto"/>
      </w:divBdr>
    </w:div>
    <w:div w:id="1028677198">
      <w:bodyDiv w:val="1"/>
      <w:marLeft w:val="0"/>
      <w:marRight w:val="0"/>
      <w:marTop w:val="0"/>
      <w:marBottom w:val="0"/>
      <w:divBdr>
        <w:top w:val="none" w:sz="0" w:space="0" w:color="auto"/>
        <w:left w:val="none" w:sz="0" w:space="0" w:color="auto"/>
        <w:bottom w:val="none" w:sz="0" w:space="0" w:color="auto"/>
        <w:right w:val="none" w:sz="0" w:space="0" w:color="auto"/>
      </w:divBdr>
    </w:div>
    <w:div w:id="1028944592">
      <w:bodyDiv w:val="1"/>
      <w:marLeft w:val="0"/>
      <w:marRight w:val="0"/>
      <w:marTop w:val="0"/>
      <w:marBottom w:val="0"/>
      <w:divBdr>
        <w:top w:val="none" w:sz="0" w:space="0" w:color="auto"/>
        <w:left w:val="none" w:sz="0" w:space="0" w:color="auto"/>
        <w:bottom w:val="none" w:sz="0" w:space="0" w:color="auto"/>
        <w:right w:val="none" w:sz="0" w:space="0" w:color="auto"/>
      </w:divBdr>
    </w:div>
    <w:div w:id="1455825455">
      <w:bodyDiv w:val="1"/>
      <w:marLeft w:val="0"/>
      <w:marRight w:val="0"/>
      <w:marTop w:val="0"/>
      <w:marBottom w:val="0"/>
      <w:divBdr>
        <w:top w:val="none" w:sz="0" w:space="0" w:color="auto"/>
        <w:left w:val="none" w:sz="0" w:space="0" w:color="auto"/>
        <w:bottom w:val="none" w:sz="0" w:space="0" w:color="auto"/>
        <w:right w:val="none" w:sz="0" w:space="0" w:color="auto"/>
      </w:divBdr>
    </w:div>
    <w:div w:id="1810777537">
      <w:bodyDiv w:val="1"/>
      <w:marLeft w:val="0"/>
      <w:marRight w:val="0"/>
      <w:marTop w:val="0"/>
      <w:marBottom w:val="0"/>
      <w:divBdr>
        <w:top w:val="none" w:sz="0" w:space="0" w:color="auto"/>
        <w:left w:val="none" w:sz="0" w:space="0" w:color="auto"/>
        <w:bottom w:val="none" w:sz="0" w:space="0" w:color="auto"/>
        <w:right w:val="none" w:sz="0" w:space="0" w:color="auto"/>
      </w:divBdr>
    </w:div>
    <w:div w:id="1838039189">
      <w:bodyDiv w:val="1"/>
      <w:marLeft w:val="0"/>
      <w:marRight w:val="0"/>
      <w:marTop w:val="0"/>
      <w:marBottom w:val="0"/>
      <w:divBdr>
        <w:top w:val="none" w:sz="0" w:space="0" w:color="auto"/>
        <w:left w:val="none" w:sz="0" w:space="0" w:color="auto"/>
        <w:bottom w:val="none" w:sz="0" w:space="0" w:color="auto"/>
        <w:right w:val="none" w:sz="0" w:space="0" w:color="auto"/>
      </w:divBdr>
    </w:div>
    <w:div w:id="194480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boi.org.il/en/economic-roles/data-and-statistics/money-and-debt-aggregates/debt-and-credit/"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AA493-77C0-434D-B76C-D3380825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1010</Words>
  <Characters>5051</Characters>
  <Application>Microsoft Office Word</Application>
  <DocSecurity>4</DocSecurity>
  <Lines>42</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BOI</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u15c</dc:creator>
  <cp:lastModifiedBy>רוסול דכוור</cp:lastModifiedBy>
  <cp:revision>2</cp:revision>
  <cp:lastPrinted>2014-12-25T12:03:00Z</cp:lastPrinted>
  <dcterms:created xsi:type="dcterms:W3CDTF">2026-09-24T10:38:00Z</dcterms:created>
  <dcterms:modified xsi:type="dcterms:W3CDTF">2026-09-24T10:38:00Z</dcterms:modified>
</cp:coreProperties>
</file>