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BB79D5" w:rsidTr="00031A9D">
        <w:tc>
          <w:tcPr>
            <w:tcW w:w="3343" w:type="dxa"/>
            <w:tcBorders>
              <w:top w:val="nil"/>
              <w:left w:val="nil"/>
              <w:bottom w:val="nil"/>
              <w:right w:val="nil"/>
            </w:tcBorders>
            <w:vAlign w:val="center"/>
          </w:tcPr>
          <w:p w:rsidR="00031A9D" w:rsidRPr="00D62212" w:rsidRDefault="00D20EC9" w:rsidP="00E966B4">
            <w:pPr>
              <w:bidi/>
              <w:spacing w:line="276" w:lineRule="auto"/>
              <w:jc w:val="both"/>
              <w:rPr>
                <w:rFonts w:asciiTheme="minorHAnsi" w:hAnsiTheme="minorHAnsi" w:cstheme="minorHAnsi"/>
                <w:b/>
                <w:bCs/>
                <w:rtl/>
              </w:rPr>
            </w:pPr>
            <w:r w:rsidRPr="00D62212">
              <w:rPr>
                <w:rFonts w:asciiTheme="minorHAnsi" w:hAnsiTheme="minorHAnsi" w:cstheme="minorHAnsi"/>
                <w:b/>
                <w:bCs/>
                <w:rtl/>
              </w:rPr>
              <w:t>בנק ישראל</w:t>
            </w:r>
          </w:p>
          <w:p w:rsidR="00031A9D" w:rsidRPr="00D62212" w:rsidRDefault="00D20EC9" w:rsidP="00E966B4">
            <w:pPr>
              <w:bidi/>
              <w:spacing w:line="276" w:lineRule="auto"/>
              <w:jc w:val="both"/>
              <w:rPr>
                <w:rFonts w:asciiTheme="minorHAnsi" w:hAnsiTheme="minorHAnsi" w:cstheme="minorHAnsi"/>
                <w:b/>
                <w:bCs/>
              </w:rPr>
            </w:pPr>
            <w:r w:rsidRPr="00D62212">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D62212" w:rsidRDefault="00D20EC9" w:rsidP="00E966B4">
            <w:pPr>
              <w:bidi/>
              <w:spacing w:line="276" w:lineRule="auto"/>
              <w:jc w:val="both"/>
              <w:rPr>
                <w:rFonts w:asciiTheme="minorHAnsi" w:hAnsiTheme="minorHAnsi" w:cstheme="minorHAnsi"/>
              </w:rPr>
            </w:pPr>
            <w:r w:rsidRPr="00D62212">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D62212" w:rsidRDefault="00D20EC9" w:rsidP="00E966B4">
            <w:pPr>
              <w:bidi/>
              <w:spacing w:line="276" w:lineRule="auto"/>
              <w:jc w:val="both"/>
              <w:rPr>
                <w:rFonts w:asciiTheme="minorHAnsi" w:hAnsiTheme="minorHAnsi" w:cstheme="minorHAnsi"/>
                <w:rtl/>
              </w:rPr>
            </w:pPr>
            <w:r w:rsidRPr="00D62212">
              <w:rPr>
                <w:rFonts w:asciiTheme="minorHAnsi" w:hAnsiTheme="minorHAnsi" w:cstheme="minorHAnsi"/>
                <w:highlight w:val="green"/>
                <w:rtl/>
              </w:rPr>
              <w:t>‏</w:t>
            </w:r>
            <w:r w:rsidRPr="00D62212">
              <w:rPr>
                <w:rFonts w:asciiTheme="minorHAnsi" w:hAnsiTheme="minorHAnsi" w:cstheme="minorHAnsi"/>
                <w:rtl/>
              </w:rPr>
              <w:t xml:space="preserve">ירושלים, </w:t>
            </w:r>
            <w:r w:rsidRPr="00D62212">
              <w:rPr>
                <w:rFonts w:asciiTheme="minorHAnsi" w:hAnsiTheme="minorHAnsi" w:cstheme="minorHAnsi"/>
                <w:rtl/>
              </w:rPr>
              <w:fldChar w:fldCharType="begin"/>
            </w:r>
            <w:r w:rsidRPr="00D62212">
              <w:rPr>
                <w:rFonts w:asciiTheme="minorHAnsi" w:hAnsiTheme="minorHAnsi" w:cstheme="minorHAnsi"/>
                <w:rtl/>
              </w:rPr>
              <w:instrText xml:space="preserve"> </w:instrText>
            </w:r>
            <w:r w:rsidRPr="00D62212">
              <w:rPr>
                <w:rFonts w:asciiTheme="minorHAnsi" w:hAnsiTheme="minorHAnsi" w:cstheme="minorHAnsi"/>
              </w:rPr>
              <w:instrText>DATE</w:instrText>
            </w:r>
            <w:r w:rsidRPr="00D62212">
              <w:rPr>
                <w:rFonts w:asciiTheme="minorHAnsi" w:hAnsiTheme="minorHAnsi" w:cstheme="minorHAnsi"/>
                <w:rtl/>
              </w:rPr>
              <w:instrText xml:space="preserve"> \@ "</w:instrText>
            </w:r>
            <w:r w:rsidRPr="00D62212">
              <w:rPr>
                <w:rFonts w:asciiTheme="minorHAnsi" w:hAnsiTheme="minorHAnsi" w:cstheme="minorHAnsi"/>
              </w:rPr>
              <w:instrText>d MMMM, yyyy" \h</w:instrText>
            </w:r>
            <w:r w:rsidRPr="00D62212">
              <w:rPr>
                <w:rFonts w:asciiTheme="minorHAnsi" w:hAnsiTheme="minorHAnsi" w:cstheme="minorHAnsi"/>
                <w:rtl/>
              </w:rPr>
              <w:instrText xml:space="preserve"> </w:instrText>
            </w:r>
            <w:r w:rsidRPr="00D62212">
              <w:rPr>
                <w:rFonts w:asciiTheme="minorHAnsi" w:hAnsiTheme="minorHAnsi" w:cstheme="minorHAnsi"/>
                <w:rtl/>
              </w:rPr>
              <w:fldChar w:fldCharType="separate"/>
            </w:r>
            <w:r>
              <w:rPr>
                <w:rFonts w:asciiTheme="minorHAnsi" w:hAnsiTheme="minorHAnsi" w:cstheme="minorHAnsi"/>
                <w:noProof/>
                <w:rtl/>
              </w:rPr>
              <w:t>‏א' אלול, תשפ"ה</w:t>
            </w:r>
            <w:r w:rsidRPr="00D62212">
              <w:rPr>
                <w:rFonts w:asciiTheme="minorHAnsi" w:hAnsiTheme="minorHAnsi" w:cstheme="minorHAnsi"/>
                <w:rtl/>
              </w:rPr>
              <w:fldChar w:fldCharType="end"/>
            </w:r>
          </w:p>
          <w:p w:rsidR="00031A9D" w:rsidRPr="00D62212" w:rsidRDefault="00D20EC9" w:rsidP="00E966B4">
            <w:pPr>
              <w:bidi/>
              <w:spacing w:line="276" w:lineRule="auto"/>
              <w:jc w:val="both"/>
              <w:rPr>
                <w:rFonts w:asciiTheme="minorHAnsi" w:hAnsiTheme="minorHAnsi" w:cstheme="minorHAnsi"/>
                <w:highlight w:val="green"/>
              </w:rPr>
            </w:pPr>
            <w:r w:rsidRPr="00D62212">
              <w:rPr>
                <w:rFonts w:asciiTheme="minorHAnsi" w:hAnsiTheme="minorHAnsi" w:cstheme="minorHAnsi"/>
                <w:rtl/>
              </w:rPr>
              <w:fldChar w:fldCharType="begin"/>
            </w:r>
            <w:r w:rsidRPr="00D62212">
              <w:rPr>
                <w:rFonts w:asciiTheme="minorHAnsi" w:hAnsiTheme="minorHAnsi" w:cstheme="minorHAnsi"/>
                <w:rtl/>
              </w:rPr>
              <w:instrText xml:space="preserve"> </w:instrText>
            </w:r>
            <w:r w:rsidRPr="00D62212">
              <w:rPr>
                <w:rFonts w:asciiTheme="minorHAnsi" w:hAnsiTheme="minorHAnsi" w:cstheme="minorHAnsi"/>
              </w:rPr>
              <w:instrText>DATE</w:instrText>
            </w:r>
            <w:r w:rsidRPr="00D62212">
              <w:rPr>
                <w:rFonts w:asciiTheme="minorHAnsi" w:hAnsiTheme="minorHAnsi" w:cstheme="minorHAnsi"/>
                <w:rtl/>
              </w:rPr>
              <w:instrText xml:space="preserve"> \@ "</w:instrText>
            </w:r>
            <w:r w:rsidRPr="00D62212">
              <w:rPr>
                <w:rFonts w:asciiTheme="minorHAnsi" w:hAnsiTheme="minorHAnsi" w:cstheme="minorHAnsi"/>
              </w:rPr>
              <w:instrText>d MMMM, yyyy</w:instrText>
            </w:r>
            <w:r w:rsidRPr="00D62212">
              <w:rPr>
                <w:rFonts w:asciiTheme="minorHAnsi" w:hAnsiTheme="minorHAnsi" w:cstheme="minorHAnsi"/>
                <w:rtl/>
              </w:rPr>
              <w:instrText xml:space="preserve">" </w:instrText>
            </w:r>
            <w:r w:rsidRPr="00D62212">
              <w:rPr>
                <w:rFonts w:asciiTheme="minorHAnsi" w:hAnsiTheme="minorHAnsi" w:cstheme="minorHAnsi"/>
                <w:rtl/>
              </w:rPr>
              <w:fldChar w:fldCharType="separate"/>
            </w:r>
            <w:r>
              <w:rPr>
                <w:rFonts w:asciiTheme="minorHAnsi" w:hAnsiTheme="minorHAnsi" w:cstheme="minorHAnsi"/>
                <w:noProof/>
                <w:rtl/>
              </w:rPr>
              <w:t>‏25 אוגוסט, 2025</w:t>
            </w:r>
            <w:r w:rsidRPr="00D62212">
              <w:rPr>
                <w:rFonts w:asciiTheme="minorHAnsi" w:hAnsiTheme="minorHAnsi" w:cstheme="minorHAnsi"/>
                <w:rtl/>
              </w:rPr>
              <w:fldChar w:fldCharType="end"/>
            </w:r>
          </w:p>
        </w:tc>
      </w:tr>
    </w:tbl>
    <w:p w:rsidR="00031A9D" w:rsidRPr="00D62212" w:rsidRDefault="00031A9D" w:rsidP="00E966B4">
      <w:pPr>
        <w:bidi/>
        <w:spacing w:line="276" w:lineRule="auto"/>
        <w:jc w:val="both"/>
        <w:rPr>
          <w:rFonts w:asciiTheme="minorHAnsi" w:hAnsiTheme="minorHAnsi" w:cstheme="minorHAnsi"/>
          <w:rtl/>
        </w:rPr>
      </w:pPr>
    </w:p>
    <w:p w:rsidR="00E966B4" w:rsidRPr="002874D2" w:rsidRDefault="00D20EC9" w:rsidP="00E966B4">
      <w:pPr>
        <w:bidi/>
        <w:spacing w:before="100" w:beforeAutospacing="1" w:after="100" w:afterAutospacing="1" w:line="276" w:lineRule="auto"/>
        <w:outlineLvl w:val="1"/>
        <w:rPr>
          <w:rFonts w:ascii="Calibri" w:eastAsia="Times New Roman" w:hAnsi="Calibri" w:cs="Calibri"/>
          <w:sz w:val="28"/>
          <w:szCs w:val="28"/>
          <w:lang w:val="" w:eastAsia="" w:bidi="ar-SA"/>
        </w:rPr>
      </w:pPr>
      <w:r w:rsidRPr="002874D2">
        <w:rPr>
          <w:rFonts w:ascii="Calibri" w:eastAsia="Times New Roman" w:hAnsi="Calibri" w:cs="Calibri"/>
          <w:sz w:val="28"/>
          <w:szCs w:val="28"/>
          <w:rtl/>
          <w:lang w:val="" w:eastAsia="" w:bidi="ar-SA"/>
        </w:rPr>
        <w:t>بيان صحفي</w:t>
      </w:r>
      <w:r w:rsidR="002874D2" w:rsidRPr="002874D2">
        <w:rPr>
          <w:rFonts w:ascii="Calibri" w:eastAsia="Times New Roman" w:hAnsi="Calibri" w:cs="Calibri" w:hint="cs"/>
          <w:sz w:val="28"/>
          <w:szCs w:val="28"/>
          <w:rtl/>
          <w:lang w:val="" w:eastAsia=""/>
        </w:rPr>
        <w:t>:</w:t>
      </w:r>
      <w:r w:rsidRPr="002874D2">
        <w:rPr>
          <w:rFonts w:ascii="Calibri" w:eastAsia="Times New Roman" w:hAnsi="Calibri" w:cs="Calibri"/>
          <w:sz w:val="28"/>
          <w:szCs w:val="28"/>
          <w:rtl/>
          <w:lang w:val="" w:eastAsia="" w:bidi="ar-SA"/>
        </w:rPr>
        <w:t xml:space="preserve"> </w:t>
      </w:r>
    </w:p>
    <w:p w:rsidR="00E966B4" w:rsidRPr="00E966B4" w:rsidRDefault="00D20EC9" w:rsidP="00D20EC9">
      <w:pPr>
        <w:bidi/>
        <w:spacing w:before="100" w:beforeAutospacing="1" w:after="100" w:afterAutospacing="1" w:line="276" w:lineRule="auto"/>
        <w:jc w:val="center"/>
        <w:rPr>
          <w:rFonts w:ascii="Calibri" w:eastAsia="Times New Roman" w:hAnsi="Calibri" w:cs="Calibri"/>
          <w:b/>
          <w:bCs/>
          <w:sz w:val="32"/>
          <w:szCs w:val="32"/>
          <w:lang w:val="" w:eastAsia="" w:bidi="ar-SA"/>
        </w:rPr>
      </w:pPr>
      <w:r w:rsidRPr="00E966B4">
        <w:rPr>
          <w:rFonts w:ascii="Calibri" w:eastAsia="Times New Roman" w:hAnsi="Calibri" w:cs="Calibri"/>
          <w:b/>
          <w:bCs/>
          <w:sz w:val="32"/>
          <w:szCs w:val="32"/>
          <w:rtl/>
          <w:lang w:val="" w:eastAsia="" w:bidi="ar-SA"/>
        </w:rPr>
        <w:t>أعلنت السيدة شلوميت غ</w:t>
      </w:r>
      <w:r w:rsidR="002874D2">
        <w:rPr>
          <w:rFonts w:ascii="Calibri" w:eastAsia="Times New Roman" w:hAnsi="Calibri" w:cs="Calibri" w:hint="cs"/>
          <w:b/>
          <w:bCs/>
          <w:sz w:val="32"/>
          <w:szCs w:val="32"/>
          <w:rtl/>
          <w:lang w:eastAsia="" w:bidi="ar-SA"/>
        </w:rPr>
        <w:t>ا</w:t>
      </w:r>
      <w:r w:rsidRPr="00E966B4">
        <w:rPr>
          <w:rFonts w:ascii="Calibri" w:eastAsia="Times New Roman" w:hAnsi="Calibri" w:cs="Calibri"/>
          <w:b/>
          <w:bCs/>
          <w:sz w:val="32"/>
          <w:szCs w:val="32"/>
          <w:rtl/>
          <w:lang w:val="" w:eastAsia="" w:bidi="ar-SA"/>
        </w:rPr>
        <w:t>ري، المدير</w:t>
      </w:r>
      <w:r>
        <w:rPr>
          <w:rFonts w:ascii="Calibri" w:eastAsia="Times New Roman" w:hAnsi="Calibri" w:cs="Calibri" w:hint="cs"/>
          <w:b/>
          <w:bCs/>
          <w:sz w:val="32"/>
          <w:szCs w:val="32"/>
          <w:rtl/>
          <w:lang w:val="" w:eastAsia="" w:bidi="ar-SA"/>
        </w:rPr>
        <w:t>ة</w:t>
      </w:r>
      <w:r w:rsidRPr="00E966B4">
        <w:rPr>
          <w:rFonts w:ascii="Calibri" w:eastAsia="Times New Roman" w:hAnsi="Calibri" w:cs="Calibri"/>
          <w:b/>
          <w:bCs/>
          <w:sz w:val="32"/>
          <w:szCs w:val="32"/>
          <w:rtl/>
          <w:lang w:val="" w:eastAsia="" w:bidi="ar-SA"/>
        </w:rPr>
        <w:t xml:space="preserve"> العام</w:t>
      </w:r>
      <w:r>
        <w:rPr>
          <w:rFonts w:ascii="Calibri" w:eastAsia="Times New Roman" w:hAnsi="Calibri" w:cs="Calibri" w:hint="cs"/>
          <w:b/>
          <w:bCs/>
          <w:sz w:val="32"/>
          <w:szCs w:val="32"/>
          <w:rtl/>
          <w:lang w:val="" w:eastAsia="" w:bidi="ar-SA"/>
        </w:rPr>
        <w:t>ة</w:t>
      </w:r>
      <w:r w:rsidRPr="00E966B4">
        <w:rPr>
          <w:rFonts w:ascii="Calibri" w:eastAsia="Times New Roman" w:hAnsi="Calibri" w:cs="Calibri"/>
          <w:b/>
          <w:bCs/>
          <w:sz w:val="32"/>
          <w:szCs w:val="32"/>
          <w:rtl/>
          <w:lang w:val="" w:eastAsia="" w:bidi="ar-SA"/>
        </w:rPr>
        <w:t xml:space="preserve"> لبنك إسرائيل، عن نيتها إنهاء مهامها بنهاية ولايتها التي امتدت لخمس سنوات</w:t>
      </w:r>
    </w:p>
    <w:p w:rsidR="00E966B4" w:rsidRPr="00E966B4" w:rsidRDefault="00E966B4" w:rsidP="00E966B4">
      <w:pPr>
        <w:bidi/>
        <w:spacing w:before="100" w:beforeAutospacing="1" w:after="100" w:afterAutospacing="1" w:line="276" w:lineRule="auto"/>
        <w:rPr>
          <w:rFonts w:ascii="Calibri" w:eastAsia="Times New Roman" w:hAnsi="Calibri" w:cs="Calibri"/>
          <w:rtl/>
          <w:lang w:val="" w:eastAsia="" w:bidi="ar-SA"/>
        </w:rPr>
      </w:pPr>
    </w:p>
    <w:p w:rsidR="00E966B4" w:rsidRPr="00E966B4" w:rsidRDefault="00D20EC9" w:rsidP="00E966B4">
      <w:pPr>
        <w:bidi/>
        <w:spacing w:before="100" w:beforeAutospacing="1" w:after="100" w:afterAutospacing="1" w:line="276" w:lineRule="auto"/>
        <w:rPr>
          <w:rFonts w:ascii="Calibri" w:eastAsia="Times New Roman" w:hAnsi="Calibri" w:cs="Calibri"/>
          <w:lang w:val="" w:eastAsia="" w:bidi="ar-SA"/>
        </w:rPr>
      </w:pPr>
      <w:bookmarkStart w:id="0" w:name="_GoBack"/>
      <w:r w:rsidRPr="00E966B4">
        <w:rPr>
          <w:rFonts w:ascii="Calibri" w:eastAsia="Times New Roman" w:hAnsi="Calibri" w:cs="Calibri"/>
          <w:rtl/>
          <w:lang w:val="" w:eastAsia="" w:bidi="ar-SA"/>
        </w:rPr>
        <w:t>أبلغت السيدة غ</w:t>
      </w:r>
      <w:r w:rsidR="002874D2">
        <w:rPr>
          <w:rFonts w:ascii="Calibri" w:eastAsia="Times New Roman" w:hAnsi="Calibri" w:cs="Calibri" w:hint="cs"/>
          <w:rtl/>
          <w:lang w:val="" w:eastAsia="" w:bidi="ar-SA"/>
        </w:rPr>
        <w:t>ا</w:t>
      </w:r>
      <w:r w:rsidRPr="00E966B4">
        <w:rPr>
          <w:rFonts w:ascii="Calibri" w:eastAsia="Times New Roman" w:hAnsi="Calibri" w:cs="Calibri"/>
          <w:rtl/>
          <w:lang w:val="" w:eastAsia="" w:bidi="ar-SA"/>
        </w:rPr>
        <w:t>ري محافظ بنك إسرائيل، البروفيسور أمير ي</w:t>
      </w:r>
      <w:r>
        <w:rPr>
          <w:rFonts w:ascii="Calibri" w:eastAsia="Times New Roman" w:hAnsi="Calibri" w:cs="Calibri" w:hint="cs"/>
          <w:rtl/>
          <w:lang w:val="" w:eastAsia="" w:bidi="ar-SA"/>
        </w:rPr>
        <w:t>ا</w:t>
      </w:r>
      <w:r w:rsidRPr="00E966B4">
        <w:rPr>
          <w:rFonts w:ascii="Calibri" w:eastAsia="Times New Roman" w:hAnsi="Calibri" w:cs="Calibri"/>
          <w:rtl/>
          <w:lang w:val="" w:eastAsia="" w:bidi="ar-SA"/>
        </w:rPr>
        <w:t xml:space="preserve">رون، بنيتها إنهاء عملها رسميًا في نهاية شهر </w:t>
      </w:r>
      <w:r w:rsidR="002874D2">
        <w:rPr>
          <w:rFonts w:ascii="Calibri" w:eastAsia="Times New Roman" w:hAnsi="Calibri" w:cs="Calibri" w:hint="cs"/>
          <w:rtl/>
          <w:lang w:val="" w:eastAsia="" w:bidi="ar-SA"/>
        </w:rPr>
        <w:t>كانون الأول</w:t>
      </w:r>
      <w:r w:rsidRPr="00E966B4">
        <w:rPr>
          <w:rFonts w:ascii="Calibri" w:eastAsia="Times New Roman" w:hAnsi="Calibri" w:cs="Calibri"/>
          <w:rtl/>
          <w:lang w:val="" w:eastAsia="" w:bidi="ar-SA"/>
        </w:rPr>
        <w:t xml:space="preserve"> 2025، بعد إتمام ولاية كاملة مدتها خمس سنوات. وبناءً على طلب المحافظ، وافقت على الاستمرار في منصبها كمدير</w:t>
      </w:r>
      <w:r w:rsidR="002874D2">
        <w:rPr>
          <w:rFonts w:ascii="Calibri" w:eastAsia="Times New Roman" w:hAnsi="Calibri" w:cs="Calibri" w:hint="cs"/>
          <w:rtl/>
          <w:lang w:val="" w:eastAsia="" w:bidi="ar-SA"/>
        </w:rPr>
        <w:t>ة</w:t>
      </w:r>
      <w:r w:rsidRPr="00E966B4">
        <w:rPr>
          <w:rFonts w:ascii="Calibri" w:eastAsia="Times New Roman" w:hAnsi="Calibri" w:cs="Calibri"/>
          <w:rtl/>
          <w:lang w:val="" w:eastAsia="" w:bidi="ar-SA"/>
        </w:rPr>
        <w:t xml:space="preserve"> عام</w:t>
      </w:r>
      <w:r w:rsidR="002874D2">
        <w:rPr>
          <w:rFonts w:ascii="Calibri" w:eastAsia="Times New Roman" w:hAnsi="Calibri" w:cs="Calibri" w:hint="cs"/>
          <w:rtl/>
          <w:lang w:val="" w:eastAsia="" w:bidi="ar-SA"/>
        </w:rPr>
        <w:t>ة</w:t>
      </w:r>
      <w:r w:rsidRPr="00E966B4">
        <w:rPr>
          <w:rFonts w:ascii="Calibri" w:eastAsia="Times New Roman" w:hAnsi="Calibri" w:cs="Calibri"/>
          <w:rtl/>
          <w:lang w:val="" w:eastAsia="" w:bidi="ar-SA"/>
        </w:rPr>
        <w:t xml:space="preserve"> حتى </w:t>
      </w:r>
      <w:r w:rsidR="002874D2">
        <w:rPr>
          <w:rFonts w:ascii="Calibri" w:eastAsia="Times New Roman" w:hAnsi="Calibri" w:cs="Calibri" w:hint="cs"/>
          <w:rtl/>
          <w:lang w:val="" w:eastAsia="" w:bidi="ar-SA"/>
        </w:rPr>
        <w:t>كانون الثاني</w:t>
      </w:r>
      <w:r w:rsidRPr="00E966B4">
        <w:rPr>
          <w:rFonts w:ascii="Calibri" w:eastAsia="Times New Roman" w:hAnsi="Calibri" w:cs="Calibri"/>
          <w:rtl/>
          <w:lang w:val="" w:eastAsia="" w:bidi="ar-SA"/>
        </w:rPr>
        <w:t xml:space="preserve"> 2026، من أجل ضمان انتقال سلس وفعّال للمهام داخل البنك</w:t>
      </w:r>
      <w:r w:rsidRPr="00E966B4">
        <w:rPr>
          <w:rFonts w:ascii="Calibri" w:eastAsia="Times New Roman" w:hAnsi="Calibri" w:cs="Calibri"/>
          <w:lang w:val="" w:eastAsia="" w:bidi="ar-SA"/>
        </w:rPr>
        <w:t>.</w:t>
      </w:r>
    </w:p>
    <w:p w:rsidR="00E966B4" w:rsidRPr="00E966B4" w:rsidRDefault="00D20EC9" w:rsidP="00E966B4">
      <w:p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rtl/>
          <w:lang w:val="" w:eastAsia="" w:bidi="ar-SA"/>
        </w:rPr>
        <w:t>وقد قبل محافظ بنك إسرائيل طلبها، ويعتزم تشكيل لجنة بحث لتعيين مدير عام ج</w:t>
      </w:r>
      <w:r w:rsidRPr="00E966B4">
        <w:rPr>
          <w:rFonts w:ascii="Calibri" w:eastAsia="Times New Roman" w:hAnsi="Calibri" w:cs="Calibri"/>
          <w:rtl/>
          <w:lang w:val="" w:eastAsia="" w:bidi="ar-SA"/>
        </w:rPr>
        <w:t>ديد للبنك</w:t>
      </w:r>
      <w:r w:rsidRPr="00E966B4">
        <w:rPr>
          <w:rFonts w:ascii="Calibri" w:eastAsia="Times New Roman" w:hAnsi="Calibri" w:cs="Calibri"/>
          <w:lang w:val="" w:eastAsia="" w:bidi="ar-SA"/>
        </w:rPr>
        <w:t>.</w:t>
      </w:r>
    </w:p>
    <w:p w:rsidR="00E966B4" w:rsidRPr="00E966B4" w:rsidRDefault="00D20EC9" w:rsidP="00E966B4">
      <w:p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rtl/>
          <w:lang w:val="" w:eastAsia="" w:bidi="ar-SA"/>
        </w:rPr>
        <w:t>تولّت السيدة شلوميت غ</w:t>
      </w:r>
      <w:r w:rsidR="002874D2">
        <w:rPr>
          <w:rFonts w:ascii="Calibri" w:eastAsia="Times New Roman" w:hAnsi="Calibri" w:cs="Calibri" w:hint="cs"/>
          <w:rtl/>
          <w:lang w:val="" w:eastAsia="" w:bidi="ar-SA"/>
        </w:rPr>
        <w:t>ا</w:t>
      </w:r>
      <w:r w:rsidRPr="00E966B4">
        <w:rPr>
          <w:rFonts w:ascii="Calibri" w:eastAsia="Times New Roman" w:hAnsi="Calibri" w:cs="Calibri"/>
          <w:rtl/>
          <w:lang w:val="" w:eastAsia="" w:bidi="ar-SA"/>
        </w:rPr>
        <w:t>ري منصب المدير</w:t>
      </w:r>
      <w:r w:rsidR="002874D2">
        <w:rPr>
          <w:rFonts w:ascii="Calibri" w:eastAsia="Times New Roman" w:hAnsi="Calibri" w:cs="Calibri" w:hint="cs"/>
          <w:rtl/>
          <w:lang w:val="" w:eastAsia="" w:bidi="ar-SA"/>
        </w:rPr>
        <w:t>ة</w:t>
      </w:r>
      <w:r w:rsidRPr="00E966B4">
        <w:rPr>
          <w:rFonts w:ascii="Calibri" w:eastAsia="Times New Roman" w:hAnsi="Calibri" w:cs="Calibri"/>
          <w:rtl/>
          <w:lang w:val="" w:eastAsia="" w:bidi="ar-SA"/>
        </w:rPr>
        <w:t xml:space="preserve"> العام</w:t>
      </w:r>
      <w:r w:rsidR="002874D2">
        <w:rPr>
          <w:rFonts w:ascii="Calibri" w:eastAsia="Times New Roman" w:hAnsi="Calibri" w:cs="Calibri" w:hint="cs"/>
          <w:rtl/>
          <w:lang w:val="" w:eastAsia="" w:bidi="ar-SA"/>
        </w:rPr>
        <w:t>ة</w:t>
      </w:r>
      <w:r w:rsidRPr="00E966B4">
        <w:rPr>
          <w:rFonts w:ascii="Calibri" w:eastAsia="Times New Roman" w:hAnsi="Calibri" w:cs="Calibri"/>
          <w:rtl/>
          <w:lang w:val="" w:eastAsia="" w:bidi="ar-SA"/>
        </w:rPr>
        <w:t xml:space="preserve"> لبنك إسرائيل في </w:t>
      </w:r>
      <w:r w:rsidR="002874D2">
        <w:rPr>
          <w:rFonts w:ascii="Calibri" w:eastAsia="Times New Roman" w:hAnsi="Calibri" w:cs="Calibri" w:hint="cs"/>
          <w:rtl/>
          <w:lang w:val="" w:eastAsia="" w:bidi="ar-SA"/>
        </w:rPr>
        <w:t>كانون الأول</w:t>
      </w:r>
      <w:r w:rsidRPr="00E966B4">
        <w:rPr>
          <w:rFonts w:ascii="Calibri" w:eastAsia="Times New Roman" w:hAnsi="Calibri" w:cs="Calibri"/>
          <w:rtl/>
          <w:lang w:val="" w:eastAsia="" w:bidi="ar-SA"/>
        </w:rPr>
        <w:t xml:space="preserve"> 2020، وأدت مهام منصبها طوال خمس سنوات إلى جانب محافظ البنك، البروفيسور أمير ي</w:t>
      </w:r>
      <w:r w:rsidR="002874D2">
        <w:rPr>
          <w:rFonts w:ascii="Calibri" w:eastAsia="Times New Roman" w:hAnsi="Calibri" w:cs="Calibri" w:hint="cs"/>
          <w:rtl/>
          <w:lang w:val="" w:eastAsia="" w:bidi="ar-SA"/>
        </w:rPr>
        <w:t>ا</w:t>
      </w:r>
      <w:r w:rsidRPr="00E966B4">
        <w:rPr>
          <w:rFonts w:ascii="Calibri" w:eastAsia="Times New Roman" w:hAnsi="Calibri" w:cs="Calibri"/>
          <w:rtl/>
          <w:lang w:val="" w:eastAsia="" w:bidi="ar-SA"/>
        </w:rPr>
        <w:t>رون. وخلال فترة تولّيها المنصب، كانت مسؤولة مباشرة عن إدارة عدد من الأقسام الرئيسية، من بينها:</w:t>
      </w:r>
      <w:r w:rsidRPr="00E966B4">
        <w:rPr>
          <w:rFonts w:ascii="Calibri" w:eastAsia="Times New Roman" w:hAnsi="Calibri" w:cs="Calibri"/>
          <w:rtl/>
          <w:lang w:val="" w:eastAsia="" w:bidi="ar-SA"/>
        </w:rPr>
        <w:t xml:space="preserve"> إدارة الموارد البشرية وهيكل التنظيم المؤسسي، إدارة تكنولوجيا المعلومات، إدارة التخطيط واستمرارية الأعمال، إدارة الالتزام وإدارة المخاطر، المحاسبة المصرفية، إدارة النقد، وإدارة بيانات الائتمان في البنك</w:t>
      </w:r>
      <w:r w:rsidRPr="00E966B4">
        <w:rPr>
          <w:rFonts w:ascii="Calibri" w:eastAsia="Times New Roman" w:hAnsi="Calibri" w:cs="Calibri"/>
          <w:lang w:val="" w:eastAsia="" w:bidi="ar-SA"/>
        </w:rPr>
        <w:t>.</w:t>
      </w:r>
    </w:p>
    <w:p w:rsidR="00E966B4" w:rsidRPr="00E966B4" w:rsidRDefault="00D20EC9" w:rsidP="00E966B4">
      <w:p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rtl/>
          <w:lang w:val="" w:eastAsia="" w:bidi="ar-SA"/>
        </w:rPr>
        <w:t>خلال فترة ولايتها، قادت السيدة غ</w:t>
      </w:r>
      <w:r w:rsidR="002874D2">
        <w:rPr>
          <w:rFonts w:ascii="Calibri" w:eastAsia="Times New Roman" w:hAnsi="Calibri" w:cs="Calibri" w:hint="cs"/>
          <w:rtl/>
          <w:lang w:val="" w:eastAsia="" w:bidi="ar-SA"/>
        </w:rPr>
        <w:t>ار</w:t>
      </w:r>
      <w:r w:rsidRPr="00E966B4">
        <w:rPr>
          <w:rFonts w:ascii="Calibri" w:eastAsia="Times New Roman" w:hAnsi="Calibri" w:cs="Calibri"/>
          <w:rtl/>
          <w:lang w:val="" w:eastAsia="" w:bidi="ar-SA"/>
        </w:rPr>
        <w:t>ي جهود البنك في موا</w:t>
      </w:r>
      <w:r w:rsidRPr="00E966B4">
        <w:rPr>
          <w:rFonts w:ascii="Calibri" w:eastAsia="Times New Roman" w:hAnsi="Calibri" w:cs="Calibri"/>
          <w:rtl/>
          <w:lang w:val="" w:eastAsia="" w:bidi="ar-SA"/>
        </w:rPr>
        <w:t>جهة تحديات كبيرة ناتجة عن الظروف الجيوسياسية والعالمية، ومنها</w:t>
      </w:r>
      <w:r w:rsidRPr="00E966B4">
        <w:rPr>
          <w:rFonts w:ascii="Calibri" w:eastAsia="Times New Roman" w:hAnsi="Calibri" w:cs="Calibri"/>
          <w:lang w:val="" w:eastAsia="" w:bidi="ar-SA"/>
        </w:rPr>
        <w:t>:</w:t>
      </w:r>
    </w:p>
    <w:p w:rsidR="00E966B4" w:rsidRPr="00E966B4" w:rsidRDefault="00D20EC9" w:rsidP="00E966B4">
      <w:pPr>
        <w:numPr>
          <w:ilvl w:val="0"/>
          <w:numId w:val="6"/>
        </w:num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b/>
          <w:bCs/>
          <w:rtl/>
          <w:lang w:val="" w:eastAsia="" w:bidi="ar-SA"/>
        </w:rPr>
        <w:t>ضمان استمرارية عمل البنك في حالات الطوارئ</w:t>
      </w:r>
      <w:r w:rsidRPr="00E966B4">
        <w:rPr>
          <w:rFonts w:ascii="Calibri" w:eastAsia="Times New Roman" w:hAnsi="Calibri" w:cs="Calibri"/>
          <w:lang w:val="" w:eastAsia="" w:bidi="ar-SA"/>
        </w:rPr>
        <w:br/>
      </w:r>
      <w:r w:rsidRPr="00E966B4">
        <w:rPr>
          <w:rFonts w:ascii="Calibri" w:eastAsia="Times New Roman" w:hAnsi="Calibri" w:cs="Calibri"/>
          <w:rtl/>
          <w:lang w:val="" w:eastAsia="" w:bidi="ar-SA"/>
        </w:rPr>
        <w:t>شملت هذه المبادرة إنشاء البنى التحتية للعمل عن بُعد خلال جائحة كورونا وأوقات النزاع، تأمين النقد المتاح للجمهور حتى في الأوقات الحرجة، وتعزيز البنى الت</w:t>
      </w:r>
      <w:r w:rsidRPr="00E966B4">
        <w:rPr>
          <w:rFonts w:ascii="Calibri" w:eastAsia="Times New Roman" w:hAnsi="Calibri" w:cs="Calibri"/>
          <w:rtl/>
          <w:lang w:val="" w:eastAsia="" w:bidi="ar-SA"/>
        </w:rPr>
        <w:t>حتية المادية والتكنولوجية للبنك، مما مكّنه من الاستمرار في أداء مهامه الحيوية أثناء الحرب كما في السلم</w:t>
      </w:r>
      <w:r w:rsidRPr="00E966B4">
        <w:rPr>
          <w:rFonts w:ascii="Calibri" w:eastAsia="Times New Roman" w:hAnsi="Calibri" w:cs="Calibri"/>
          <w:lang w:val="" w:eastAsia="" w:bidi="ar-SA"/>
        </w:rPr>
        <w:t>.</w:t>
      </w:r>
    </w:p>
    <w:p w:rsidR="00E966B4" w:rsidRPr="00E966B4" w:rsidRDefault="00D20EC9" w:rsidP="00E966B4">
      <w:pPr>
        <w:numPr>
          <w:ilvl w:val="0"/>
          <w:numId w:val="6"/>
        </w:num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b/>
          <w:bCs/>
          <w:rtl/>
          <w:lang w:val="" w:eastAsia="" w:bidi="ar-SA"/>
        </w:rPr>
        <w:t>تسريع مشروع قاعدة بيانات الائتمان للشركات الصغيرة والمتوسطة</w:t>
      </w:r>
      <w:r w:rsidRPr="00E966B4">
        <w:rPr>
          <w:rFonts w:ascii="Calibri" w:eastAsia="Times New Roman" w:hAnsi="Calibri" w:cs="Calibri"/>
          <w:lang w:val="" w:eastAsia="" w:bidi="ar-SA"/>
        </w:rPr>
        <w:br/>
      </w:r>
      <w:r w:rsidRPr="00E966B4">
        <w:rPr>
          <w:rFonts w:ascii="Calibri" w:eastAsia="Times New Roman" w:hAnsi="Calibri" w:cs="Calibri"/>
          <w:rtl/>
          <w:lang w:val="" w:eastAsia="" w:bidi="ar-SA"/>
        </w:rPr>
        <w:t>عملت على تعزيز المنافسة في سوق الائتمان لهذه الفئة من الشركات من خلال هذا المشروع، الذي من ا</w:t>
      </w:r>
      <w:r w:rsidRPr="00E966B4">
        <w:rPr>
          <w:rFonts w:ascii="Calibri" w:eastAsia="Times New Roman" w:hAnsi="Calibri" w:cs="Calibri"/>
          <w:rtl/>
          <w:lang w:val="" w:eastAsia="" w:bidi="ar-SA"/>
        </w:rPr>
        <w:t>لمتوقع أن يسهم في دعم النمو الاقتصادي وازدهار السوق</w:t>
      </w:r>
      <w:r w:rsidRPr="00E966B4">
        <w:rPr>
          <w:rFonts w:ascii="Calibri" w:eastAsia="Times New Roman" w:hAnsi="Calibri" w:cs="Calibri"/>
          <w:lang w:val="" w:eastAsia="" w:bidi="ar-SA"/>
        </w:rPr>
        <w:t>.</w:t>
      </w:r>
    </w:p>
    <w:p w:rsidR="00E966B4" w:rsidRPr="00E966B4" w:rsidRDefault="00D20EC9" w:rsidP="00E966B4">
      <w:pPr>
        <w:numPr>
          <w:ilvl w:val="0"/>
          <w:numId w:val="6"/>
        </w:num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b/>
          <w:bCs/>
          <w:rtl/>
          <w:lang w:val="" w:eastAsia="" w:bidi="ar-SA"/>
        </w:rPr>
        <w:t>تعزيز البنية التحتية المادية للبنك</w:t>
      </w:r>
      <w:r w:rsidRPr="00E966B4">
        <w:rPr>
          <w:rFonts w:ascii="Calibri" w:eastAsia="Times New Roman" w:hAnsi="Calibri" w:cs="Calibri"/>
          <w:lang w:val="" w:eastAsia="" w:bidi="ar-SA"/>
        </w:rPr>
        <w:br/>
      </w:r>
      <w:r w:rsidRPr="00E966B4">
        <w:rPr>
          <w:rFonts w:ascii="Calibri" w:eastAsia="Times New Roman" w:hAnsi="Calibri" w:cs="Calibri"/>
          <w:rtl/>
          <w:lang w:val="" w:eastAsia="" w:bidi="ar-SA"/>
        </w:rPr>
        <w:t>أشرفّت على إعداد الخطة الرئيسية</w:t>
      </w:r>
      <w:r w:rsidRPr="00E966B4">
        <w:rPr>
          <w:rFonts w:ascii="Calibri" w:eastAsia="Times New Roman" w:hAnsi="Calibri" w:cs="Calibri"/>
          <w:lang w:val="" w:eastAsia="" w:bidi="ar-SA"/>
        </w:rPr>
        <w:t xml:space="preserve"> (Master Plan) </w:t>
      </w:r>
      <w:r w:rsidRPr="00E966B4">
        <w:rPr>
          <w:rFonts w:ascii="Calibri" w:eastAsia="Times New Roman" w:hAnsi="Calibri" w:cs="Calibri"/>
          <w:rtl/>
          <w:lang w:val="" w:eastAsia="" w:bidi="ar-SA"/>
        </w:rPr>
        <w:t>لعقد قادم تتعلق بتطوير مرافق البنك في القدس وتل أبيب، بهدف توفير بيئة مناسبة للموظفين الحاليين والمستقبليين وتعزيز الكفاءة</w:t>
      </w:r>
      <w:r w:rsidRPr="00E966B4">
        <w:rPr>
          <w:rFonts w:ascii="Calibri" w:eastAsia="Times New Roman" w:hAnsi="Calibri" w:cs="Calibri"/>
          <w:rtl/>
          <w:lang w:val="" w:eastAsia="" w:bidi="ar-SA"/>
        </w:rPr>
        <w:t xml:space="preserve"> التشغيلية</w:t>
      </w:r>
      <w:r w:rsidRPr="00E966B4">
        <w:rPr>
          <w:rFonts w:ascii="Calibri" w:eastAsia="Times New Roman" w:hAnsi="Calibri" w:cs="Calibri"/>
          <w:lang w:val="" w:eastAsia="" w:bidi="ar-SA"/>
        </w:rPr>
        <w:t>.</w:t>
      </w:r>
    </w:p>
    <w:p w:rsidR="00E966B4" w:rsidRPr="00E966B4" w:rsidRDefault="00D20EC9" w:rsidP="00E966B4">
      <w:pPr>
        <w:numPr>
          <w:ilvl w:val="0"/>
          <w:numId w:val="6"/>
        </w:num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b/>
          <w:bCs/>
          <w:rtl/>
          <w:lang w:val="" w:eastAsia="" w:bidi="ar-SA"/>
        </w:rPr>
        <w:t>تعزيز رأس المال البشري في البنك</w:t>
      </w:r>
      <w:r w:rsidRPr="00E966B4">
        <w:rPr>
          <w:rFonts w:ascii="Calibri" w:eastAsia="Times New Roman" w:hAnsi="Calibri" w:cs="Calibri"/>
          <w:lang w:val="" w:eastAsia="" w:bidi="ar-SA"/>
        </w:rPr>
        <w:br/>
      </w:r>
      <w:r w:rsidRPr="00E966B4">
        <w:rPr>
          <w:rFonts w:ascii="Calibri" w:eastAsia="Times New Roman" w:hAnsi="Calibri" w:cs="Calibri"/>
          <w:rtl/>
          <w:lang w:val="" w:eastAsia="" w:bidi="ar-SA"/>
        </w:rPr>
        <w:t>بذلت جهودًا لتحسين إجراءات التوظيف واختيار الموظفين، وفي الوقت ذاته عملت على الاحتفاظ بالموظفين الحاليين من خلال توفير فرص للتطوير الداخلي والترقي</w:t>
      </w:r>
      <w:r w:rsidRPr="00E966B4">
        <w:rPr>
          <w:rFonts w:ascii="Calibri" w:eastAsia="Times New Roman" w:hAnsi="Calibri" w:cs="Calibri"/>
          <w:lang w:val="" w:eastAsia="" w:bidi="ar-SA"/>
        </w:rPr>
        <w:t>.</w:t>
      </w:r>
    </w:p>
    <w:p w:rsidR="00E966B4" w:rsidRPr="00E966B4" w:rsidRDefault="00D20EC9" w:rsidP="00E966B4">
      <w:pPr>
        <w:numPr>
          <w:ilvl w:val="0"/>
          <w:numId w:val="6"/>
        </w:num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b/>
          <w:bCs/>
          <w:rtl/>
          <w:lang w:val="" w:eastAsia="" w:bidi="ar-SA"/>
        </w:rPr>
        <w:t>تنفيذ استراتيجية البنك</w:t>
      </w:r>
      <w:r w:rsidRPr="00E966B4">
        <w:rPr>
          <w:rFonts w:ascii="Calibri" w:eastAsia="Times New Roman" w:hAnsi="Calibri" w:cs="Calibri"/>
          <w:lang w:val="" w:eastAsia="" w:bidi="ar-SA"/>
        </w:rPr>
        <w:br/>
      </w:r>
      <w:r w:rsidRPr="00E966B4">
        <w:rPr>
          <w:rFonts w:ascii="Calibri" w:eastAsia="Times New Roman" w:hAnsi="Calibri" w:cs="Calibri"/>
          <w:rtl/>
          <w:lang w:val="" w:eastAsia="" w:bidi="ar-SA"/>
        </w:rPr>
        <w:t xml:space="preserve">شاركت ضمن الفريق الإداري الضيق الذي وضع </w:t>
      </w:r>
      <w:r w:rsidRPr="00E966B4">
        <w:rPr>
          <w:rFonts w:ascii="Calibri" w:eastAsia="Times New Roman" w:hAnsi="Calibri" w:cs="Calibri"/>
          <w:rtl/>
          <w:lang w:val="" w:eastAsia="" w:bidi="ar-SA"/>
        </w:rPr>
        <w:t>استراتيجية البنك لعام 2025، وعملت على دمج الأهداف الاستراتيجية ضمن خطط العمل مع توفير تخصيص ميزاني مناسب لها</w:t>
      </w:r>
      <w:r w:rsidRPr="00E966B4">
        <w:rPr>
          <w:rFonts w:ascii="Calibri" w:eastAsia="Times New Roman" w:hAnsi="Calibri" w:cs="Calibri"/>
          <w:lang w:val="" w:eastAsia="" w:bidi="ar-SA"/>
        </w:rPr>
        <w:t>.</w:t>
      </w:r>
    </w:p>
    <w:p w:rsidR="00E966B4" w:rsidRPr="00E966B4" w:rsidRDefault="00D20EC9" w:rsidP="00E966B4">
      <w:p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b/>
          <w:bCs/>
          <w:rtl/>
          <w:lang w:val="" w:eastAsia="" w:bidi="ar-SA"/>
        </w:rPr>
        <w:lastRenderedPageBreak/>
        <w:t>المدير</w:t>
      </w:r>
      <w:r w:rsidR="002874D2">
        <w:rPr>
          <w:rFonts w:ascii="Calibri" w:eastAsia="Times New Roman" w:hAnsi="Calibri" w:cs="Calibri" w:hint="cs"/>
          <w:b/>
          <w:bCs/>
          <w:rtl/>
          <w:lang w:val="" w:eastAsia="" w:bidi="ar-SA"/>
        </w:rPr>
        <w:t xml:space="preserve">ة </w:t>
      </w:r>
      <w:r w:rsidRPr="00E966B4">
        <w:rPr>
          <w:rFonts w:ascii="Calibri" w:eastAsia="Times New Roman" w:hAnsi="Calibri" w:cs="Calibri"/>
          <w:b/>
          <w:bCs/>
          <w:rtl/>
          <w:lang w:val="" w:eastAsia="" w:bidi="ar-SA"/>
        </w:rPr>
        <w:t>العام</w:t>
      </w:r>
      <w:r w:rsidR="002874D2">
        <w:rPr>
          <w:rFonts w:ascii="Calibri" w:eastAsia="Times New Roman" w:hAnsi="Calibri" w:cs="Calibri" w:hint="cs"/>
          <w:b/>
          <w:bCs/>
          <w:rtl/>
          <w:lang w:val="" w:eastAsia="" w:bidi="ar-SA"/>
        </w:rPr>
        <w:t>ة السيدة</w:t>
      </w:r>
      <w:r w:rsidRPr="00E966B4">
        <w:rPr>
          <w:rFonts w:ascii="Calibri" w:eastAsia="Times New Roman" w:hAnsi="Calibri" w:cs="Calibri"/>
          <w:b/>
          <w:bCs/>
          <w:rtl/>
          <w:lang w:val="" w:eastAsia="" w:bidi="ar-SA"/>
        </w:rPr>
        <w:t xml:space="preserve"> شلوميت غ</w:t>
      </w:r>
      <w:r w:rsidR="002874D2">
        <w:rPr>
          <w:rFonts w:ascii="Calibri" w:eastAsia="Times New Roman" w:hAnsi="Calibri" w:cs="Calibri" w:hint="cs"/>
          <w:b/>
          <w:bCs/>
          <w:rtl/>
          <w:lang w:val="" w:eastAsia="" w:bidi="ar-SA"/>
        </w:rPr>
        <w:t>ا</w:t>
      </w:r>
      <w:r w:rsidRPr="00E966B4">
        <w:rPr>
          <w:rFonts w:ascii="Calibri" w:eastAsia="Times New Roman" w:hAnsi="Calibri" w:cs="Calibri"/>
          <w:b/>
          <w:bCs/>
          <w:rtl/>
          <w:lang w:val="" w:eastAsia="" w:bidi="ar-SA"/>
        </w:rPr>
        <w:t>ري</w:t>
      </w:r>
      <w:r w:rsidRPr="00E966B4">
        <w:rPr>
          <w:rFonts w:ascii="Calibri" w:eastAsia="Times New Roman" w:hAnsi="Calibri" w:cs="Calibri"/>
          <w:b/>
          <w:bCs/>
          <w:lang w:val="" w:eastAsia="" w:bidi="ar-SA"/>
        </w:rPr>
        <w:t>:</w:t>
      </w:r>
      <w:r>
        <w:rPr>
          <w:rFonts w:ascii="Calibri" w:eastAsia="Times New Roman" w:hAnsi="Calibri" w:cs="Calibri" w:hint="cs"/>
          <w:b/>
          <w:bCs/>
          <w:rtl/>
          <w:lang w:val="" w:eastAsia="" w:bidi="ar-SA"/>
        </w:rPr>
        <w:t xml:space="preserve"> </w:t>
      </w:r>
      <w:r w:rsidRPr="00E966B4">
        <w:rPr>
          <w:rFonts w:ascii="Calibri" w:eastAsia="Times New Roman" w:hAnsi="Calibri" w:cs="Calibri"/>
          <w:lang w:val="" w:eastAsia="" w:bidi="ar-SA"/>
        </w:rPr>
        <w:t>"</w:t>
      </w:r>
      <w:r w:rsidRPr="00E966B4">
        <w:rPr>
          <w:rFonts w:ascii="Calibri" w:eastAsia="Times New Roman" w:hAnsi="Calibri" w:cs="Calibri"/>
          <w:rtl/>
          <w:lang w:val="" w:eastAsia="" w:bidi="ar-SA"/>
        </w:rPr>
        <w:t>أتوجه بالشكر إلى محافظ بنك إسرائيل، البروفيسور أمير ي</w:t>
      </w:r>
      <w:r w:rsidR="00372FF1">
        <w:rPr>
          <w:rFonts w:ascii="Calibri" w:eastAsia="Times New Roman" w:hAnsi="Calibri" w:cs="Calibri" w:hint="cs"/>
          <w:rtl/>
          <w:lang w:val="" w:eastAsia="" w:bidi="ar-SA"/>
        </w:rPr>
        <w:t>ا</w:t>
      </w:r>
      <w:r w:rsidRPr="00E966B4">
        <w:rPr>
          <w:rFonts w:ascii="Calibri" w:eastAsia="Times New Roman" w:hAnsi="Calibri" w:cs="Calibri"/>
          <w:rtl/>
          <w:lang w:val="" w:eastAsia="" w:bidi="ar-SA"/>
        </w:rPr>
        <w:t>رون، على الفرصة الثمينة التي منحني إياها لقيادة البنك إل</w:t>
      </w:r>
      <w:r w:rsidRPr="00E966B4">
        <w:rPr>
          <w:rFonts w:ascii="Calibri" w:eastAsia="Times New Roman" w:hAnsi="Calibri" w:cs="Calibri"/>
          <w:rtl/>
          <w:lang w:val="" w:eastAsia="" w:bidi="ar-SA"/>
        </w:rPr>
        <w:t>ى جانبه خلال فترات مليئة بالتحديات. كما أثمّن التعاون الوثيق الذي كان عنصرًا أساسيًا في إنجاحنا في مواجهة الصعوبات الكبرى. بنك إسرائيل يعد مؤسسة اقتصادية رائدة وأنا واثقة بأنه سيستمر في كونِه منارة مهنية لاقتصاد إسرائيل في السنوات المقبلة</w:t>
      </w:r>
      <w:r w:rsidRPr="00E966B4">
        <w:rPr>
          <w:rFonts w:ascii="Calibri" w:eastAsia="Times New Roman" w:hAnsi="Calibri" w:cs="Calibri"/>
          <w:lang w:val="" w:eastAsia="" w:bidi="ar-SA"/>
        </w:rPr>
        <w:t>."</w:t>
      </w:r>
    </w:p>
    <w:p w:rsidR="00E966B4" w:rsidRPr="00E966B4" w:rsidRDefault="00D20EC9" w:rsidP="00E966B4">
      <w:pPr>
        <w:bidi/>
        <w:spacing w:before="100" w:beforeAutospacing="1" w:after="100" w:afterAutospacing="1" w:line="276" w:lineRule="auto"/>
        <w:rPr>
          <w:rFonts w:ascii="Calibri" w:eastAsia="Times New Roman" w:hAnsi="Calibri" w:cs="Calibri"/>
          <w:lang w:val="" w:eastAsia="" w:bidi="ar-SA"/>
        </w:rPr>
      </w:pPr>
      <w:r w:rsidRPr="00E966B4">
        <w:rPr>
          <w:rFonts w:ascii="Calibri" w:eastAsia="Times New Roman" w:hAnsi="Calibri" w:cs="Calibri"/>
          <w:b/>
          <w:bCs/>
          <w:rtl/>
          <w:lang w:val="" w:eastAsia="" w:bidi="ar-SA"/>
        </w:rPr>
        <w:t>محافظ بنك إسرائ</w:t>
      </w:r>
      <w:r w:rsidRPr="00E966B4">
        <w:rPr>
          <w:rFonts w:ascii="Calibri" w:eastAsia="Times New Roman" w:hAnsi="Calibri" w:cs="Calibri"/>
          <w:b/>
          <w:bCs/>
          <w:rtl/>
          <w:lang w:val="" w:eastAsia="" w:bidi="ar-SA"/>
        </w:rPr>
        <w:t>يل، البروفيسور أمير ي</w:t>
      </w:r>
      <w:r w:rsidR="00372FF1">
        <w:rPr>
          <w:rFonts w:ascii="Calibri" w:eastAsia="Times New Roman" w:hAnsi="Calibri" w:cs="Calibri" w:hint="cs"/>
          <w:b/>
          <w:bCs/>
          <w:rtl/>
          <w:lang w:val="" w:eastAsia="" w:bidi="ar-SA"/>
        </w:rPr>
        <w:t>ا</w:t>
      </w:r>
      <w:r w:rsidRPr="00E966B4">
        <w:rPr>
          <w:rFonts w:ascii="Calibri" w:eastAsia="Times New Roman" w:hAnsi="Calibri" w:cs="Calibri"/>
          <w:b/>
          <w:bCs/>
          <w:rtl/>
          <w:lang w:val="" w:eastAsia="" w:bidi="ar-SA"/>
        </w:rPr>
        <w:t>رون</w:t>
      </w:r>
      <w:r w:rsidRPr="00E966B4">
        <w:rPr>
          <w:rFonts w:ascii="Calibri" w:eastAsia="Times New Roman" w:hAnsi="Calibri" w:cs="Calibri"/>
          <w:b/>
          <w:bCs/>
          <w:lang w:val="" w:eastAsia="" w:bidi="ar-SA"/>
        </w:rPr>
        <w:t>:</w:t>
      </w:r>
      <w:r>
        <w:rPr>
          <w:rFonts w:ascii="Calibri" w:eastAsia="Times New Roman" w:hAnsi="Calibri" w:cs="Calibri" w:hint="cs"/>
          <w:b/>
          <w:bCs/>
          <w:rtl/>
          <w:lang w:val="" w:eastAsia="" w:bidi="ar-SA"/>
        </w:rPr>
        <w:t xml:space="preserve"> </w:t>
      </w:r>
      <w:r w:rsidRPr="00E966B4">
        <w:rPr>
          <w:rFonts w:ascii="Calibri" w:eastAsia="Times New Roman" w:hAnsi="Calibri" w:cs="Calibri"/>
          <w:lang w:val="" w:eastAsia="" w:bidi="ar-SA"/>
        </w:rPr>
        <w:t>"</w:t>
      </w:r>
      <w:r w:rsidRPr="00E966B4">
        <w:rPr>
          <w:rFonts w:ascii="Calibri" w:eastAsia="Times New Roman" w:hAnsi="Calibri" w:cs="Calibri"/>
          <w:rtl/>
          <w:lang w:val="" w:eastAsia="" w:bidi="ar-SA"/>
        </w:rPr>
        <w:t>انضمت السيدة شلوميت غ</w:t>
      </w:r>
      <w:r w:rsidR="002874D2">
        <w:rPr>
          <w:rFonts w:ascii="Calibri" w:eastAsia="Times New Roman" w:hAnsi="Calibri" w:cs="Calibri" w:hint="cs"/>
          <w:rtl/>
          <w:lang w:val="" w:eastAsia="" w:bidi="ar-SA"/>
        </w:rPr>
        <w:t>ا</w:t>
      </w:r>
      <w:r w:rsidRPr="00E966B4">
        <w:rPr>
          <w:rFonts w:ascii="Calibri" w:eastAsia="Times New Roman" w:hAnsi="Calibri" w:cs="Calibri"/>
          <w:rtl/>
          <w:lang w:val="" w:eastAsia="" w:bidi="ar-SA"/>
        </w:rPr>
        <w:t xml:space="preserve">ري إلى بنك إسرائيل في عام 2020، حاملةً معها خبرة إدارية واسعة ومتنوعّة من مؤسسات كبيرة ومعقدة. كانت شريكًا لي في قيادة البنك خلال فترة مضطربة، وقد ساعدتني مهاراتها وخبرتها ومعرفتها في توجيه البنك خلال </w:t>
      </w:r>
      <w:r w:rsidRPr="00E966B4">
        <w:rPr>
          <w:rFonts w:ascii="Calibri" w:eastAsia="Times New Roman" w:hAnsi="Calibri" w:cs="Calibri"/>
          <w:rtl/>
          <w:lang w:val="" w:eastAsia="" w:bidi="ar-SA"/>
        </w:rPr>
        <w:t>التحديات المختلفة. كان تعاوننا وتفانيها في خدمة البنك وعن نجاحه عنصرين حيويين لنجاح الإدارة. أتمنى لها دوام التوفيق والنجاح في مسيرتها المقبلة</w:t>
      </w:r>
      <w:r w:rsidRPr="00E966B4">
        <w:rPr>
          <w:rFonts w:ascii="Calibri" w:eastAsia="Times New Roman" w:hAnsi="Calibri" w:cs="Calibri"/>
          <w:lang w:val="" w:eastAsia="" w:bidi="ar-SA"/>
        </w:rPr>
        <w:t>."</w:t>
      </w:r>
      <w:bookmarkEnd w:id="0"/>
    </w:p>
    <w:sectPr w:rsidR="00E966B4" w:rsidRPr="00E966B4"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0EC9">
      <w:pPr>
        <w:spacing w:after="0" w:line="240" w:lineRule="auto"/>
      </w:pPr>
      <w:r>
        <w:separator/>
      </w:r>
    </w:p>
  </w:endnote>
  <w:endnote w:type="continuationSeparator" w:id="0">
    <w:p w:rsidR="00000000" w:rsidRDefault="00D2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D20EC9" w:rsidP="00F20046">
    <w:pPr>
      <w:pStyle w:val="Footer"/>
      <w:rPr>
        <w:rtl/>
      </w:rPr>
    </w:pPr>
    <w:r>
      <w:rPr>
        <w:noProof/>
      </w:rPr>
      <mc:AlternateContent>
        <mc:Choice Requires="wps">
          <w:drawing>
            <wp:anchor distT="0" distB="0" distL="114300" distR="114300" simplePos="0" relativeHeight="251663360" behindDoc="0" locked="0" layoutInCell="1" allowOverlap="1">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D20EC9" w:rsidP="00F25BB5">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13" o:spid="_x0000_s2049" type="#_x0000_t202" style="width:158.25pt;height:28.5pt;margin-top:8.8pt;margin-left:125.2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972198" w:rsidRPr="00031A9D" w:rsidP="00F25BB5" w14:paraId="2F121358" w14:textId="77777777">
                    <w:pPr>
                      <w:jc w:val="center"/>
                      <w:rPr>
                        <w:rFonts w:ascii="Calibri" w:hAnsi="Calibri" w:cs="Calibri"/>
                        <w:sz w:val="16"/>
                        <w:szCs w:val="16"/>
                        <w:rtl/>
                      </w:rPr>
                    </w:pPr>
                    <w:r w:rsidRPr="00031A9D">
                      <w:rPr>
                        <w:rFonts w:ascii="Calibri" w:hAnsi="Calibri" w:cs="Calibri"/>
                        <w:noProof/>
                        <w:sz w:val="16"/>
                        <w:szCs w:val="16"/>
                        <w:rtl/>
                      </w:rPr>
                      <w:t xml:space="preserve">פודקאסט </w:t>
                    </w:r>
                    <w:r w:rsidRPr="00031A9D">
                      <w:rPr>
                        <w:rFonts w:ascii="Calibri" w:hAnsi="Calibri" w:cs="Calibri"/>
                        <w:noProof/>
                        <w:sz w:val="16"/>
                        <w:szCs w:val="16"/>
                        <w:rtl/>
                      </w:rPr>
                      <w:t xml:space="preserve"> בנק ישראל</w:t>
                    </w:r>
                    <w:r w:rsidRPr="00031A9D">
                      <w:rPr>
                        <w:rFonts w:ascii="Calibri" w:hAnsi="Calibri" w:cs="Calibri"/>
                        <w:noProof/>
                        <w:sz w:val="16"/>
                        <w:szCs w:val="16"/>
                        <w:rtl/>
                      </w:rPr>
                      <w:br/>
                    </w:r>
                    <w:hyperlink r:id="rId2" w:history="1">
                      <w:r w:rsidRPr="00F25BB5" w:rsid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מונה 7"/>
                  <pic:cNvPicPr>
                    <a:picLocks noChangeAspect="1"/>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D20EC9" w:rsidP="00031A9D">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2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F20046" w:rsidRPr="00031A9D" w:rsidP="00031A9D" w14:paraId="4A60102F" w14:textId="77777777">
                    <w:pPr>
                      <w:jc w:val="center"/>
                      <w:rPr>
                        <w:rFonts w:ascii="Calibri" w:hAnsi="Calibri" w:cs="Calibri"/>
                        <w:noProof/>
                        <w:sz w:val="16"/>
                        <w:szCs w:val="16"/>
                        <w:rtl/>
                      </w:rPr>
                    </w:pPr>
                    <w:r w:rsidRPr="00031A9D">
                      <w:rPr>
                        <w:rFonts w:ascii="Calibri" w:hAnsi="Calibri" w:cs="Calibri"/>
                        <w:noProof/>
                        <w:sz w:val="16"/>
                        <w:szCs w:val="16"/>
                        <w:rtl/>
                      </w:rPr>
                      <w:t>יוטיוב -</w:t>
                    </w:r>
                    <w:r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D20EC9"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פייסבוק - בנק ישראל</w:t>
                          </w:r>
                          <w:r w:rsidRPr="00031A9D">
                            <w:rPr>
                              <w:rFonts w:asciiTheme="minorHAnsi" w:hAnsiTheme="minorHAnsi" w:cstheme="minorHAnsi"/>
                              <w:sz w:val="16"/>
                              <w:szCs w:val="16"/>
                              <w:rtl/>
                            </w:rPr>
                            <w:br/>
                          </w:r>
                          <w:hyperlink r:id="rId12"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9"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571971" w:rsidRPr="00031A9D" w:rsidP="00031A9D" w14:paraId="24E6190C" w14:textId="77777777">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Pr="00031A9D">
                      <w:rPr>
                        <w:rFonts w:asciiTheme="minorHAnsi" w:hAnsiTheme="minorHAnsi" w:cstheme="minorHAnsi"/>
                        <w:noProof/>
                        <w:sz w:val="16"/>
                        <w:szCs w:val="16"/>
                        <w:rtl/>
                      </w:rPr>
                      <w:t>בנק ישראל</w:t>
                    </w:r>
                    <w:r w:rsidRPr="00031A9D">
                      <w:rPr>
                        <w:rFonts w:asciiTheme="minorHAnsi" w:hAnsiTheme="minorHAnsi" w:cstheme="minorHAnsi"/>
                        <w:sz w:val="16"/>
                        <w:szCs w:val="16"/>
                        <w:rtl/>
                      </w:rPr>
                      <w:br/>
                    </w:r>
                    <w:hyperlink r:id="rId13"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D20EC9"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7"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571971" w:rsidRPr="00031A9D" w:rsidP="00F20046" w14:paraId="17CE1761"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1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0EC9">
      <w:pPr>
        <w:spacing w:after="0" w:line="240" w:lineRule="auto"/>
      </w:pPr>
      <w:r>
        <w:separator/>
      </w:r>
    </w:p>
  </w:footnote>
  <w:footnote w:type="continuationSeparator" w:id="0">
    <w:p w:rsidR="00000000" w:rsidRDefault="00D20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E60053DE">
      <w:numFmt w:val="bullet"/>
      <w:lvlText w:val=""/>
      <w:lvlJc w:val="left"/>
      <w:pPr>
        <w:ind w:left="720" w:hanging="360"/>
      </w:pPr>
      <w:rPr>
        <w:rFonts w:ascii="Symbol" w:eastAsia="David" w:hAnsi="Symbol" w:cstheme="minorHAnsi" w:hint="default"/>
      </w:rPr>
    </w:lvl>
    <w:lvl w:ilvl="1" w:tplc="CF1AD118" w:tentative="1">
      <w:start w:val="1"/>
      <w:numFmt w:val="bullet"/>
      <w:lvlText w:val="o"/>
      <w:lvlJc w:val="left"/>
      <w:pPr>
        <w:ind w:left="1440" w:hanging="360"/>
      </w:pPr>
      <w:rPr>
        <w:rFonts w:ascii="Courier New" w:hAnsi="Courier New" w:cs="Courier New" w:hint="default"/>
      </w:rPr>
    </w:lvl>
    <w:lvl w:ilvl="2" w:tplc="1D802022" w:tentative="1">
      <w:start w:val="1"/>
      <w:numFmt w:val="bullet"/>
      <w:lvlText w:val=""/>
      <w:lvlJc w:val="left"/>
      <w:pPr>
        <w:ind w:left="2160" w:hanging="360"/>
      </w:pPr>
      <w:rPr>
        <w:rFonts w:ascii="Wingdings" w:hAnsi="Wingdings" w:hint="default"/>
      </w:rPr>
    </w:lvl>
    <w:lvl w:ilvl="3" w:tplc="435A23E6" w:tentative="1">
      <w:start w:val="1"/>
      <w:numFmt w:val="bullet"/>
      <w:lvlText w:val=""/>
      <w:lvlJc w:val="left"/>
      <w:pPr>
        <w:ind w:left="2880" w:hanging="360"/>
      </w:pPr>
      <w:rPr>
        <w:rFonts w:ascii="Symbol" w:hAnsi="Symbol" w:hint="default"/>
      </w:rPr>
    </w:lvl>
    <w:lvl w:ilvl="4" w:tplc="BBB0E35E" w:tentative="1">
      <w:start w:val="1"/>
      <w:numFmt w:val="bullet"/>
      <w:lvlText w:val="o"/>
      <w:lvlJc w:val="left"/>
      <w:pPr>
        <w:ind w:left="3600" w:hanging="360"/>
      </w:pPr>
      <w:rPr>
        <w:rFonts w:ascii="Courier New" w:hAnsi="Courier New" w:cs="Courier New" w:hint="default"/>
      </w:rPr>
    </w:lvl>
    <w:lvl w:ilvl="5" w:tplc="1BB43E36" w:tentative="1">
      <w:start w:val="1"/>
      <w:numFmt w:val="bullet"/>
      <w:lvlText w:val=""/>
      <w:lvlJc w:val="left"/>
      <w:pPr>
        <w:ind w:left="4320" w:hanging="360"/>
      </w:pPr>
      <w:rPr>
        <w:rFonts w:ascii="Wingdings" w:hAnsi="Wingdings" w:hint="default"/>
      </w:rPr>
    </w:lvl>
    <w:lvl w:ilvl="6" w:tplc="F710AB4A" w:tentative="1">
      <w:start w:val="1"/>
      <w:numFmt w:val="bullet"/>
      <w:lvlText w:val=""/>
      <w:lvlJc w:val="left"/>
      <w:pPr>
        <w:ind w:left="5040" w:hanging="360"/>
      </w:pPr>
      <w:rPr>
        <w:rFonts w:ascii="Symbol" w:hAnsi="Symbol" w:hint="default"/>
      </w:rPr>
    </w:lvl>
    <w:lvl w:ilvl="7" w:tplc="DA36FD12" w:tentative="1">
      <w:start w:val="1"/>
      <w:numFmt w:val="bullet"/>
      <w:lvlText w:val="o"/>
      <w:lvlJc w:val="left"/>
      <w:pPr>
        <w:ind w:left="5760" w:hanging="360"/>
      </w:pPr>
      <w:rPr>
        <w:rFonts w:ascii="Courier New" w:hAnsi="Courier New" w:cs="Courier New" w:hint="default"/>
      </w:rPr>
    </w:lvl>
    <w:lvl w:ilvl="8" w:tplc="42CC033A"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DC4AC388">
      <w:start w:val="1"/>
      <w:numFmt w:val="bullet"/>
      <w:lvlText w:val=""/>
      <w:lvlJc w:val="left"/>
      <w:pPr>
        <w:ind w:left="1513" w:hanging="360"/>
      </w:pPr>
      <w:rPr>
        <w:rFonts w:ascii="Symbol" w:hAnsi="Symbol" w:hint="default"/>
      </w:rPr>
    </w:lvl>
    <w:lvl w:ilvl="1" w:tplc="D35AD9D2" w:tentative="1">
      <w:start w:val="1"/>
      <w:numFmt w:val="bullet"/>
      <w:lvlText w:val="o"/>
      <w:lvlJc w:val="left"/>
      <w:pPr>
        <w:ind w:left="2233" w:hanging="360"/>
      </w:pPr>
      <w:rPr>
        <w:rFonts w:ascii="Courier New" w:hAnsi="Courier New" w:cs="Courier New" w:hint="default"/>
      </w:rPr>
    </w:lvl>
    <w:lvl w:ilvl="2" w:tplc="FD009B24" w:tentative="1">
      <w:start w:val="1"/>
      <w:numFmt w:val="bullet"/>
      <w:lvlText w:val=""/>
      <w:lvlJc w:val="left"/>
      <w:pPr>
        <w:ind w:left="2953" w:hanging="360"/>
      </w:pPr>
      <w:rPr>
        <w:rFonts w:ascii="Wingdings" w:hAnsi="Wingdings" w:hint="default"/>
      </w:rPr>
    </w:lvl>
    <w:lvl w:ilvl="3" w:tplc="2228D986" w:tentative="1">
      <w:start w:val="1"/>
      <w:numFmt w:val="bullet"/>
      <w:lvlText w:val=""/>
      <w:lvlJc w:val="left"/>
      <w:pPr>
        <w:ind w:left="3673" w:hanging="360"/>
      </w:pPr>
      <w:rPr>
        <w:rFonts w:ascii="Symbol" w:hAnsi="Symbol" w:hint="default"/>
      </w:rPr>
    </w:lvl>
    <w:lvl w:ilvl="4" w:tplc="667C2656" w:tentative="1">
      <w:start w:val="1"/>
      <w:numFmt w:val="bullet"/>
      <w:lvlText w:val="o"/>
      <w:lvlJc w:val="left"/>
      <w:pPr>
        <w:ind w:left="4393" w:hanging="360"/>
      </w:pPr>
      <w:rPr>
        <w:rFonts w:ascii="Courier New" w:hAnsi="Courier New" w:cs="Courier New" w:hint="default"/>
      </w:rPr>
    </w:lvl>
    <w:lvl w:ilvl="5" w:tplc="3D321E4E" w:tentative="1">
      <w:start w:val="1"/>
      <w:numFmt w:val="bullet"/>
      <w:lvlText w:val=""/>
      <w:lvlJc w:val="left"/>
      <w:pPr>
        <w:ind w:left="5113" w:hanging="360"/>
      </w:pPr>
      <w:rPr>
        <w:rFonts w:ascii="Wingdings" w:hAnsi="Wingdings" w:hint="default"/>
      </w:rPr>
    </w:lvl>
    <w:lvl w:ilvl="6" w:tplc="0AC0A1B0" w:tentative="1">
      <w:start w:val="1"/>
      <w:numFmt w:val="bullet"/>
      <w:lvlText w:val=""/>
      <w:lvlJc w:val="left"/>
      <w:pPr>
        <w:ind w:left="5833" w:hanging="360"/>
      </w:pPr>
      <w:rPr>
        <w:rFonts w:ascii="Symbol" w:hAnsi="Symbol" w:hint="default"/>
      </w:rPr>
    </w:lvl>
    <w:lvl w:ilvl="7" w:tplc="7B96C31C" w:tentative="1">
      <w:start w:val="1"/>
      <w:numFmt w:val="bullet"/>
      <w:lvlText w:val="o"/>
      <w:lvlJc w:val="left"/>
      <w:pPr>
        <w:ind w:left="6553" w:hanging="360"/>
      </w:pPr>
      <w:rPr>
        <w:rFonts w:ascii="Courier New" w:hAnsi="Courier New" w:cs="Courier New" w:hint="default"/>
      </w:rPr>
    </w:lvl>
    <w:lvl w:ilvl="8" w:tplc="9D9E3A26" w:tentative="1">
      <w:start w:val="1"/>
      <w:numFmt w:val="bullet"/>
      <w:lvlText w:val=""/>
      <w:lvlJc w:val="left"/>
      <w:pPr>
        <w:ind w:left="7273" w:hanging="360"/>
      </w:pPr>
      <w:rPr>
        <w:rFonts w:ascii="Wingdings" w:hAnsi="Wingdings" w:hint="default"/>
      </w:rPr>
    </w:lvl>
  </w:abstractNum>
  <w:abstractNum w:abstractNumId="2" w15:restartNumberingAfterBreak="0">
    <w:nsid w:val="3F9B70B7"/>
    <w:multiLevelType w:val="multilevel"/>
    <w:tmpl w:val="D692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10C5A"/>
    <w:multiLevelType w:val="hybridMultilevel"/>
    <w:tmpl w:val="1F0214CA"/>
    <w:lvl w:ilvl="0" w:tplc="C5668A4A">
      <w:numFmt w:val="bullet"/>
      <w:lvlText w:val=""/>
      <w:lvlJc w:val="left"/>
      <w:pPr>
        <w:ind w:left="668" w:hanging="360"/>
      </w:pPr>
      <w:rPr>
        <w:rFonts w:ascii="Symbol" w:eastAsiaTheme="minorHAnsi" w:hAnsi="Symbol" w:cs="Assistant" w:hint="default"/>
      </w:rPr>
    </w:lvl>
    <w:lvl w:ilvl="1" w:tplc="A4CA85D4">
      <w:start w:val="1"/>
      <w:numFmt w:val="bullet"/>
      <w:lvlText w:val="o"/>
      <w:lvlJc w:val="left"/>
      <w:pPr>
        <w:ind w:left="1388" w:hanging="360"/>
      </w:pPr>
      <w:rPr>
        <w:rFonts w:ascii="Courier New" w:hAnsi="Courier New" w:cs="Courier New" w:hint="default"/>
      </w:rPr>
    </w:lvl>
    <w:lvl w:ilvl="2" w:tplc="87403A96" w:tentative="1">
      <w:start w:val="1"/>
      <w:numFmt w:val="bullet"/>
      <w:lvlText w:val=""/>
      <w:lvlJc w:val="left"/>
      <w:pPr>
        <w:ind w:left="2108" w:hanging="360"/>
      </w:pPr>
      <w:rPr>
        <w:rFonts w:ascii="Wingdings" w:hAnsi="Wingdings" w:hint="default"/>
      </w:rPr>
    </w:lvl>
    <w:lvl w:ilvl="3" w:tplc="0360DF2E" w:tentative="1">
      <w:start w:val="1"/>
      <w:numFmt w:val="bullet"/>
      <w:lvlText w:val=""/>
      <w:lvlJc w:val="left"/>
      <w:pPr>
        <w:ind w:left="2828" w:hanging="360"/>
      </w:pPr>
      <w:rPr>
        <w:rFonts w:ascii="Symbol" w:hAnsi="Symbol" w:hint="default"/>
      </w:rPr>
    </w:lvl>
    <w:lvl w:ilvl="4" w:tplc="AB902980" w:tentative="1">
      <w:start w:val="1"/>
      <w:numFmt w:val="bullet"/>
      <w:lvlText w:val="o"/>
      <w:lvlJc w:val="left"/>
      <w:pPr>
        <w:ind w:left="3548" w:hanging="360"/>
      </w:pPr>
      <w:rPr>
        <w:rFonts w:ascii="Courier New" w:hAnsi="Courier New" w:cs="Courier New" w:hint="default"/>
      </w:rPr>
    </w:lvl>
    <w:lvl w:ilvl="5" w:tplc="8720641E" w:tentative="1">
      <w:start w:val="1"/>
      <w:numFmt w:val="bullet"/>
      <w:lvlText w:val=""/>
      <w:lvlJc w:val="left"/>
      <w:pPr>
        <w:ind w:left="4268" w:hanging="360"/>
      </w:pPr>
      <w:rPr>
        <w:rFonts w:ascii="Wingdings" w:hAnsi="Wingdings" w:hint="default"/>
      </w:rPr>
    </w:lvl>
    <w:lvl w:ilvl="6" w:tplc="6D66814E" w:tentative="1">
      <w:start w:val="1"/>
      <w:numFmt w:val="bullet"/>
      <w:lvlText w:val=""/>
      <w:lvlJc w:val="left"/>
      <w:pPr>
        <w:ind w:left="4988" w:hanging="360"/>
      </w:pPr>
      <w:rPr>
        <w:rFonts w:ascii="Symbol" w:hAnsi="Symbol" w:hint="default"/>
      </w:rPr>
    </w:lvl>
    <w:lvl w:ilvl="7" w:tplc="1856E6FA" w:tentative="1">
      <w:start w:val="1"/>
      <w:numFmt w:val="bullet"/>
      <w:lvlText w:val="o"/>
      <w:lvlJc w:val="left"/>
      <w:pPr>
        <w:ind w:left="5708" w:hanging="360"/>
      </w:pPr>
      <w:rPr>
        <w:rFonts w:ascii="Courier New" w:hAnsi="Courier New" w:cs="Courier New" w:hint="default"/>
      </w:rPr>
    </w:lvl>
    <w:lvl w:ilvl="8" w:tplc="9014CBA6" w:tentative="1">
      <w:start w:val="1"/>
      <w:numFmt w:val="bullet"/>
      <w:lvlText w:val=""/>
      <w:lvlJc w:val="left"/>
      <w:pPr>
        <w:ind w:left="6428" w:hanging="360"/>
      </w:pPr>
      <w:rPr>
        <w:rFonts w:ascii="Wingdings" w:hAnsi="Wingdings" w:hint="default"/>
      </w:rPr>
    </w:lvl>
  </w:abstractNum>
  <w:abstractNum w:abstractNumId="4" w15:restartNumberingAfterBreak="0">
    <w:nsid w:val="54CA007E"/>
    <w:multiLevelType w:val="multilevel"/>
    <w:tmpl w:val="3D44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F64B2"/>
    <w:multiLevelType w:val="hybridMultilevel"/>
    <w:tmpl w:val="A3EC1298"/>
    <w:lvl w:ilvl="0" w:tplc="A746BB72">
      <w:start w:val="1"/>
      <w:numFmt w:val="bullet"/>
      <w:lvlText w:val=""/>
      <w:lvlJc w:val="left"/>
      <w:pPr>
        <w:ind w:left="720" w:hanging="360"/>
      </w:pPr>
      <w:rPr>
        <w:rFonts w:ascii="Symbol" w:hAnsi="Symbol" w:hint="default"/>
      </w:rPr>
    </w:lvl>
    <w:lvl w:ilvl="1" w:tplc="9F38C3DE" w:tentative="1">
      <w:start w:val="1"/>
      <w:numFmt w:val="bullet"/>
      <w:lvlText w:val="o"/>
      <w:lvlJc w:val="left"/>
      <w:pPr>
        <w:ind w:left="1440" w:hanging="360"/>
      </w:pPr>
      <w:rPr>
        <w:rFonts w:ascii="Courier New" w:hAnsi="Courier New" w:cs="Courier New" w:hint="default"/>
      </w:rPr>
    </w:lvl>
    <w:lvl w:ilvl="2" w:tplc="A6742BF6" w:tentative="1">
      <w:start w:val="1"/>
      <w:numFmt w:val="bullet"/>
      <w:lvlText w:val=""/>
      <w:lvlJc w:val="left"/>
      <w:pPr>
        <w:ind w:left="2160" w:hanging="360"/>
      </w:pPr>
      <w:rPr>
        <w:rFonts w:ascii="Wingdings" w:hAnsi="Wingdings" w:hint="default"/>
      </w:rPr>
    </w:lvl>
    <w:lvl w:ilvl="3" w:tplc="D3526774" w:tentative="1">
      <w:start w:val="1"/>
      <w:numFmt w:val="bullet"/>
      <w:lvlText w:val=""/>
      <w:lvlJc w:val="left"/>
      <w:pPr>
        <w:ind w:left="2880" w:hanging="360"/>
      </w:pPr>
      <w:rPr>
        <w:rFonts w:ascii="Symbol" w:hAnsi="Symbol" w:hint="default"/>
      </w:rPr>
    </w:lvl>
    <w:lvl w:ilvl="4" w:tplc="3AE0EB94" w:tentative="1">
      <w:start w:val="1"/>
      <w:numFmt w:val="bullet"/>
      <w:lvlText w:val="o"/>
      <w:lvlJc w:val="left"/>
      <w:pPr>
        <w:ind w:left="3600" w:hanging="360"/>
      </w:pPr>
      <w:rPr>
        <w:rFonts w:ascii="Courier New" w:hAnsi="Courier New" w:cs="Courier New" w:hint="default"/>
      </w:rPr>
    </w:lvl>
    <w:lvl w:ilvl="5" w:tplc="3750837C" w:tentative="1">
      <w:start w:val="1"/>
      <w:numFmt w:val="bullet"/>
      <w:lvlText w:val=""/>
      <w:lvlJc w:val="left"/>
      <w:pPr>
        <w:ind w:left="4320" w:hanging="360"/>
      </w:pPr>
      <w:rPr>
        <w:rFonts w:ascii="Wingdings" w:hAnsi="Wingdings" w:hint="default"/>
      </w:rPr>
    </w:lvl>
    <w:lvl w:ilvl="6" w:tplc="90D0FBF0" w:tentative="1">
      <w:start w:val="1"/>
      <w:numFmt w:val="bullet"/>
      <w:lvlText w:val=""/>
      <w:lvlJc w:val="left"/>
      <w:pPr>
        <w:ind w:left="5040" w:hanging="360"/>
      </w:pPr>
      <w:rPr>
        <w:rFonts w:ascii="Symbol" w:hAnsi="Symbol" w:hint="default"/>
      </w:rPr>
    </w:lvl>
    <w:lvl w:ilvl="7" w:tplc="B81CA0EA" w:tentative="1">
      <w:start w:val="1"/>
      <w:numFmt w:val="bullet"/>
      <w:lvlText w:val="o"/>
      <w:lvlJc w:val="left"/>
      <w:pPr>
        <w:ind w:left="5760" w:hanging="360"/>
      </w:pPr>
      <w:rPr>
        <w:rFonts w:ascii="Courier New" w:hAnsi="Courier New" w:cs="Courier New" w:hint="default"/>
      </w:rPr>
    </w:lvl>
    <w:lvl w:ilvl="8" w:tplc="C276D1B6" w:tentative="1">
      <w:start w:val="1"/>
      <w:numFmt w:val="bullet"/>
      <w:lvlText w:val=""/>
      <w:lvlJc w:val="left"/>
      <w:pPr>
        <w:ind w:left="6480" w:hanging="360"/>
      </w:pPr>
      <w:rPr>
        <w:rFonts w:ascii="Wingdings" w:hAnsi="Wingdings" w:hint="default"/>
      </w:rPr>
    </w:lvl>
  </w:abstractNum>
  <w:abstractNum w:abstractNumId="6" w15:restartNumberingAfterBreak="0">
    <w:nsid w:val="69372F89"/>
    <w:multiLevelType w:val="hybridMultilevel"/>
    <w:tmpl w:val="0F348B1A"/>
    <w:lvl w:ilvl="0" w:tplc="64FEFBD0">
      <w:start w:val="1"/>
      <w:numFmt w:val="decimal"/>
      <w:lvlText w:val="%1."/>
      <w:lvlJc w:val="left"/>
      <w:pPr>
        <w:ind w:left="360" w:hanging="360"/>
      </w:pPr>
      <w:rPr>
        <w:rFonts w:hint="default"/>
      </w:rPr>
    </w:lvl>
    <w:lvl w:ilvl="1" w:tplc="F1782414" w:tentative="1">
      <w:start w:val="1"/>
      <w:numFmt w:val="lowerLetter"/>
      <w:lvlText w:val="%2."/>
      <w:lvlJc w:val="left"/>
      <w:pPr>
        <w:ind w:left="1080" w:hanging="360"/>
      </w:pPr>
    </w:lvl>
    <w:lvl w:ilvl="2" w:tplc="7B365CA8" w:tentative="1">
      <w:start w:val="1"/>
      <w:numFmt w:val="lowerRoman"/>
      <w:lvlText w:val="%3."/>
      <w:lvlJc w:val="right"/>
      <w:pPr>
        <w:ind w:left="1800" w:hanging="180"/>
      </w:pPr>
    </w:lvl>
    <w:lvl w:ilvl="3" w:tplc="23DE607C" w:tentative="1">
      <w:start w:val="1"/>
      <w:numFmt w:val="decimal"/>
      <w:lvlText w:val="%4."/>
      <w:lvlJc w:val="left"/>
      <w:pPr>
        <w:ind w:left="2520" w:hanging="360"/>
      </w:pPr>
    </w:lvl>
    <w:lvl w:ilvl="4" w:tplc="DE422E18" w:tentative="1">
      <w:start w:val="1"/>
      <w:numFmt w:val="lowerLetter"/>
      <w:lvlText w:val="%5."/>
      <w:lvlJc w:val="left"/>
      <w:pPr>
        <w:ind w:left="3240" w:hanging="360"/>
      </w:pPr>
    </w:lvl>
    <w:lvl w:ilvl="5" w:tplc="B8B81C10" w:tentative="1">
      <w:start w:val="1"/>
      <w:numFmt w:val="lowerRoman"/>
      <w:lvlText w:val="%6."/>
      <w:lvlJc w:val="right"/>
      <w:pPr>
        <w:ind w:left="3960" w:hanging="180"/>
      </w:pPr>
    </w:lvl>
    <w:lvl w:ilvl="6" w:tplc="F296260A" w:tentative="1">
      <w:start w:val="1"/>
      <w:numFmt w:val="decimal"/>
      <w:lvlText w:val="%7."/>
      <w:lvlJc w:val="left"/>
      <w:pPr>
        <w:ind w:left="4680" w:hanging="360"/>
      </w:pPr>
    </w:lvl>
    <w:lvl w:ilvl="7" w:tplc="9DC666AA" w:tentative="1">
      <w:start w:val="1"/>
      <w:numFmt w:val="lowerLetter"/>
      <w:lvlText w:val="%8."/>
      <w:lvlJc w:val="left"/>
      <w:pPr>
        <w:ind w:left="5400" w:hanging="360"/>
      </w:pPr>
    </w:lvl>
    <w:lvl w:ilvl="8" w:tplc="116CB752"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178F6"/>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874D2"/>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5741A"/>
    <w:rsid w:val="0036030B"/>
    <w:rsid w:val="003641E2"/>
    <w:rsid w:val="00370E6F"/>
    <w:rsid w:val="0037101B"/>
    <w:rsid w:val="00372FF1"/>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512"/>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B79D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20EC9"/>
    <w:rsid w:val="00D32C5B"/>
    <w:rsid w:val="00D45541"/>
    <w:rsid w:val="00D53BFE"/>
    <w:rsid w:val="00D62212"/>
    <w:rsid w:val="00D67DD0"/>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966B4"/>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CFDD"/>
  <w15:chartTrackingRefBased/>
  <w15:docId w15:val="{5928D704-D645-4878-825A-B747D38D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openxmlformats.org/officeDocument/2006/relationships/hyperlink" Target="https://www.youtube.com/user/thebankofisrael" TargetMode="External"/><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image" Target="media/image4.png"/><Relationship Id="rId15" Type="http://schemas.openxmlformats.org/officeDocument/2006/relationships/hyperlink" Target="https://www.boi.org.il/" TargetMode="External"/><Relationship Id="rId4" Type="http://schemas.openxmlformats.org/officeDocument/2006/relationships/image" Target="media/image3.png"/><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2560</Characters>
  <Application>Microsoft Office Word</Application>
  <DocSecurity>4</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 samara</dc:creator>
  <cp:lastModifiedBy>רוסול דכוור</cp:lastModifiedBy>
  <cp:revision>2</cp:revision>
  <dcterms:created xsi:type="dcterms:W3CDTF">2025-08-25T09:57:00Z</dcterms:created>
  <dcterms:modified xsi:type="dcterms:W3CDTF">2025-08-25T09:57:00Z</dcterms:modified>
</cp:coreProperties>
</file>