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BB1" w:rsidRPr="00093145" w:rsidRDefault="00200BB1" w:rsidP="00200BB1">
      <w:pPr>
        <w:spacing w:line="360" w:lineRule="auto"/>
        <w:rPr>
          <w:rFonts w:asciiTheme="minorBidi" w:hAnsiTheme="minorBidi"/>
          <w:b/>
          <w:bCs/>
          <w:sz w:val="28"/>
          <w:szCs w:val="28"/>
          <w:rtl/>
        </w:rPr>
      </w:pPr>
    </w:p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E1608A" w:rsidTr="00FD5581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BB1" w:rsidRPr="00093145" w:rsidRDefault="00D7409E" w:rsidP="00200BB1">
            <w:pPr>
              <w:spacing w:after="0" w:line="276" w:lineRule="auto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</w:pPr>
            <w:r w:rsidRPr="00093145">
              <w:rPr>
                <w:rFonts w:asciiTheme="minorBidi" w:eastAsia="Calibri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200BB1" w:rsidRPr="00093145" w:rsidRDefault="00D7409E" w:rsidP="00200BB1">
            <w:pPr>
              <w:spacing w:after="0" w:line="276" w:lineRule="auto"/>
              <w:jc w:val="center"/>
              <w:rPr>
                <w:rFonts w:asciiTheme="minorBidi" w:eastAsia="Calibri" w:hAnsiTheme="minorBidi"/>
                <w:b/>
                <w:bCs/>
                <w:sz w:val="24"/>
                <w:szCs w:val="24"/>
              </w:rPr>
            </w:pP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00BB1" w:rsidRPr="00093145" w:rsidRDefault="00D7409E" w:rsidP="00200BB1">
            <w:pPr>
              <w:spacing w:after="0" w:line="360" w:lineRule="auto"/>
              <w:jc w:val="center"/>
              <w:rPr>
                <w:rFonts w:asciiTheme="minorBidi" w:eastAsia="Calibri" w:hAnsiTheme="minorBidi"/>
                <w:sz w:val="24"/>
                <w:szCs w:val="24"/>
              </w:rPr>
            </w:pPr>
            <w:r w:rsidRPr="00093145">
              <w:rPr>
                <w:rFonts w:asciiTheme="minorBidi" w:eastAsia="Calibri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0" t="0" r="0" b="0"/>
                  <wp:docPr id="1" name="תמונה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0BB1" w:rsidRPr="00093145" w:rsidRDefault="00D7409E" w:rsidP="00200BB1">
            <w:pPr>
              <w:spacing w:after="0" w:line="276" w:lineRule="auto"/>
              <w:jc w:val="center"/>
              <w:rPr>
                <w:rFonts w:asciiTheme="minorBidi" w:eastAsia="Calibri" w:hAnsiTheme="minorBidi"/>
                <w:sz w:val="24"/>
                <w:szCs w:val="24"/>
                <w:rtl/>
              </w:rPr>
            </w:pPr>
            <w:r w:rsidRPr="00093145">
              <w:rPr>
                <w:rFonts w:asciiTheme="minorBidi" w:eastAsia="Calibri" w:hAnsiTheme="minorBidi"/>
                <w:sz w:val="24"/>
                <w:szCs w:val="24"/>
                <w:highlight w:val="green"/>
                <w:rtl/>
              </w:rPr>
              <w:t>‏</w: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t xml:space="preserve">ירושלים, </w: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begin"/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</w:rPr>
              <w:instrText>DATE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\@ "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</w:rPr>
              <w:instrText>d MMMM, yyyy" \h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  <w:t>‏ט"ז סיון, תשפ"ו</w: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end"/>
            </w:r>
          </w:p>
          <w:p w:rsidR="00200BB1" w:rsidRPr="00093145" w:rsidRDefault="00D7409E" w:rsidP="00200BB1">
            <w:pPr>
              <w:spacing w:after="0" w:line="276" w:lineRule="auto"/>
              <w:jc w:val="center"/>
              <w:rPr>
                <w:rFonts w:asciiTheme="minorBidi" w:eastAsia="Calibri" w:hAnsiTheme="minorBidi"/>
                <w:sz w:val="24"/>
                <w:szCs w:val="24"/>
                <w:highlight w:val="green"/>
              </w:rPr>
            </w:pP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begin"/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</w:rPr>
              <w:instrText>DATE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 \@ "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</w:rPr>
              <w:instrText>d MMMM, yyyy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instrText xml:space="preserve">" </w:instrTex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Calibri" w:hAnsiTheme="minorBidi"/>
                <w:noProof/>
                <w:sz w:val="24"/>
                <w:szCs w:val="24"/>
                <w:rtl/>
              </w:rPr>
              <w:t>‏1 יוני, 2026</w:t>
            </w:r>
            <w:r w:rsidRPr="00093145">
              <w:rPr>
                <w:rFonts w:asciiTheme="minorBidi" w:eastAsia="Calibri" w:hAnsi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200BB1" w:rsidRPr="00093145" w:rsidRDefault="00D7409E" w:rsidP="00200BB1">
      <w:pPr>
        <w:shd w:val="clear" w:color="auto" w:fill="FFFFFF"/>
        <w:spacing w:before="100" w:beforeAutospacing="1" w:after="100" w:afterAutospacing="1" w:line="360" w:lineRule="auto"/>
        <w:jc w:val="both"/>
        <w:outlineLvl w:val="0"/>
        <w:rPr>
          <w:rFonts w:asciiTheme="minorBidi" w:eastAsia="Times New Roman" w:hAnsiTheme="minorBidi"/>
          <w:sz w:val="24"/>
          <w:szCs w:val="24"/>
          <w:rtl/>
        </w:rPr>
      </w:pPr>
      <w:r>
        <w:rPr>
          <w:rFonts w:asciiTheme="minorBidi" w:eastAsia="Times New Roman" w:hAnsiTheme="minorBidi" w:hint="cs"/>
          <w:sz w:val="24"/>
          <w:szCs w:val="24"/>
          <w:rtl/>
          <w:lang w:bidi="ar-SA"/>
        </w:rPr>
        <w:t>بيان صحفي:</w:t>
      </w:r>
    </w:p>
    <w:p w:rsidR="00093145" w:rsidRPr="00093145" w:rsidRDefault="00D7409E" w:rsidP="00007659">
      <w:pPr>
        <w:pStyle w:val="ListParagraph"/>
        <w:spacing w:line="360" w:lineRule="auto"/>
        <w:ind w:left="360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>م</w:t>
      </w:r>
      <w:r w:rsidR="00007659">
        <w:rPr>
          <w:rFonts w:asciiTheme="minorBidi" w:hAnsiTheme="minorBidi" w:hint="cs"/>
          <w:b/>
          <w:bCs/>
          <w:sz w:val="28"/>
          <w:szCs w:val="28"/>
          <w:rtl/>
          <w:lang w:val="en-GB" w:bidi="ar-SA"/>
        </w:rPr>
        <w:t>ُ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قتطف من </w:t>
      </w: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تقرير 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مراجعة </w:t>
      </w: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النظام المصرفي في إسرائيل ل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عام 2025 </w:t>
      </w: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الذي سينشر قريباً</w:t>
      </w:r>
      <w:r w:rsidRPr="00592C79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: </w:t>
      </w:r>
      <w:r w:rsidRPr="000931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اتجاهات </w:t>
      </w: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في </w:t>
      </w:r>
      <w:r w:rsidR="00007659"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تقديم</w:t>
      </w:r>
      <w:r w:rsidRPr="000931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>ال</w:t>
      </w:r>
      <w:r w:rsidRPr="00093145">
        <w:rPr>
          <w:rFonts w:asciiTheme="minorBidi" w:hAnsiTheme="minorBidi"/>
          <w:b/>
          <w:bCs/>
          <w:sz w:val="28"/>
          <w:szCs w:val="28"/>
          <w:rtl/>
          <w:lang w:bidi="ar-SA"/>
        </w:rPr>
        <w:t xml:space="preserve">قروض </w:t>
      </w:r>
      <w:r>
        <w:rPr>
          <w:rFonts w:asciiTheme="minorBidi" w:hAnsiTheme="minorBidi" w:hint="cs"/>
          <w:b/>
          <w:bCs/>
          <w:sz w:val="28"/>
          <w:szCs w:val="28"/>
          <w:rtl/>
          <w:lang w:bidi="ar-SA"/>
        </w:rPr>
        <w:t xml:space="preserve">لأغراض </w:t>
      </w:r>
      <w:r w:rsidRPr="00093145">
        <w:rPr>
          <w:rFonts w:asciiTheme="minorBidi" w:hAnsiTheme="minorBidi"/>
          <w:b/>
          <w:bCs/>
          <w:sz w:val="28"/>
          <w:szCs w:val="28"/>
          <w:rtl/>
          <w:lang w:bidi="ar-SA"/>
        </w:rPr>
        <w:t>الإسكان</w:t>
      </w:r>
    </w:p>
    <w:p w:rsidR="00093145" w:rsidRPr="00093145" w:rsidRDefault="00D7409E" w:rsidP="005A4B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bookmarkStart w:id="0" w:name="_GoBack"/>
      <w:r w:rsidRPr="00093145">
        <w:rPr>
          <w:rFonts w:asciiTheme="minorBidi" w:hAnsiTheme="minorBidi"/>
          <w:rtl/>
          <w:lang w:bidi="ar-SA"/>
        </w:rPr>
        <w:t xml:space="preserve">في هذا </w:t>
      </w:r>
      <w:r w:rsidR="005A4B2A">
        <w:rPr>
          <w:rFonts w:asciiTheme="minorBidi" w:hAnsiTheme="minorBidi" w:hint="cs"/>
          <w:rtl/>
          <w:lang w:bidi="ar-SA"/>
        </w:rPr>
        <w:t>المقتطف</w:t>
      </w:r>
      <w:r w:rsidRPr="00093145">
        <w:rPr>
          <w:rFonts w:asciiTheme="minorBidi" w:hAnsiTheme="minorBidi"/>
          <w:rtl/>
          <w:lang w:bidi="ar-SA"/>
        </w:rPr>
        <w:t xml:space="preserve"> سنتناول اتجاهات سوق الائتمان </w:t>
      </w:r>
      <w:r w:rsidR="005A4B2A">
        <w:rPr>
          <w:rFonts w:asciiTheme="minorBidi" w:hAnsiTheme="minorBidi" w:hint="cs"/>
          <w:rtl/>
          <w:lang w:bidi="ar-SA"/>
        </w:rPr>
        <w:t>لأغراض السكن</w:t>
      </w:r>
      <w:r w:rsidRPr="00093145">
        <w:rPr>
          <w:rFonts w:asciiTheme="minorBidi" w:hAnsiTheme="minorBidi"/>
          <w:rtl/>
          <w:lang w:bidi="ar-SA"/>
        </w:rPr>
        <w:t xml:space="preserve"> </w:t>
      </w:r>
      <w:r w:rsidR="005A4B2A">
        <w:rPr>
          <w:rFonts w:asciiTheme="minorBidi" w:hAnsiTheme="minorBidi" w:hint="cs"/>
          <w:rtl/>
          <w:lang w:bidi="ar-SA"/>
        </w:rPr>
        <w:t>و</w:t>
      </w:r>
      <w:r w:rsidRPr="00093145">
        <w:rPr>
          <w:rFonts w:asciiTheme="minorBidi" w:hAnsiTheme="minorBidi"/>
          <w:rtl/>
          <w:lang w:bidi="ar-SA"/>
        </w:rPr>
        <w:t xml:space="preserve">التي تُفسر جزئياً التباين في الاتجاهات بين الائتمان </w:t>
      </w:r>
      <w:r w:rsidR="005A4B2A">
        <w:rPr>
          <w:rFonts w:asciiTheme="minorBidi" w:hAnsiTheme="minorBidi" w:hint="cs"/>
          <w:rtl/>
          <w:lang w:bidi="ar-SA"/>
        </w:rPr>
        <w:t>لأغراض السكن</w:t>
      </w:r>
      <w:r w:rsidRPr="00093145">
        <w:rPr>
          <w:rFonts w:asciiTheme="minorBidi" w:hAnsiTheme="minorBidi"/>
          <w:rtl/>
          <w:lang w:bidi="ar-SA"/>
        </w:rPr>
        <w:t xml:space="preserve"> و</w:t>
      </w:r>
      <w:r w:rsidR="005A4B2A">
        <w:rPr>
          <w:rFonts w:asciiTheme="minorBidi" w:hAnsiTheme="minorBidi" w:hint="cs"/>
          <w:rtl/>
          <w:lang w:bidi="ar-SA"/>
        </w:rPr>
        <w:t xml:space="preserve">بين </w:t>
      </w:r>
      <w:r w:rsidRPr="00093145">
        <w:rPr>
          <w:rFonts w:asciiTheme="minorBidi" w:hAnsiTheme="minorBidi"/>
          <w:rtl/>
          <w:lang w:bidi="ar-SA"/>
        </w:rPr>
        <w:t>سوق الإسكان.</w:t>
      </w:r>
    </w:p>
    <w:p w:rsidR="00093145" w:rsidRPr="00093145" w:rsidRDefault="00D7409E" w:rsidP="000076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r w:rsidRPr="00093145">
        <w:rPr>
          <w:rFonts w:asciiTheme="minorBidi" w:hAnsiTheme="minorBidi"/>
          <w:rtl/>
          <w:lang w:bidi="ar-SA"/>
        </w:rPr>
        <w:t xml:space="preserve">في عام </w:t>
      </w:r>
      <w:r w:rsidR="005A4B2A">
        <w:rPr>
          <w:rFonts w:asciiTheme="minorBidi" w:hAnsiTheme="minorBidi" w:hint="cs"/>
          <w:rtl/>
          <w:lang w:bidi="ar-SA"/>
        </w:rPr>
        <w:t>2025،</w:t>
      </w:r>
      <w:r w:rsidRPr="00093145">
        <w:rPr>
          <w:rFonts w:asciiTheme="minorBidi" w:hAnsiTheme="minorBidi"/>
          <w:rtl/>
          <w:lang w:bidi="ar-SA"/>
        </w:rPr>
        <w:t xml:space="preserve"> استمر النمو المرتفع في الائتمان </w:t>
      </w:r>
      <w:r w:rsidR="005A4B2A">
        <w:rPr>
          <w:rFonts w:asciiTheme="minorBidi" w:hAnsiTheme="minorBidi" w:hint="cs"/>
          <w:rtl/>
          <w:lang w:bidi="ar-SA"/>
        </w:rPr>
        <w:t>لأغراض السكن</w:t>
      </w:r>
      <w:r w:rsidRPr="00093145">
        <w:rPr>
          <w:rFonts w:asciiTheme="minorBidi" w:hAnsiTheme="minorBidi"/>
          <w:rtl/>
          <w:lang w:bidi="ar-SA"/>
        </w:rPr>
        <w:t xml:space="preserve"> (</w:t>
      </w:r>
      <w:r w:rsidR="005A4B2A">
        <w:rPr>
          <w:rFonts w:asciiTheme="minorBidi" w:hAnsiTheme="minorBidi" w:hint="cs"/>
          <w:rtl/>
          <w:lang w:bidi="ar-SA"/>
        </w:rPr>
        <w:t>7.4%</w:t>
      </w:r>
      <w:r w:rsidRPr="00093145">
        <w:rPr>
          <w:rFonts w:asciiTheme="minorBidi" w:hAnsiTheme="minorBidi"/>
          <w:rtl/>
          <w:lang w:bidi="ar-SA"/>
        </w:rPr>
        <w:t>) على الرغم من انخفاض حجم المعاملات في سوق ا</w:t>
      </w:r>
      <w:r w:rsidRPr="00093145">
        <w:rPr>
          <w:rFonts w:asciiTheme="minorBidi" w:hAnsiTheme="minorBidi"/>
          <w:rtl/>
          <w:lang w:bidi="ar-SA"/>
        </w:rPr>
        <w:t xml:space="preserve">لإسكان (خاصةً في </w:t>
      </w:r>
      <w:r w:rsidR="005A4B2A">
        <w:rPr>
          <w:rFonts w:asciiTheme="minorBidi" w:hAnsiTheme="minorBidi" w:hint="cs"/>
          <w:rtl/>
          <w:lang w:bidi="ar-SA"/>
        </w:rPr>
        <w:t>ال</w:t>
      </w:r>
      <w:r w:rsidRPr="00093145">
        <w:rPr>
          <w:rFonts w:asciiTheme="minorBidi" w:hAnsiTheme="minorBidi"/>
          <w:rtl/>
          <w:lang w:bidi="ar-SA"/>
        </w:rPr>
        <w:t>معاملات</w:t>
      </w:r>
      <w:r w:rsidR="005A4B2A">
        <w:rPr>
          <w:rFonts w:asciiTheme="minorBidi" w:hAnsiTheme="minorBidi" w:hint="cs"/>
          <w:rtl/>
          <w:lang w:bidi="ar-SA"/>
        </w:rPr>
        <w:t xml:space="preserve"> مع</w:t>
      </w:r>
      <w:r w:rsidRPr="00093145">
        <w:rPr>
          <w:rFonts w:asciiTheme="minorBidi" w:hAnsiTheme="minorBidi"/>
          <w:rtl/>
          <w:lang w:bidi="ar-SA"/>
        </w:rPr>
        <w:t xml:space="preserve"> المقاولين).</w:t>
      </w:r>
    </w:p>
    <w:p w:rsidR="00093145" w:rsidRPr="00093145" w:rsidRDefault="00D7409E" w:rsidP="000076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r w:rsidRPr="00093145">
        <w:rPr>
          <w:rFonts w:asciiTheme="minorBidi" w:hAnsiTheme="minorBidi"/>
          <w:rtl/>
          <w:lang w:bidi="ar-SA"/>
        </w:rPr>
        <w:t xml:space="preserve">من الطبيعي وجود </w:t>
      </w:r>
      <w:r w:rsidR="00007659">
        <w:rPr>
          <w:rFonts w:asciiTheme="minorBidi" w:hAnsiTheme="minorBidi" w:hint="cs"/>
          <w:rtl/>
          <w:lang w:bidi="ar-SA"/>
        </w:rPr>
        <w:t>فاصل زمني</w:t>
      </w:r>
      <w:r w:rsidRPr="00093145">
        <w:rPr>
          <w:rFonts w:asciiTheme="minorBidi" w:hAnsiTheme="minorBidi"/>
          <w:rtl/>
          <w:lang w:bidi="ar-SA"/>
        </w:rPr>
        <w:t xml:space="preserve"> بين تاريخ توقيع عقد شراء الشقة وتاريخ الحصول على </w:t>
      </w:r>
      <w:r w:rsidR="005A4B2A">
        <w:rPr>
          <w:rFonts w:asciiTheme="minorBidi" w:hAnsiTheme="minorBidi" w:hint="cs"/>
          <w:rtl/>
          <w:lang w:bidi="ar-SA"/>
        </w:rPr>
        <w:t>ال</w:t>
      </w:r>
      <w:r w:rsidRPr="00093145">
        <w:rPr>
          <w:rFonts w:asciiTheme="minorBidi" w:hAnsiTheme="minorBidi"/>
          <w:rtl/>
          <w:lang w:bidi="ar-SA"/>
        </w:rPr>
        <w:t>قرض</w:t>
      </w:r>
      <w:r w:rsidR="005A4B2A">
        <w:rPr>
          <w:rFonts w:asciiTheme="minorBidi" w:hAnsiTheme="minorBidi" w:hint="cs"/>
          <w:rtl/>
          <w:lang w:bidi="ar-SA"/>
        </w:rPr>
        <w:t xml:space="preserve"> لغرض</w:t>
      </w:r>
      <w:r w:rsidRPr="00093145">
        <w:rPr>
          <w:rFonts w:asciiTheme="minorBidi" w:hAnsiTheme="minorBidi"/>
          <w:rtl/>
          <w:lang w:bidi="ar-SA"/>
        </w:rPr>
        <w:t xml:space="preserve"> السكن، إن وُجد (فيما يلي "الفاصل الزمني"). ساهمت مزايا التمويل المُقدمة للمطورين العقاريين في السنوات الأخيرة في اتساع هذا الفاص</w:t>
      </w:r>
      <w:r w:rsidRPr="00093145">
        <w:rPr>
          <w:rFonts w:asciiTheme="minorBidi" w:hAnsiTheme="minorBidi"/>
          <w:rtl/>
          <w:lang w:bidi="ar-SA"/>
        </w:rPr>
        <w:t>ل الزمني، مما أدى إلى زيادة المبيعات في عام 2024 وتمديد فتر</w:t>
      </w:r>
      <w:r w:rsidR="005A4B2A">
        <w:rPr>
          <w:rFonts w:asciiTheme="minorBidi" w:hAnsiTheme="minorBidi" w:hint="cs"/>
          <w:rtl/>
          <w:lang w:bidi="ar-SA"/>
        </w:rPr>
        <w:t>ات</w:t>
      </w:r>
      <w:r w:rsidRPr="00093145">
        <w:rPr>
          <w:rFonts w:asciiTheme="minorBidi" w:hAnsiTheme="minorBidi"/>
          <w:rtl/>
          <w:lang w:bidi="ar-SA"/>
        </w:rPr>
        <w:t xml:space="preserve"> البناء.</w:t>
      </w:r>
    </w:p>
    <w:p w:rsidR="00093145" w:rsidRPr="00093145" w:rsidRDefault="00D7409E" w:rsidP="005A4B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r w:rsidRPr="00093145">
        <w:rPr>
          <w:rFonts w:asciiTheme="minorBidi" w:hAnsiTheme="minorBidi"/>
          <w:rtl/>
          <w:lang w:bidi="ar-SA"/>
        </w:rPr>
        <w:t xml:space="preserve">يختلف الفاصل الزمني باختلاف نوع المشتري (مشتري </w:t>
      </w:r>
      <w:r w:rsidR="005A4B2A">
        <w:rPr>
          <w:rFonts w:asciiTheme="minorBidi" w:hAnsiTheme="minorBidi" w:hint="cs"/>
          <w:rtl/>
          <w:lang w:bidi="ar-SA"/>
        </w:rPr>
        <w:t>شقة</w:t>
      </w:r>
      <w:r w:rsidRPr="00093145">
        <w:rPr>
          <w:rFonts w:asciiTheme="minorBidi" w:hAnsiTheme="minorBidi"/>
          <w:rtl/>
          <w:lang w:bidi="ar-SA"/>
        </w:rPr>
        <w:t xml:space="preserve"> لأول مرة، ومشتري </w:t>
      </w:r>
      <w:r w:rsidR="005A4B2A">
        <w:rPr>
          <w:rFonts w:asciiTheme="minorBidi" w:hAnsiTheme="minorBidi" w:hint="cs"/>
          <w:rtl/>
          <w:lang w:bidi="ar-SA"/>
        </w:rPr>
        <w:t>الشقق</w:t>
      </w:r>
      <w:r w:rsidRPr="00093145">
        <w:rPr>
          <w:rFonts w:asciiTheme="minorBidi" w:hAnsiTheme="minorBidi"/>
          <w:rtl/>
          <w:lang w:bidi="ar-SA"/>
        </w:rPr>
        <w:t xml:space="preserve"> البديلة، والمستثمرين) ونوع البائع (الشراء من مقاول أو </w:t>
      </w:r>
      <w:r w:rsidR="005A4B2A">
        <w:rPr>
          <w:rFonts w:asciiTheme="minorBidi" w:hAnsiTheme="minorBidi" w:hint="cs"/>
          <w:rtl/>
          <w:lang w:bidi="ar-SA"/>
        </w:rPr>
        <w:t>شقة مستعملة</w:t>
      </w:r>
      <w:r w:rsidRPr="00093145">
        <w:rPr>
          <w:rFonts w:asciiTheme="minorBidi" w:hAnsiTheme="minorBidi"/>
          <w:rtl/>
          <w:lang w:bidi="ar-SA"/>
        </w:rPr>
        <w:t xml:space="preserve">). بلغ متوسط ​​الفاصل الزمني في الفترة من 2018 </w:t>
      </w:r>
      <w:r w:rsidRPr="00093145">
        <w:rPr>
          <w:rFonts w:asciiTheme="minorBidi" w:hAnsiTheme="minorBidi"/>
          <w:rtl/>
          <w:lang w:bidi="ar-SA"/>
        </w:rPr>
        <w:t>إلى 2022 حوالي ستة أشهر، ثم اتسع هذا الفاصل بدء</w:t>
      </w:r>
      <w:r w:rsidR="00007659">
        <w:rPr>
          <w:rFonts w:asciiTheme="minorBidi" w:hAnsiTheme="minorBidi"/>
          <w:rtl/>
          <w:lang w:bidi="ar-SA"/>
        </w:rPr>
        <w:t>اً</w:t>
      </w:r>
      <w:r w:rsidRPr="00093145">
        <w:rPr>
          <w:rFonts w:asciiTheme="minorBidi" w:hAnsiTheme="minorBidi"/>
          <w:rtl/>
          <w:lang w:bidi="ar-SA"/>
        </w:rPr>
        <w:t xml:space="preserve"> من عام 2023 ليصل إلى حوالي ثمانية أشهر في عام 2025.</w:t>
      </w:r>
    </w:p>
    <w:p w:rsidR="00093145" w:rsidRPr="00093145" w:rsidRDefault="00D7409E" w:rsidP="005A4B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r w:rsidRPr="00093145">
        <w:rPr>
          <w:rFonts w:asciiTheme="minorBidi" w:hAnsiTheme="minorBidi"/>
          <w:rtl/>
          <w:lang w:bidi="ar-SA"/>
        </w:rPr>
        <w:t xml:space="preserve">بالإضافة إلى </w:t>
      </w:r>
      <w:r w:rsidR="005A4B2A">
        <w:rPr>
          <w:rFonts w:asciiTheme="minorBidi" w:hAnsiTheme="minorBidi" w:hint="cs"/>
          <w:rtl/>
          <w:lang w:bidi="ar-SA"/>
        </w:rPr>
        <w:t>الاختلاف في الفاصل الزمني</w:t>
      </w:r>
      <w:r w:rsidRPr="00093145">
        <w:rPr>
          <w:rFonts w:asciiTheme="minorBidi" w:hAnsiTheme="minorBidi"/>
          <w:rtl/>
          <w:lang w:bidi="ar-SA"/>
        </w:rPr>
        <w:t xml:space="preserve">، توجد اختلافات أخرى بين فئات المشترين: يعتمد مشتري </w:t>
      </w:r>
      <w:r w:rsidR="005A4B2A">
        <w:rPr>
          <w:rFonts w:asciiTheme="minorBidi" w:hAnsiTheme="minorBidi" w:hint="cs"/>
          <w:rtl/>
          <w:lang w:bidi="ar-SA"/>
        </w:rPr>
        <w:t>الشقة</w:t>
      </w:r>
      <w:r w:rsidRPr="00093145">
        <w:rPr>
          <w:rFonts w:asciiTheme="minorBidi" w:hAnsiTheme="minorBidi"/>
          <w:rtl/>
          <w:lang w:bidi="ar-SA"/>
        </w:rPr>
        <w:t xml:space="preserve"> لأول مرة على القروض السكنية أكثر من مشتري </w:t>
      </w:r>
      <w:r w:rsidR="005A4B2A">
        <w:rPr>
          <w:rFonts w:asciiTheme="minorBidi" w:hAnsiTheme="minorBidi" w:hint="cs"/>
          <w:rtl/>
          <w:lang w:bidi="ar-SA"/>
        </w:rPr>
        <w:t>الشقة</w:t>
      </w:r>
      <w:r w:rsidRPr="00093145">
        <w:rPr>
          <w:rFonts w:asciiTheme="minorBidi" w:hAnsiTheme="minorBidi"/>
          <w:rtl/>
          <w:lang w:bidi="ar-SA"/>
        </w:rPr>
        <w:t xml:space="preserve"> </w:t>
      </w:r>
      <w:r w:rsidR="005A4B2A">
        <w:rPr>
          <w:rFonts w:asciiTheme="minorBidi" w:hAnsiTheme="minorBidi" w:hint="cs"/>
          <w:rtl/>
          <w:lang w:bidi="ar-SA"/>
        </w:rPr>
        <w:t>البديلة</w:t>
      </w:r>
      <w:r w:rsidRPr="00093145">
        <w:rPr>
          <w:rFonts w:asciiTheme="minorBidi" w:hAnsiTheme="minorBidi"/>
          <w:rtl/>
          <w:lang w:bidi="ar-SA"/>
        </w:rPr>
        <w:t xml:space="preserve"> والمستثمرين. بعبارة أخرى، يتم تمويل بعض معاملات شراء </w:t>
      </w:r>
      <w:r w:rsidR="005A4B2A">
        <w:rPr>
          <w:rFonts w:asciiTheme="minorBidi" w:hAnsiTheme="minorBidi" w:hint="cs"/>
          <w:rtl/>
          <w:lang w:bidi="ar-SA"/>
        </w:rPr>
        <w:t>الشقق</w:t>
      </w:r>
      <w:r w:rsidRPr="00093145">
        <w:rPr>
          <w:rFonts w:asciiTheme="minorBidi" w:hAnsiTheme="minorBidi"/>
          <w:rtl/>
          <w:lang w:bidi="ar-SA"/>
        </w:rPr>
        <w:t xml:space="preserve"> للمستثمرين ومشتري </w:t>
      </w:r>
      <w:r w:rsidR="005A4B2A">
        <w:rPr>
          <w:rFonts w:asciiTheme="minorBidi" w:hAnsiTheme="minorBidi" w:hint="cs"/>
          <w:rtl/>
          <w:lang w:bidi="ar-SA"/>
        </w:rPr>
        <w:t>الشقق</w:t>
      </w:r>
      <w:r w:rsidRPr="00093145">
        <w:rPr>
          <w:rFonts w:asciiTheme="minorBidi" w:hAnsiTheme="minorBidi"/>
          <w:rtl/>
          <w:lang w:bidi="ar-SA"/>
        </w:rPr>
        <w:t xml:space="preserve"> </w:t>
      </w:r>
      <w:r w:rsidR="005A4B2A">
        <w:rPr>
          <w:rFonts w:asciiTheme="minorBidi" w:hAnsiTheme="minorBidi" w:hint="cs"/>
          <w:rtl/>
          <w:lang w:bidi="ar-SA"/>
        </w:rPr>
        <w:t>البديلة</w:t>
      </w:r>
      <w:r w:rsidRPr="00093145">
        <w:rPr>
          <w:rFonts w:asciiTheme="minorBidi" w:hAnsiTheme="minorBidi"/>
          <w:rtl/>
          <w:lang w:bidi="ar-SA"/>
        </w:rPr>
        <w:t xml:space="preserve"> دون الحاجة إلى قرض </w:t>
      </w:r>
      <w:r w:rsidR="005A4B2A">
        <w:rPr>
          <w:rFonts w:asciiTheme="minorBidi" w:hAnsiTheme="minorBidi" w:hint="cs"/>
          <w:rtl/>
          <w:lang w:bidi="ar-SA"/>
        </w:rPr>
        <w:t>لغرض الإسكان</w:t>
      </w:r>
      <w:r w:rsidRPr="00093145">
        <w:rPr>
          <w:rFonts w:asciiTheme="minorBidi" w:hAnsiTheme="minorBidi"/>
          <w:rtl/>
          <w:lang w:bidi="ar-SA"/>
        </w:rPr>
        <w:t xml:space="preserve"> من النظام المصرفي. كما توجد اختلافات طفيفة في متوسط ​​مبلغ القرض بين فئات المشترين.</w:t>
      </w:r>
    </w:p>
    <w:p w:rsidR="00093145" w:rsidRDefault="00D7409E" w:rsidP="000076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</w:rPr>
      </w:pPr>
      <w:r w:rsidRPr="00093145">
        <w:rPr>
          <w:rFonts w:asciiTheme="minorBidi" w:hAnsiTheme="minorBidi"/>
          <w:rtl/>
          <w:lang w:bidi="ar-SA"/>
        </w:rPr>
        <w:t>يتم تقدي</w:t>
      </w:r>
      <w:r w:rsidR="00007659">
        <w:rPr>
          <w:rFonts w:asciiTheme="minorBidi" w:hAnsiTheme="minorBidi"/>
          <w:rtl/>
          <w:lang w:bidi="ar-SA"/>
        </w:rPr>
        <w:t>م حوالي 46% من القروض على دفعات</w:t>
      </w:r>
      <w:r w:rsidRPr="00093145">
        <w:rPr>
          <w:rFonts w:asciiTheme="minorBidi" w:hAnsiTheme="minorBidi"/>
          <w:rtl/>
          <w:lang w:bidi="ar-SA"/>
        </w:rPr>
        <w:t>، حيث يتم</w:t>
      </w:r>
      <w:r w:rsidRPr="00093145">
        <w:rPr>
          <w:rFonts w:asciiTheme="minorBidi" w:hAnsiTheme="minorBidi"/>
          <w:rtl/>
          <w:lang w:bidi="ar-SA"/>
        </w:rPr>
        <w:t xml:space="preserve"> سحب أموال القرض بالكامل في أقل من عام. بشكل عام، يمكن القول إن حوالي 80% من </w:t>
      </w:r>
      <w:r w:rsidR="005A4B2A">
        <w:rPr>
          <w:rFonts w:asciiTheme="minorBidi" w:hAnsiTheme="minorBidi" w:hint="cs"/>
          <w:rtl/>
          <w:lang w:bidi="ar-SA"/>
        </w:rPr>
        <w:t>عمليات تنفيذ التمويل</w:t>
      </w:r>
      <w:r w:rsidRPr="00093145">
        <w:rPr>
          <w:rFonts w:asciiTheme="minorBidi" w:hAnsiTheme="minorBidi"/>
          <w:rtl/>
          <w:lang w:bidi="ar-SA"/>
        </w:rPr>
        <w:t xml:space="preserve"> الشهرية هي الدفعة الأولى من قرض جديد.</w:t>
      </w:r>
    </w:p>
    <w:p w:rsidR="00093145" w:rsidRPr="00093145" w:rsidRDefault="00D7409E" w:rsidP="00007659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r w:rsidRPr="00093145">
        <w:rPr>
          <w:rFonts w:asciiTheme="minorBidi" w:hAnsiTheme="minorBidi"/>
          <w:rtl/>
          <w:lang w:bidi="ar-SA"/>
        </w:rPr>
        <w:t xml:space="preserve">لا </w:t>
      </w:r>
      <w:r w:rsidR="005A4B2A">
        <w:rPr>
          <w:rFonts w:asciiTheme="minorBidi" w:hAnsiTheme="minorBidi" w:hint="cs"/>
          <w:rtl/>
          <w:lang w:bidi="ar-SA"/>
        </w:rPr>
        <w:t>يعتبر</w:t>
      </w:r>
      <w:r w:rsidRPr="00093145">
        <w:rPr>
          <w:rFonts w:asciiTheme="minorBidi" w:hAnsiTheme="minorBidi"/>
          <w:rtl/>
          <w:lang w:bidi="ar-SA"/>
        </w:rPr>
        <w:t xml:space="preserve"> </w:t>
      </w:r>
      <w:r w:rsidR="005A4B2A">
        <w:rPr>
          <w:rFonts w:asciiTheme="minorBidi" w:hAnsiTheme="minorBidi" w:hint="cs"/>
          <w:rtl/>
          <w:lang w:bidi="ar-SA"/>
        </w:rPr>
        <w:t>الفاصل الزمني</w:t>
      </w:r>
      <w:r w:rsidRPr="00093145">
        <w:rPr>
          <w:rFonts w:asciiTheme="minorBidi" w:hAnsiTheme="minorBidi"/>
          <w:rtl/>
          <w:lang w:bidi="ar-SA"/>
        </w:rPr>
        <w:t xml:space="preserve"> مؤشراً على تزايد المخاطر في </w:t>
      </w:r>
      <w:r w:rsidR="005A4B2A">
        <w:rPr>
          <w:rFonts w:asciiTheme="minorBidi" w:hAnsiTheme="minorBidi" w:hint="cs"/>
          <w:rtl/>
          <w:lang w:bidi="ar-SA"/>
        </w:rPr>
        <w:t>الائتمان لغرض</w:t>
      </w:r>
      <w:r w:rsidRPr="00093145">
        <w:rPr>
          <w:rFonts w:asciiTheme="minorBidi" w:hAnsiTheme="minorBidi"/>
          <w:rtl/>
          <w:lang w:bidi="ar-SA"/>
        </w:rPr>
        <w:t xml:space="preserve"> الإسكان. مع ذلك، </w:t>
      </w:r>
      <w:r w:rsidR="005A4B2A">
        <w:rPr>
          <w:rFonts w:asciiTheme="minorBidi" w:hAnsiTheme="minorBidi" w:hint="cs"/>
          <w:rtl/>
          <w:lang w:bidi="ar-SA"/>
        </w:rPr>
        <w:t>فإن</w:t>
      </w:r>
      <w:r w:rsidRPr="00093145">
        <w:rPr>
          <w:rFonts w:asciiTheme="minorBidi" w:hAnsiTheme="minorBidi"/>
          <w:rtl/>
          <w:lang w:bidi="ar-SA"/>
        </w:rPr>
        <w:t xml:space="preserve"> ازدياد طول </w:t>
      </w:r>
      <w:r w:rsidR="005A4B2A">
        <w:rPr>
          <w:rFonts w:asciiTheme="minorBidi" w:hAnsiTheme="minorBidi" w:hint="cs"/>
          <w:rtl/>
          <w:lang w:bidi="ar-SA"/>
        </w:rPr>
        <w:t>الفاصل</w:t>
      </w:r>
      <w:r w:rsidRPr="00093145">
        <w:rPr>
          <w:rFonts w:asciiTheme="minorBidi" w:hAnsiTheme="minorBidi"/>
          <w:rtl/>
          <w:lang w:bidi="ar-SA"/>
        </w:rPr>
        <w:t xml:space="preserve"> </w:t>
      </w:r>
      <w:r w:rsidR="005A4B2A">
        <w:rPr>
          <w:rFonts w:asciiTheme="minorBidi" w:hAnsiTheme="minorBidi"/>
          <w:rtl/>
          <w:lang w:bidi="ar-SA"/>
        </w:rPr>
        <w:t>الزمني</w:t>
      </w:r>
      <w:r w:rsidRPr="00093145">
        <w:rPr>
          <w:rFonts w:asciiTheme="minorBidi" w:hAnsiTheme="minorBidi"/>
          <w:rtl/>
          <w:lang w:bidi="ar-SA"/>
        </w:rPr>
        <w:t xml:space="preserve"> بين تاريخ</w:t>
      </w:r>
      <w:r w:rsidRPr="00093145">
        <w:rPr>
          <w:rFonts w:asciiTheme="minorBidi" w:hAnsiTheme="minorBidi"/>
          <w:rtl/>
          <w:lang w:bidi="ar-SA"/>
        </w:rPr>
        <w:t xml:space="preserve"> شراء الشقة وتاريخ إتمام تمويل الصفقة، يزداد عدم اليقين بشأن أسعار قروض الإسكان السائدة في تاريخ إتمام الصفقة، وبشأن قدرة المشتري على إتمامها.</w:t>
      </w:r>
    </w:p>
    <w:p w:rsidR="00093145" w:rsidRPr="00093145" w:rsidRDefault="00D7409E" w:rsidP="0009314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  <w:rtl/>
        </w:rPr>
      </w:pPr>
      <w:r w:rsidRPr="00093145">
        <w:rPr>
          <w:rFonts w:asciiTheme="minorBidi" w:hAnsiTheme="minorBidi"/>
          <w:rtl/>
          <w:lang w:bidi="ar-SA"/>
        </w:rPr>
        <w:t xml:space="preserve">مع اقتراب موعد تسليم الشقق المشتراة بتمويل، وضرورة إتمام الأسر لتمويلها، يُتوقع استمرار نمو </w:t>
      </w:r>
      <w:r w:rsidR="005A4B2A">
        <w:rPr>
          <w:rFonts w:asciiTheme="minorBidi" w:hAnsiTheme="minorBidi" w:hint="cs"/>
          <w:rtl/>
          <w:lang w:bidi="ar-SA"/>
        </w:rPr>
        <w:t>ال</w:t>
      </w:r>
      <w:r w:rsidRPr="00093145">
        <w:rPr>
          <w:rFonts w:asciiTheme="minorBidi" w:hAnsiTheme="minorBidi"/>
          <w:rtl/>
          <w:lang w:bidi="ar-SA"/>
        </w:rPr>
        <w:t xml:space="preserve">قروض </w:t>
      </w:r>
      <w:r w:rsidR="005A4B2A">
        <w:rPr>
          <w:rFonts w:asciiTheme="minorBidi" w:hAnsiTheme="minorBidi" w:hint="cs"/>
          <w:rtl/>
          <w:lang w:bidi="ar-SA"/>
        </w:rPr>
        <w:t xml:space="preserve">لغرض </w:t>
      </w:r>
      <w:r w:rsidRPr="00093145">
        <w:rPr>
          <w:rFonts w:asciiTheme="minorBidi" w:hAnsiTheme="minorBidi"/>
          <w:rtl/>
          <w:lang w:bidi="ar-SA"/>
        </w:rPr>
        <w:t>الإسكان.</w:t>
      </w:r>
    </w:p>
    <w:p w:rsidR="00093145" w:rsidRPr="00093145" w:rsidRDefault="00D7409E" w:rsidP="005A4B2A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Theme="minorBidi" w:hAnsiTheme="minorBidi"/>
        </w:rPr>
      </w:pPr>
      <w:r w:rsidRPr="00093145">
        <w:rPr>
          <w:rFonts w:asciiTheme="minorBidi" w:hAnsiTheme="minorBidi"/>
          <w:rtl/>
          <w:lang w:bidi="ar-SA"/>
        </w:rPr>
        <w:t xml:space="preserve">تواصل </w:t>
      </w:r>
      <w:r w:rsidR="005A4B2A">
        <w:rPr>
          <w:rFonts w:asciiTheme="minorBidi" w:hAnsiTheme="minorBidi" w:hint="cs"/>
          <w:rtl/>
          <w:lang w:bidi="ar-SA"/>
        </w:rPr>
        <w:t>هيئة</w:t>
      </w:r>
      <w:r w:rsidRPr="00093145">
        <w:rPr>
          <w:rFonts w:asciiTheme="minorBidi" w:hAnsiTheme="minorBidi"/>
          <w:rtl/>
          <w:lang w:bidi="ar-SA"/>
        </w:rPr>
        <w:t xml:space="preserve"> الرقابة </w:t>
      </w:r>
      <w:r w:rsidR="005A4B2A">
        <w:rPr>
          <w:rFonts w:asciiTheme="minorBidi" w:hAnsiTheme="minorBidi" w:hint="cs"/>
          <w:rtl/>
          <w:lang w:bidi="ar-SA"/>
        </w:rPr>
        <w:t>على البنوك</w:t>
      </w:r>
      <w:r w:rsidRPr="00093145">
        <w:rPr>
          <w:rFonts w:asciiTheme="minorBidi" w:hAnsiTheme="minorBidi"/>
          <w:rtl/>
          <w:lang w:bidi="ar-SA"/>
        </w:rPr>
        <w:t xml:space="preserve"> رصد تطورات </w:t>
      </w:r>
      <w:r w:rsidR="005A4B2A">
        <w:rPr>
          <w:rFonts w:asciiTheme="minorBidi" w:hAnsiTheme="minorBidi" w:hint="cs"/>
          <w:rtl/>
          <w:lang w:bidi="ar-SA"/>
        </w:rPr>
        <w:t>الائتمان لأغراض</w:t>
      </w:r>
      <w:r w:rsidRPr="00093145">
        <w:rPr>
          <w:rFonts w:asciiTheme="minorBidi" w:hAnsiTheme="minorBidi"/>
          <w:rtl/>
          <w:lang w:bidi="ar-SA"/>
        </w:rPr>
        <w:t xml:space="preserve"> الإسكان لضمان </w:t>
      </w:r>
      <w:r w:rsidR="005A4B2A">
        <w:rPr>
          <w:rFonts w:asciiTheme="minorBidi" w:hAnsiTheme="minorBidi" w:hint="cs"/>
          <w:rtl/>
          <w:lang w:bidi="ar-SA"/>
        </w:rPr>
        <w:t>متابعة</w:t>
      </w:r>
      <w:r w:rsidRPr="00093145">
        <w:rPr>
          <w:rFonts w:asciiTheme="minorBidi" w:hAnsiTheme="minorBidi"/>
          <w:rtl/>
          <w:lang w:bidi="ar-SA"/>
        </w:rPr>
        <w:t xml:space="preserve"> وإدارة المخاطر في محفظة </w:t>
      </w:r>
      <w:r w:rsidR="005A4B2A">
        <w:rPr>
          <w:rFonts w:asciiTheme="minorBidi" w:hAnsiTheme="minorBidi" w:hint="cs"/>
          <w:rtl/>
          <w:lang w:bidi="ar-SA"/>
        </w:rPr>
        <w:t>الائتمان لغرض</w:t>
      </w:r>
      <w:r w:rsidRPr="00093145">
        <w:rPr>
          <w:rFonts w:asciiTheme="minorBidi" w:hAnsiTheme="minorBidi"/>
          <w:rtl/>
          <w:lang w:bidi="ar-SA"/>
        </w:rPr>
        <w:t xml:space="preserve"> الإسكان وفقاً لممارسات إدارة المخاطر المقبولة والمناسبة.</w:t>
      </w:r>
    </w:p>
    <w:bookmarkEnd w:id="0"/>
    <w:p w:rsidR="003E05EC" w:rsidRPr="00093145" w:rsidRDefault="003E05EC">
      <w:pPr>
        <w:rPr>
          <w:rFonts w:asciiTheme="minorBidi" w:hAnsiTheme="minorBidi"/>
        </w:rPr>
      </w:pPr>
    </w:p>
    <w:sectPr w:rsidR="003E05EC" w:rsidRPr="00093145" w:rsidSect="00FA276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E3FFE"/>
    <w:multiLevelType w:val="hybridMultilevel"/>
    <w:tmpl w:val="2AA0BAB2"/>
    <w:lvl w:ilvl="0" w:tplc="11043CA4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C296784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BEA4BD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176758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7F662D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A80E23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D2CE7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483A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FAC2F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72"/>
    <w:rsid w:val="00007659"/>
    <w:rsid w:val="00050AA1"/>
    <w:rsid w:val="00066C04"/>
    <w:rsid w:val="00093145"/>
    <w:rsid w:val="000D699D"/>
    <w:rsid w:val="00125DC0"/>
    <w:rsid w:val="0013258C"/>
    <w:rsid w:val="001B29B9"/>
    <w:rsid w:val="00200BB1"/>
    <w:rsid w:val="00372822"/>
    <w:rsid w:val="00396AB2"/>
    <w:rsid w:val="00397AA0"/>
    <w:rsid w:val="003C2838"/>
    <w:rsid w:val="003E05EC"/>
    <w:rsid w:val="0043782F"/>
    <w:rsid w:val="00476252"/>
    <w:rsid w:val="00536F7B"/>
    <w:rsid w:val="00572E7D"/>
    <w:rsid w:val="00592C79"/>
    <w:rsid w:val="005A4B2A"/>
    <w:rsid w:val="006479D6"/>
    <w:rsid w:val="006A7C22"/>
    <w:rsid w:val="009002B2"/>
    <w:rsid w:val="009554E0"/>
    <w:rsid w:val="00A8206D"/>
    <w:rsid w:val="00AD49BB"/>
    <w:rsid w:val="00AE3A72"/>
    <w:rsid w:val="00B25D00"/>
    <w:rsid w:val="00D36A9A"/>
    <w:rsid w:val="00D7409E"/>
    <w:rsid w:val="00DB3448"/>
    <w:rsid w:val="00DC337E"/>
    <w:rsid w:val="00E1608A"/>
    <w:rsid w:val="00ED2AC7"/>
    <w:rsid w:val="00F10B65"/>
    <w:rsid w:val="00F726A6"/>
    <w:rsid w:val="00F80107"/>
    <w:rsid w:val="00FA2761"/>
    <w:rsid w:val="00FC3B9A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9A5C0F-B577-D044-B451-6FB7CC5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_0,Use Case List Paragraph"/>
    <w:basedOn w:val="Normal"/>
    <w:link w:val="ListParagraphChar"/>
    <w:uiPriority w:val="34"/>
    <w:qFormat/>
    <w:rsid w:val="00200BB1"/>
    <w:pPr>
      <w:ind w:left="720"/>
      <w:contextualSpacing/>
    </w:pPr>
  </w:style>
  <w:style w:type="character" w:customStyle="1" w:styleId="ListParagraphChar">
    <w:name w:val="List Paragraph Char"/>
    <w:aliases w:val="List Paragraph_0 Char,Use Case List Paragraph Char"/>
    <w:basedOn w:val="DefaultParagraphFont"/>
    <w:link w:val="ListParagraph"/>
    <w:uiPriority w:val="34"/>
    <w:locked/>
    <w:rsid w:val="00200BB1"/>
  </w:style>
  <w:style w:type="paragraph" w:styleId="BalloonText">
    <w:name w:val="Balloon Text"/>
    <w:basedOn w:val="Normal"/>
    <w:link w:val="BalloonTextChar"/>
    <w:uiPriority w:val="99"/>
    <w:semiHidden/>
    <w:unhideWhenUsed/>
    <w:rsid w:val="00093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1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1847</Characters>
  <Application>Microsoft Office Word</Application>
  <DocSecurity>4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BOI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לירון בן עמוס</dc:creator>
  <cp:lastModifiedBy>רוסול דכוור</cp:lastModifiedBy>
  <cp:revision>2</cp:revision>
  <dcterms:created xsi:type="dcterms:W3CDTF">2026-06-01T09:22:00Z</dcterms:created>
  <dcterms:modified xsi:type="dcterms:W3CDTF">2026-06-01T09:22:00Z</dcterms:modified>
</cp:coreProperties>
</file>