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Default="00CB5D78" w:rsidP="00253946">
      <w:pPr>
        <w:bidi w:val="0"/>
        <w:rPr>
          <w:rFonts w:cs="David"/>
          <w:b/>
          <w:bCs/>
          <w:sz w:val="26"/>
          <w:szCs w:val="26"/>
        </w:rPr>
      </w:pPr>
    </w:p>
    <w:p w:rsidR="00253946" w:rsidRDefault="00253946" w:rsidP="00253946">
      <w:pPr>
        <w:bidi w:val="0"/>
        <w:jc w:val="right"/>
        <w:rPr>
          <w:rFonts w:cs="David"/>
          <w:b/>
          <w:bCs/>
          <w:sz w:val="26"/>
          <w:szCs w:val="26"/>
        </w:rPr>
      </w:pPr>
    </w:p>
    <w:p w:rsidR="00253946" w:rsidRPr="00A40F24" w:rsidRDefault="00253946" w:rsidP="00253946">
      <w:pPr>
        <w:jc w:val="center"/>
        <w:rPr>
          <w:rFonts w:cstheme="majorBidi"/>
          <w:rtl/>
        </w:rPr>
      </w:pPr>
      <w:r w:rsidRPr="00A40F24">
        <w:rPr>
          <w:rFonts w:cstheme="majorBidi"/>
          <w:noProof/>
        </w:rPr>
        <w:drawing>
          <wp:anchor distT="0" distB="0" distL="114300" distR="114300" simplePos="0" relativeHeight="251689984" behindDoc="1" locked="0" layoutInCell="1" allowOverlap="1" wp14:anchorId="2DC5E841" wp14:editId="1C6BDC4F">
            <wp:simplePos x="0" y="0"/>
            <wp:positionH relativeFrom="margin">
              <wp:align>center</wp:align>
            </wp:positionH>
            <wp:positionV relativeFrom="paragraph">
              <wp:posOffset>-218646</wp:posOffset>
            </wp:positionV>
            <wp:extent cx="975360" cy="975360"/>
            <wp:effectExtent l="0" t="0" r="0" b="0"/>
            <wp:wrapNone/>
            <wp:docPr id="6"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946" w:rsidRDefault="00253946" w:rsidP="00253946">
      <w:pPr>
        <w:pStyle w:val="regpar"/>
        <w:spacing w:line="300" w:lineRule="atLeast"/>
        <w:ind w:firstLine="0"/>
        <w:jc w:val="center"/>
        <w:rPr>
          <w:rFonts w:asciiTheme="majorBidi" w:hAnsiTheme="majorBidi" w:cstheme="majorBidi"/>
          <w:b/>
          <w:bCs/>
        </w:rPr>
      </w:pPr>
    </w:p>
    <w:p w:rsidR="00253946" w:rsidRDefault="00253946" w:rsidP="00253946">
      <w:pPr>
        <w:pStyle w:val="regpar"/>
        <w:spacing w:line="300" w:lineRule="atLeast"/>
        <w:ind w:firstLine="0"/>
        <w:jc w:val="center"/>
        <w:rPr>
          <w:rFonts w:asciiTheme="majorBidi" w:hAnsiTheme="majorBidi" w:cstheme="majorBidi"/>
          <w:b/>
          <w:bCs/>
        </w:rPr>
      </w:pPr>
    </w:p>
    <w:p w:rsidR="00253946" w:rsidRPr="00253946" w:rsidRDefault="00253946" w:rsidP="00253946">
      <w:pPr>
        <w:pStyle w:val="regpar"/>
        <w:spacing w:line="300" w:lineRule="atLeast"/>
        <w:ind w:firstLine="0"/>
        <w:jc w:val="center"/>
        <w:rPr>
          <w:rFonts w:ascii="David" w:hAnsi="David" w:cs="David"/>
          <w:b/>
          <w:bCs/>
        </w:rPr>
      </w:pPr>
    </w:p>
    <w:p w:rsidR="00253946" w:rsidRPr="00253946" w:rsidRDefault="00253946" w:rsidP="00253946">
      <w:pPr>
        <w:pStyle w:val="regpar"/>
        <w:spacing w:line="300" w:lineRule="atLeast"/>
        <w:ind w:firstLine="0"/>
        <w:jc w:val="center"/>
        <w:rPr>
          <w:rFonts w:ascii="David" w:hAnsi="David" w:cs="David"/>
          <w:b/>
          <w:bCs/>
        </w:rPr>
      </w:pPr>
      <w:r w:rsidRPr="00253946">
        <w:rPr>
          <w:rFonts w:ascii="David" w:hAnsi="David" w:cs="David"/>
          <w:b/>
          <w:bCs/>
        </w:rPr>
        <w:t>BANK OF ISRAEL</w:t>
      </w:r>
    </w:p>
    <w:p w:rsidR="00253946" w:rsidRPr="00253946" w:rsidRDefault="00253946" w:rsidP="00253946">
      <w:pPr>
        <w:pStyle w:val="regpar"/>
        <w:spacing w:line="300" w:lineRule="atLeast"/>
        <w:ind w:firstLine="0"/>
        <w:jc w:val="center"/>
        <w:rPr>
          <w:rFonts w:ascii="David" w:hAnsi="David" w:cs="David"/>
        </w:rPr>
      </w:pPr>
      <w:r w:rsidRPr="00253946">
        <w:rPr>
          <w:rFonts w:ascii="David" w:hAnsi="David" w:cs="David"/>
        </w:rPr>
        <w:t>Office of the Spokesperson and Economic Information</w:t>
      </w:r>
    </w:p>
    <w:p w:rsidR="00253946" w:rsidRPr="00253946" w:rsidRDefault="00253946" w:rsidP="00253946">
      <w:pPr>
        <w:bidi w:val="0"/>
        <w:jc w:val="center"/>
        <w:rPr>
          <w:rFonts w:ascii="David" w:hAnsi="David" w:cs="David"/>
        </w:rPr>
      </w:pPr>
    </w:p>
    <w:p w:rsidR="00253946" w:rsidRPr="00253946" w:rsidRDefault="00253946" w:rsidP="00253946">
      <w:pPr>
        <w:bidi w:val="0"/>
        <w:jc w:val="right"/>
        <w:rPr>
          <w:rFonts w:ascii="David" w:hAnsi="David" w:cs="David"/>
          <w:b/>
          <w:bCs/>
          <w:sz w:val="26"/>
          <w:szCs w:val="26"/>
        </w:rPr>
      </w:pPr>
    </w:p>
    <w:p w:rsidR="00253946" w:rsidRPr="00253946" w:rsidRDefault="00253946" w:rsidP="00253946">
      <w:pPr>
        <w:bidi w:val="0"/>
        <w:jc w:val="right"/>
        <w:rPr>
          <w:rFonts w:ascii="David" w:hAnsi="David" w:cs="David"/>
        </w:rPr>
      </w:pPr>
      <w:r w:rsidRPr="00253946">
        <w:rPr>
          <w:rFonts w:ascii="David" w:hAnsi="David" w:cs="David"/>
        </w:rPr>
        <w:t>December 20,</w:t>
      </w:r>
      <w:r w:rsidRPr="00253946">
        <w:rPr>
          <w:rFonts w:ascii="David" w:hAnsi="David" w:cs="David"/>
        </w:rPr>
        <w:t xml:space="preserve"> 2023</w:t>
      </w:r>
    </w:p>
    <w:p w:rsidR="00883627" w:rsidRPr="00253946" w:rsidRDefault="00883627" w:rsidP="00253946">
      <w:pPr>
        <w:pStyle w:val="PressReleaseTitle"/>
        <w:jc w:val="left"/>
        <w:rPr>
          <w:rFonts w:ascii="David" w:hAnsi="David"/>
        </w:rPr>
      </w:pPr>
    </w:p>
    <w:p w:rsidR="00CB5D78" w:rsidRPr="00253946" w:rsidRDefault="00CB5D78" w:rsidP="00986490">
      <w:pPr>
        <w:pStyle w:val="PressReleaseTitle"/>
        <w:jc w:val="left"/>
        <w:rPr>
          <w:rFonts w:ascii="David" w:hAnsi="David"/>
          <w:b w:val="0"/>
          <w:bCs w:val="0"/>
        </w:rPr>
      </w:pPr>
      <w:r w:rsidRPr="00253946">
        <w:rPr>
          <w:rFonts w:ascii="David" w:hAnsi="David"/>
          <w:b w:val="0"/>
          <w:bCs w:val="0"/>
        </w:rPr>
        <w:t>Press Release</w:t>
      </w:r>
      <w:r w:rsidR="00986490" w:rsidRPr="00253946">
        <w:rPr>
          <w:rFonts w:ascii="David" w:hAnsi="David"/>
          <w:b w:val="0"/>
          <w:bCs w:val="0"/>
        </w:rPr>
        <w:t>:</w:t>
      </w:r>
    </w:p>
    <w:p w:rsidR="0094738B" w:rsidRPr="00253946" w:rsidRDefault="0094738B" w:rsidP="0094738B">
      <w:pPr>
        <w:pStyle w:val="PressReleaseTitle"/>
        <w:rPr>
          <w:rFonts w:ascii="David" w:hAnsi="David"/>
        </w:rPr>
      </w:pPr>
    </w:p>
    <w:p w:rsidR="0065440B" w:rsidRPr="00253946" w:rsidRDefault="00DD15DC" w:rsidP="00D2632C">
      <w:pPr>
        <w:pStyle w:val="PressReleaseTitle"/>
        <w:rPr>
          <w:rFonts w:ascii="David" w:hAnsi="David"/>
          <w:sz w:val="28"/>
          <w:szCs w:val="28"/>
        </w:rPr>
      </w:pPr>
      <w:r w:rsidRPr="00253946">
        <w:rPr>
          <w:rFonts w:ascii="David" w:hAnsi="David"/>
          <w:sz w:val="28"/>
          <w:szCs w:val="28"/>
        </w:rPr>
        <w:t xml:space="preserve">Israel’s International Investment Position (IIP), </w:t>
      </w:r>
    </w:p>
    <w:p w:rsidR="0094738B" w:rsidRPr="00253946" w:rsidRDefault="00D16998" w:rsidP="00BA2CAD">
      <w:pPr>
        <w:pStyle w:val="PressReleaseTitle"/>
        <w:rPr>
          <w:rFonts w:ascii="David" w:hAnsi="David"/>
          <w:sz w:val="28"/>
          <w:szCs w:val="28"/>
        </w:rPr>
      </w:pPr>
      <w:proofErr w:type="gramStart"/>
      <w:r w:rsidRPr="00253946">
        <w:rPr>
          <w:rFonts w:ascii="David" w:hAnsi="David"/>
          <w:sz w:val="28"/>
          <w:szCs w:val="28"/>
        </w:rPr>
        <w:t>third</w:t>
      </w:r>
      <w:proofErr w:type="gramEnd"/>
      <w:r w:rsidR="00CE7059" w:rsidRPr="00253946">
        <w:rPr>
          <w:rFonts w:ascii="David" w:hAnsi="David"/>
          <w:sz w:val="28"/>
          <w:szCs w:val="28"/>
        </w:rPr>
        <w:t xml:space="preserve"> quarter</w:t>
      </w:r>
      <w:r w:rsidR="000C6D17" w:rsidRPr="00253946">
        <w:rPr>
          <w:rFonts w:ascii="David" w:hAnsi="David"/>
          <w:sz w:val="28"/>
          <w:szCs w:val="28"/>
        </w:rPr>
        <w:t xml:space="preserve"> </w:t>
      </w:r>
      <w:r w:rsidRPr="00253946">
        <w:rPr>
          <w:rFonts w:ascii="David" w:hAnsi="David"/>
          <w:sz w:val="28"/>
          <w:szCs w:val="28"/>
        </w:rPr>
        <w:t xml:space="preserve">(July–September) </w:t>
      </w:r>
      <w:r w:rsidR="000C6D17" w:rsidRPr="00253946">
        <w:rPr>
          <w:rFonts w:ascii="David" w:hAnsi="David"/>
          <w:sz w:val="28"/>
          <w:szCs w:val="28"/>
        </w:rPr>
        <w:t xml:space="preserve">of </w:t>
      </w:r>
      <w:r w:rsidR="00510B33" w:rsidRPr="00253946">
        <w:rPr>
          <w:rFonts w:ascii="David" w:hAnsi="David"/>
          <w:sz w:val="28"/>
          <w:szCs w:val="28"/>
        </w:rPr>
        <w:t>202</w:t>
      </w:r>
      <w:r w:rsidR="00BA2CAD" w:rsidRPr="00253946">
        <w:rPr>
          <w:rFonts w:ascii="David" w:hAnsi="David"/>
          <w:sz w:val="28"/>
          <w:szCs w:val="28"/>
        </w:rPr>
        <w:t>3</w:t>
      </w:r>
    </w:p>
    <w:p w:rsidR="00DD15DC" w:rsidRPr="00253946" w:rsidRDefault="00DD15DC" w:rsidP="00DD15DC">
      <w:pPr>
        <w:pStyle w:val="regpar"/>
        <w:jc w:val="center"/>
        <w:outlineLvl w:val="0"/>
        <w:rPr>
          <w:rFonts w:ascii="David" w:hAnsi="David" w:cs="David"/>
          <w:sz w:val="22"/>
        </w:rPr>
      </w:pPr>
    </w:p>
    <w:p w:rsidR="00E21F4E" w:rsidRPr="00253946" w:rsidRDefault="00DD15DC" w:rsidP="00D16998">
      <w:pPr>
        <w:pStyle w:val="regpar"/>
        <w:numPr>
          <w:ilvl w:val="0"/>
          <w:numId w:val="2"/>
        </w:numPr>
        <w:tabs>
          <w:tab w:val="clear" w:pos="720"/>
          <w:tab w:val="num" w:pos="360"/>
        </w:tabs>
        <w:ind w:left="360"/>
        <w:rPr>
          <w:rFonts w:ascii="David" w:hAnsi="David" w:cs="David"/>
          <w:b/>
          <w:bCs/>
        </w:rPr>
      </w:pPr>
      <w:r w:rsidRPr="00253946">
        <w:rPr>
          <w:rFonts w:ascii="David" w:hAnsi="David" w:cs="David"/>
          <w:b/>
          <w:bCs/>
        </w:rPr>
        <w:t xml:space="preserve">In the </w:t>
      </w:r>
      <w:r w:rsidR="00D16998" w:rsidRPr="00253946">
        <w:rPr>
          <w:rFonts w:ascii="David" w:hAnsi="David" w:cs="David"/>
          <w:b/>
          <w:bCs/>
        </w:rPr>
        <w:t>third</w:t>
      </w:r>
      <w:r w:rsidR="00CE7059" w:rsidRPr="00253946">
        <w:rPr>
          <w:rFonts w:ascii="David" w:hAnsi="David" w:cs="David"/>
          <w:b/>
          <w:bCs/>
        </w:rPr>
        <w:t xml:space="preserve"> quarter</w:t>
      </w:r>
      <w:r w:rsidR="00D2632C" w:rsidRPr="00253946">
        <w:rPr>
          <w:rFonts w:ascii="David" w:hAnsi="David" w:cs="David"/>
          <w:b/>
          <w:bCs/>
        </w:rPr>
        <w:t xml:space="preserve"> of </w:t>
      </w:r>
      <w:r w:rsidR="00986490" w:rsidRPr="00253946">
        <w:rPr>
          <w:rFonts w:ascii="David" w:hAnsi="David" w:cs="David"/>
          <w:b/>
          <w:bCs/>
        </w:rPr>
        <w:t>2023</w:t>
      </w:r>
      <w:r w:rsidRPr="00253946">
        <w:rPr>
          <w:rFonts w:ascii="David" w:hAnsi="David" w:cs="David"/>
          <w:b/>
          <w:bCs/>
        </w:rPr>
        <w:t xml:space="preserve">, </w:t>
      </w:r>
      <w:r w:rsidR="00173F17" w:rsidRPr="00253946">
        <w:rPr>
          <w:rFonts w:ascii="David" w:hAnsi="David" w:cs="David"/>
          <w:b/>
          <w:bCs/>
        </w:rPr>
        <w:t xml:space="preserve">the balance of assets held </w:t>
      </w:r>
      <w:r w:rsidR="005B4C06" w:rsidRPr="00253946">
        <w:rPr>
          <w:rFonts w:ascii="David" w:hAnsi="David" w:cs="David"/>
          <w:b/>
          <w:bCs/>
        </w:rPr>
        <w:t xml:space="preserve">abroad </w:t>
      </w:r>
      <w:r w:rsidR="00173F17" w:rsidRPr="00253946">
        <w:rPr>
          <w:rFonts w:ascii="David" w:hAnsi="David" w:cs="David"/>
          <w:b/>
          <w:bCs/>
        </w:rPr>
        <w:t>by Israeli reside</w:t>
      </w:r>
      <w:r w:rsidR="00CA56A4" w:rsidRPr="00253946">
        <w:rPr>
          <w:rFonts w:ascii="David" w:hAnsi="David" w:cs="David"/>
          <w:b/>
          <w:bCs/>
        </w:rPr>
        <w:t>n</w:t>
      </w:r>
      <w:r w:rsidR="00173F17" w:rsidRPr="00253946">
        <w:rPr>
          <w:rFonts w:ascii="David" w:hAnsi="David" w:cs="David"/>
          <w:b/>
          <w:bCs/>
        </w:rPr>
        <w:t xml:space="preserve">ts </w:t>
      </w:r>
      <w:r w:rsidR="00D16998" w:rsidRPr="00253946">
        <w:rPr>
          <w:rFonts w:ascii="David" w:hAnsi="David" w:cs="David"/>
          <w:b/>
          <w:bCs/>
        </w:rPr>
        <w:t>declined</w:t>
      </w:r>
      <w:r w:rsidR="00224462" w:rsidRPr="00253946">
        <w:rPr>
          <w:rFonts w:ascii="David" w:hAnsi="David" w:cs="David"/>
          <w:b/>
          <w:bCs/>
        </w:rPr>
        <w:t xml:space="preserve"> </w:t>
      </w:r>
      <w:r w:rsidRPr="00253946">
        <w:rPr>
          <w:rFonts w:ascii="David" w:hAnsi="David" w:cs="David"/>
          <w:b/>
          <w:bCs/>
        </w:rPr>
        <w:t xml:space="preserve">by </w:t>
      </w:r>
      <w:r w:rsidR="003947F4" w:rsidRPr="00253946">
        <w:rPr>
          <w:rFonts w:ascii="David" w:hAnsi="David" w:cs="David"/>
          <w:b/>
          <w:bCs/>
        </w:rPr>
        <w:t>approximately</w:t>
      </w:r>
      <w:r w:rsidRPr="00253946">
        <w:rPr>
          <w:rFonts w:ascii="David" w:hAnsi="David" w:cs="David"/>
          <w:b/>
          <w:bCs/>
        </w:rPr>
        <w:t xml:space="preserve"> $</w:t>
      </w:r>
      <w:r w:rsidR="00D16998" w:rsidRPr="00253946">
        <w:rPr>
          <w:rFonts w:ascii="David" w:hAnsi="David" w:cs="David"/>
          <w:b/>
          <w:bCs/>
        </w:rPr>
        <w:t>8.9</w:t>
      </w:r>
      <w:r w:rsidR="00BA2CAD" w:rsidRPr="00253946">
        <w:rPr>
          <w:rFonts w:ascii="David" w:hAnsi="David" w:cs="David"/>
          <w:b/>
          <w:bCs/>
        </w:rPr>
        <w:t xml:space="preserve"> </w:t>
      </w:r>
      <w:r w:rsidRPr="00253946">
        <w:rPr>
          <w:rFonts w:ascii="David" w:hAnsi="David" w:cs="David"/>
          <w:b/>
          <w:bCs/>
        </w:rPr>
        <w:t>billion (</w:t>
      </w:r>
      <w:r w:rsidR="00D16998" w:rsidRPr="00253946">
        <w:rPr>
          <w:rFonts w:ascii="David" w:hAnsi="David" w:cs="David"/>
          <w:b/>
          <w:bCs/>
        </w:rPr>
        <w:t>about 1.3</w:t>
      </w:r>
      <w:r w:rsidR="00BA2CAD" w:rsidRPr="00253946">
        <w:rPr>
          <w:rFonts w:ascii="David" w:hAnsi="David" w:cs="David"/>
          <w:b/>
          <w:bCs/>
        </w:rPr>
        <w:t xml:space="preserve"> </w:t>
      </w:r>
      <w:r w:rsidRPr="00253946">
        <w:rPr>
          <w:rFonts w:ascii="David" w:hAnsi="David" w:cs="David"/>
          <w:b/>
          <w:bCs/>
        </w:rPr>
        <w:t>percent)</w:t>
      </w:r>
      <w:r w:rsidR="003947F4" w:rsidRPr="00253946">
        <w:rPr>
          <w:rFonts w:ascii="David" w:hAnsi="David" w:cs="David"/>
          <w:b/>
          <w:bCs/>
        </w:rPr>
        <w:t>,</w:t>
      </w:r>
      <w:r w:rsidR="00B6309A" w:rsidRPr="00253946">
        <w:rPr>
          <w:rFonts w:ascii="David" w:hAnsi="David" w:cs="David"/>
          <w:b/>
          <w:bCs/>
        </w:rPr>
        <w:t xml:space="preserve"> to about $</w:t>
      </w:r>
      <w:r w:rsidR="00D2632C" w:rsidRPr="00253946">
        <w:rPr>
          <w:rFonts w:ascii="David" w:hAnsi="David" w:cs="David"/>
          <w:b/>
          <w:bCs/>
        </w:rPr>
        <w:t>6</w:t>
      </w:r>
      <w:r w:rsidR="00D16998" w:rsidRPr="00253946">
        <w:rPr>
          <w:rFonts w:ascii="David" w:hAnsi="David" w:cs="David"/>
          <w:b/>
          <w:bCs/>
        </w:rPr>
        <w:t>62</w:t>
      </w:r>
      <w:r w:rsidR="00BA2CAD" w:rsidRPr="00253946">
        <w:rPr>
          <w:rFonts w:ascii="David" w:hAnsi="David" w:cs="David"/>
          <w:b/>
          <w:bCs/>
        </w:rPr>
        <w:t xml:space="preserve"> </w:t>
      </w:r>
      <w:r w:rsidR="00B6309A" w:rsidRPr="00253946">
        <w:rPr>
          <w:rFonts w:ascii="David" w:hAnsi="David" w:cs="David"/>
          <w:b/>
          <w:bCs/>
        </w:rPr>
        <w:t>billion</w:t>
      </w:r>
      <w:r w:rsidR="00E074A9" w:rsidRPr="00253946">
        <w:rPr>
          <w:rFonts w:ascii="David" w:hAnsi="David" w:cs="David"/>
          <w:b/>
          <w:bCs/>
        </w:rPr>
        <w:t xml:space="preserve"> at the end of</w:t>
      </w:r>
      <w:r w:rsidR="00D2632C" w:rsidRPr="00253946">
        <w:rPr>
          <w:rFonts w:ascii="David" w:hAnsi="David" w:cs="David"/>
          <w:b/>
          <w:bCs/>
        </w:rPr>
        <w:t xml:space="preserve"> </w:t>
      </w:r>
      <w:r w:rsidR="00D16998" w:rsidRPr="00253946">
        <w:rPr>
          <w:rFonts w:ascii="David" w:hAnsi="David" w:cs="David"/>
          <w:b/>
          <w:bCs/>
        </w:rPr>
        <w:t>September</w:t>
      </w:r>
      <w:r w:rsidR="006677F8" w:rsidRPr="00253946">
        <w:rPr>
          <w:rFonts w:ascii="David" w:hAnsi="David" w:cs="David"/>
          <w:b/>
          <w:bCs/>
        </w:rPr>
        <w:t>.</w:t>
      </w:r>
      <w:r w:rsidRPr="00253946">
        <w:rPr>
          <w:rFonts w:ascii="David" w:hAnsi="David" w:cs="David"/>
          <w:b/>
          <w:bCs/>
        </w:rPr>
        <w:t xml:space="preserve"> </w:t>
      </w:r>
      <w:r w:rsidR="001743E0" w:rsidRPr="00253946">
        <w:rPr>
          <w:rFonts w:ascii="David" w:hAnsi="David" w:cs="David"/>
          <w:b/>
          <w:bCs/>
        </w:rPr>
        <w:t xml:space="preserve">The </w:t>
      </w:r>
      <w:r w:rsidR="00D16998" w:rsidRPr="00253946">
        <w:rPr>
          <w:rFonts w:ascii="David" w:hAnsi="David" w:cs="David"/>
          <w:b/>
          <w:bCs/>
        </w:rPr>
        <w:t>de</w:t>
      </w:r>
      <w:bookmarkStart w:id="0" w:name="_GoBack"/>
      <w:bookmarkEnd w:id="0"/>
      <w:r w:rsidR="00D16998" w:rsidRPr="00253946">
        <w:rPr>
          <w:rFonts w:ascii="David" w:hAnsi="David" w:cs="David"/>
          <w:b/>
          <w:bCs/>
        </w:rPr>
        <w:t>clin</w:t>
      </w:r>
      <w:r w:rsidR="00D2632C" w:rsidRPr="00253946">
        <w:rPr>
          <w:rFonts w:ascii="David" w:hAnsi="David" w:cs="David"/>
          <w:b/>
          <w:bCs/>
        </w:rPr>
        <w:t>e</w:t>
      </w:r>
      <w:r w:rsidR="001743E0" w:rsidRPr="00253946">
        <w:rPr>
          <w:rFonts w:ascii="David" w:hAnsi="David" w:cs="David"/>
          <w:b/>
          <w:bCs/>
        </w:rPr>
        <w:t xml:space="preserve"> </w:t>
      </w:r>
      <w:r w:rsidR="00D2632C" w:rsidRPr="00253946">
        <w:rPr>
          <w:rFonts w:ascii="David" w:hAnsi="David" w:cs="David"/>
          <w:b/>
          <w:bCs/>
        </w:rPr>
        <w:t>was</w:t>
      </w:r>
      <w:r w:rsidR="001C40E9" w:rsidRPr="00253946">
        <w:rPr>
          <w:rFonts w:ascii="David" w:hAnsi="David" w:cs="David"/>
          <w:b/>
          <w:bCs/>
        </w:rPr>
        <w:t xml:space="preserve"> </w:t>
      </w:r>
      <w:r w:rsidR="00AB443F" w:rsidRPr="00253946">
        <w:rPr>
          <w:rFonts w:ascii="David" w:hAnsi="David" w:cs="David"/>
          <w:b/>
          <w:bCs/>
        </w:rPr>
        <w:t>mainly</w:t>
      </w:r>
      <w:r w:rsidR="002C7E33" w:rsidRPr="00253946">
        <w:rPr>
          <w:rFonts w:ascii="David" w:hAnsi="David" w:cs="David"/>
          <w:b/>
          <w:bCs/>
        </w:rPr>
        <w:t xml:space="preserve"> </w:t>
      </w:r>
      <w:r w:rsidR="00D2632C" w:rsidRPr="00253946">
        <w:rPr>
          <w:rFonts w:ascii="David" w:hAnsi="David" w:cs="David"/>
          <w:b/>
          <w:bCs/>
        </w:rPr>
        <w:t xml:space="preserve">due to a </w:t>
      </w:r>
      <w:r w:rsidR="00D16998" w:rsidRPr="00253946">
        <w:rPr>
          <w:rFonts w:ascii="David" w:hAnsi="David" w:cs="David"/>
          <w:b/>
          <w:bCs/>
        </w:rPr>
        <w:t>decline</w:t>
      </w:r>
      <w:r w:rsidR="00D2632C" w:rsidRPr="00253946">
        <w:rPr>
          <w:rFonts w:ascii="David" w:hAnsi="David" w:cs="David"/>
          <w:b/>
          <w:bCs/>
        </w:rPr>
        <w:t xml:space="preserve"> in</w:t>
      </w:r>
      <w:r w:rsidR="005E0707" w:rsidRPr="00253946">
        <w:rPr>
          <w:rFonts w:ascii="David" w:hAnsi="David" w:cs="David"/>
          <w:b/>
          <w:bCs/>
        </w:rPr>
        <w:t xml:space="preserve"> the </w:t>
      </w:r>
      <w:r w:rsidR="00A042FB" w:rsidRPr="00253946">
        <w:rPr>
          <w:rFonts w:ascii="David" w:hAnsi="David" w:cs="David"/>
          <w:b/>
          <w:bCs/>
        </w:rPr>
        <w:t>prices of foreign securities held by Israelis</w:t>
      </w:r>
      <w:r w:rsidR="000F6B5F" w:rsidRPr="00253946">
        <w:rPr>
          <w:rFonts w:ascii="David" w:hAnsi="David" w:cs="David"/>
          <w:b/>
          <w:bCs/>
        </w:rPr>
        <w:t xml:space="preserve">, </w:t>
      </w:r>
      <w:r w:rsidR="00D16998" w:rsidRPr="00253946">
        <w:rPr>
          <w:rFonts w:ascii="David" w:hAnsi="David" w:cs="David"/>
          <w:b/>
          <w:bCs/>
        </w:rPr>
        <w:t xml:space="preserve">which </w:t>
      </w:r>
      <w:proofErr w:type="gramStart"/>
      <w:r w:rsidR="00D16998" w:rsidRPr="00253946">
        <w:rPr>
          <w:rFonts w:ascii="David" w:hAnsi="David" w:cs="David"/>
          <w:b/>
          <w:bCs/>
        </w:rPr>
        <w:t>was partly offset</w:t>
      </w:r>
      <w:proofErr w:type="gramEnd"/>
      <w:r w:rsidR="00D16998" w:rsidRPr="00253946">
        <w:rPr>
          <w:rFonts w:ascii="David" w:hAnsi="David" w:cs="David"/>
          <w:b/>
          <w:bCs/>
        </w:rPr>
        <w:t xml:space="preserve"> by net investments</w:t>
      </w:r>
      <w:r w:rsidR="000F6B5F" w:rsidRPr="00253946">
        <w:rPr>
          <w:rFonts w:ascii="David" w:hAnsi="David" w:cs="David"/>
          <w:b/>
          <w:bCs/>
        </w:rPr>
        <w:t xml:space="preserve"> abroad by Israeli residents.</w:t>
      </w:r>
    </w:p>
    <w:p w:rsidR="007A1F22" w:rsidRPr="00253946" w:rsidRDefault="00926D84" w:rsidP="000027EA">
      <w:pPr>
        <w:pStyle w:val="regpar"/>
        <w:numPr>
          <w:ilvl w:val="0"/>
          <w:numId w:val="2"/>
        </w:numPr>
        <w:tabs>
          <w:tab w:val="clear" w:pos="720"/>
          <w:tab w:val="num" w:pos="360"/>
        </w:tabs>
        <w:ind w:left="360"/>
        <w:rPr>
          <w:rFonts w:ascii="David" w:hAnsi="David" w:cs="David"/>
          <w:b/>
          <w:bCs/>
        </w:rPr>
      </w:pPr>
      <w:r w:rsidRPr="00253946">
        <w:rPr>
          <w:rFonts w:ascii="David" w:hAnsi="David" w:cs="David"/>
          <w:b/>
          <w:bCs/>
        </w:rPr>
        <w:t>Outstanding liabilities to abroad</w:t>
      </w:r>
      <w:r w:rsidR="002C518C" w:rsidRPr="00253946">
        <w:rPr>
          <w:rFonts w:ascii="David" w:hAnsi="David" w:cs="David"/>
          <w:b/>
          <w:bCs/>
        </w:rPr>
        <w:t xml:space="preserve"> </w:t>
      </w:r>
      <w:proofErr w:type="gramStart"/>
      <w:r w:rsidR="00A042FB" w:rsidRPr="00253946">
        <w:rPr>
          <w:rFonts w:ascii="David" w:hAnsi="David" w:cs="David"/>
          <w:b/>
          <w:bCs/>
        </w:rPr>
        <w:t>increased</w:t>
      </w:r>
      <w:proofErr w:type="gramEnd"/>
      <w:r w:rsidR="00C71834" w:rsidRPr="00253946">
        <w:rPr>
          <w:rFonts w:ascii="David" w:hAnsi="David" w:cs="David"/>
          <w:b/>
          <w:bCs/>
        </w:rPr>
        <w:t xml:space="preserve"> </w:t>
      </w:r>
      <w:r w:rsidRPr="00253946">
        <w:rPr>
          <w:rFonts w:ascii="David" w:hAnsi="David" w:cs="David"/>
          <w:b/>
          <w:bCs/>
        </w:rPr>
        <w:t xml:space="preserve">by </w:t>
      </w:r>
      <w:r w:rsidR="009A3450" w:rsidRPr="00253946">
        <w:rPr>
          <w:rFonts w:ascii="David" w:hAnsi="David" w:cs="David"/>
          <w:b/>
          <w:bCs/>
        </w:rPr>
        <w:t>approximately $</w:t>
      </w:r>
      <w:r w:rsidR="00D16998" w:rsidRPr="00253946">
        <w:rPr>
          <w:rFonts w:ascii="David" w:hAnsi="David" w:cs="David"/>
          <w:b/>
          <w:bCs/>
        </w:rPr>
        <w:t>0</w:t>
      </w:r>
      <w:r w:rsidR="0077752A" w:rsidRPr="00253946">
        <w:rPr>
          <w:rFonts w:ascii="David" w:hAnsi="David" w:cs="David"/>
          <w:b/>
          <w:bCs/>
        </w:rPr>
        <w:t xml:space="preserve">.8 </w:t>
      </w:r>
      <w:r w:rsidR="009A3450" w:rsidRPr="00253946">
        <w:rPr>
          <w:rFonts w:ascii="David" w:hAnsi="David" w:cs="David"/>
          <w:b/>
          <w:bCs/>
        </w:rPr>
        <w:t>billion (</w:t>
      </w:r>
      <w:r w:rsidR="00D16998" w:rsidRPr="00253946">
        <w:rPr>
          <w:rFonts w:ascii="David" w:hAnsi="David" w:cs="David"/>
          <w:b/>
          <w:bCs/>
        </w:rPr>
        <w:t xml:space="preserve">about </w:t>
      </w:r>
      <w:r w:rsidR="0077752A" w:rsidRPr="00253946">
        <w:rPr>
          <w:rFonts w:ascii="David" w:hAnsi="David" w:cs="David"/>
          <w:b/>
          <w:bCs/>
        </w:rPr>
        <w:t>0.</w:t>
      </w:r>
      <w:r w:rsidR="00D16998" w:rsidRPr="00253946">
        <w:rPr>
          <w:rFonts w:ascii="David" w:hAnsi="David" w:cs="David"/>
          <w:b/>
          <w:bCs/>
        </w:rPr>
        <w:t>2</w:t>
      </w:r>
      <w:r w:rsidR="0077752A" w:rsidRPr="00253946">
        <w:rPr>
          <w:rFonts w:ascii="David" w:hAnsi="David" w:cs="David"/>
          <w:b/>
          <w:bCs/>
        </w:rPr>
        <w:t xml:space="preserve"> </w:t>
      </w:r>
      <w:r w:rsidR="009A3450" w:rsidRPr="00253946">
        <w:rPr>
          <w:rFonts w:ascii="David" w:hAnsi="David" w:cs="David"/>
          <w:b/>
          <w:bCs/>
        </w:rPr>
        <w:t>percent)</w:t>
      </w:r>
      <w:r w:rsidR="000027EA" w:rsidRPr="00253946">
        <w:rPr>
          <w:rFonts w:ascii="David" w:hAnsi="David" w:cs="David"/>
          <w:b/>
          <w:bCs/>
        </w:rPr>
        <w:t xml:space="preserve"> in the third quarter</w:t>
      </w:r>
      <w:r w:rsidR="00E074A9" w:rsidRPr="00253946">
        <w:rPr>
          <w:rFonts w:ascii="David" w:hAnsi="David" w:cs="David"/>
          <w:b/>
          <w:bCs/>
        </w:rPr>
        <w:t>, to about $</w:t>
      </w:r>
      <w:r w:rsidR="0077752A" w:rsidRPr="00253946">
        <w:rPr>
          <w:rFonts w:ascii="David" w:hAnsi="David" w:cs="David"/>
          <w:b/>
          <w:bCs/>
        </w:rPr>
        <w:t>4</w:t>
      </w:r>
      <w:r w:rsidR="00D16998" w:rsidRPr="00253946">
        <w:rPr>
          <w:rFonts w:ascii="David" w:hAnsi="David" w:cs="David"/>
          <w:b/>
          <w:bCs/>
        </w:rPr>
        <w:t>80</w:t>
      </w:r>
      <w:r w:rsidR="00734839" w:rsidRPr="00253946">
        <w:rPr>
          <w:rFonts w:ascii="David" w:hAnsi="David" w:cs="David"/>
          <w:b/>
          <w:bCs/>
        </w:rPr>
        <w:t xml:space="preserve"> </w:t>
      </w:r>
      <w:r w:rsidR="00E074A9" w:rsidRPr="00253946">
        <w:rPr>
          <w:rFonts w:ascii="David" w:hAnsi="David" w:cs="David"/>
          <w:b/>
          <w:bCs/>
        </w:rPr>
        <w:t xml:space="preserve">billion at the end of </w:t>
      </w:r>
      <w:r w:rsidR="006B0FD9" w:rsidRPr="00253946">
        <w:rPr>
          <w:rFonts w:ascii="David" w:hAnsi="David" w:cs="David"/>
          <w:b/>
          <w:bCs/>
        </w:rPr>
        <w:t>the quarter</w:t>
      </w:r>
      <w:r w:rsidR="0043764C" w:rsidRPr="00253946">
        <w:rPr>
          <w:rFonts w:ascii="David" w:hAnsi="David" w:cs="David"/>
          <w:b/>
          <w:bCs/>
        </w:rPr>
        <w:t>.</w:t>
      </w:r>
      <w:r w:rsidR="006B0FD9" w:rsidRPr="00253946">
        <w:rPr>
          <w:rFonts w:ascii="David" w:hAnsi="David" w:cs="David"/>
          <w:b/>
          <w:bCs/>
        </w:rPr>
        <w:t xml:space="preserve"> </w:t>
      </w:r>
      <w:r w:rsidR="00404DAF" w:rsidRPr="00253946">
        <w:rPr>
          <w:rFonts w:ascii="David" w:hAnsi="David" w:cs="David"/>
          <w:b/>
          <w:bCs/>
        </w:rPr>
        <w:t>T</w:t>
      </w:r>
      <w:r w:rsidR="001743E0" w:rsidRPr="00253946">
        <w:rPr>
          <w:rFonts w:ascii="David" w:hAnsi="David" w:cs="David"/>
          <w:b/>
          <w:bCs/>
        </w:rPr>
        <w:t xml:space="preserve">he </w:t>
      </w:r>
      <w:r w:rsidR="00A042FB" w:rsidRPr="00253946">
        <w:rPr>
          <w:rFonts w:ascii="David" w:hAnsi="David" w:cs="David"/>
          <w:b/>
          <w:bCs/>
        </w:rPr>
        <w:t>increas</w:t>
      </w:r>
      <w:r w:rsidR="00D2632C" w:rsidRPr="00253946">
        <w:rPr>
          <w:rFonts w:ascii="David" w:hAnsi="David" w:cs="David"/>
          <w:b/>
          <w:bCs/>
        </w:rPr>
        <w:t xml:space="preserve">e was </w:t>
      </w:r>
      <w:r w:rsidR="00404DAF" w:rsidRPr="00253946">
        <w:rPr>
          <w:rFonts w:ascii="David" w:hAnsi="David" w:cs="David"/>
          <w:b/>
          <w:bCs/>
        </w:rPr>
        <w:t xml:space="preserve">primarily </w:t>
      </w:r>
      <w:r w:rsidR="00D2632C" w:rsidRPr="00253946">
        <w:rPr>
          <w:rFonts w:ascii="David" w:hAnsi="David" w:cs="David"/>
          <w:b/>
          <w:bCs/>
        </w:rPr>
        <w:t xml:space="preserve">due to </w:t>
      </w:r>
      <w:r w:rsidR="00986490" w:rsidRPr="00253946">
        <w:rPr>
          <w:rFonts w:ascii="David" w:hAnsi="David" w:cs="David"/>
          <w:b/>
          <w:bCs/>
        </w:rPr>
        <w:t>net direct investments</w:t>
      </w:r>
      <w:r w:rsidR="00C60E39" w:rsidRPr="00253946">
        <w:rPr>
          <w:rFonts w:ascii="David" w:hAnsi="David" w:cs="David"/>
          <w:b/>
          <w:bCs/>
        </w:rPr>
        <w:t>.</w:t>
      </w:r>
      <w:r w:rsidR="007A1F22" w:rsidRPr="00253946">
        <w:rPr>
          <w:rFonts w:ascii="David" w:hAnsi="David" w:cs="David"/>
          <w:b/>
          <w:bCs/>
        </w:rPr>
        <w:t xml:space="preserve"> </w:t>
      </w:r>
    </w:p>
    <w:p w:rsidR="00DD15DC" w:rsidRPr="00253946" w:rsidRDefault="00173F17" w:rsidP="000027EA">
      <w:pPr>
        <w:pStyle w:val="regpar"/>
        <w:numPr>
          <w:ilvl w:val="0"/>
          <w:numId w:val="2"/>
        </w:numPr>
        <w:tabs>
          <w:tab w:val="clear" w:pos="720"/>
          <w:tab w:val="num" w:pos="360"/>
        </w:tabs>
        <w:ind w:left="360"/>
        <w:rPr>
          <w:rFonts w:ascii="David" w:hAnsi="David" w:cs="David"/>
          <w:b/>
          <w:bCs/>
        </w:rPr>
      </w:pPr>
      <w:r w:rsidRPr="00253946">
        <w:rPr>
          <w:rFonts w:ascii="David" w:hAnsi="David" w:cs="David"/>
          <w:b/>
          <w:bCs/>
        </w:rPr>
        <w:t>Israel</w:t>
      </w:r>
      <w:r w:rsidR="001D53BC" w:rsidRPr="00253946">
        <w:rPr>
          <w:rFonts w:ascii="David" w:hAnsi="David" w:cs="David"/>
          <w:b/>
          <w:bCs/>
        </w:rPr>
        <w:t>’s s</w:t>
      </w:r>
      <w:r w:rsidRPr="00253946">
        <w:rPr>
          <w:rFonts w:ascii="David" w:hAnsi="David" w:cs="David"/>
          <w:b/>
          <w:bCs/>
        </w:rPr>
        <w:t xml:space="preserve">urplus of assets over liabilities vis-à-vis abroad </w:t>
      </w:r>
      <w:r w:rsidR="00D16998" w:rsidRPr="00253946">
        <w:rPr>
          <w:rFonts w:ascii="David" w:hAnsi="David" w:cs="David"/>
          <w:b/>
          <w:bCs/>
        </w:rPr>
        <w:t>decline</w:t>
      </w:r>
      <w:r w:rsidR="00A042FB" w:rsidRPr="00253946">
        <w:rPr>
          <w:rFonts w:ascii="David" w:hAnsi="David" w:cs="David"/>
          <w:b/>
          <w:bCs/>
        </w:rPr>
        <w:t>d</w:t>
      </w:r>
      <w:r w:rsidR="00A12A93" w:rsidRPr="00253946">
        <w:rPr>
          <w:rFonts w:ascii="David" w:hAnsi="David" w:cs="David"/>
          <w:b/>
          <w:bCs/>
        </w:rPr>
        <w:t xml:space="preserve"> </w:t>
      </w:r>
      <w:r w:rsidR="00526B66" w:rsidRPr="00253946">
        <w:rPr>
          <w:rFonts w:ascii="David" w:hAnsi="David" w:cs="David"/>
          <w:b/>
          <w:bCs/>
        </w:rPr>
        <w:t>by approximately $</w:t>
      </w:r>
      <w:r w:rsidR="00D16998" w:rsidRPr="00253946">
        <w:rPr>
          <w:rFonts w:ascii="David" w:hAnsi="David" w:cs="David"/>
          <w:b/>
          <w:bCs/>
        </w:rPr>
        <w:t>9.7</w:t>
      </w:r>
      <w:r w:rsidR="0077752A" w:rsidRPr="00253946">
        <w:rPr>
          <w:rFonts w:ascii="David" w:hAnsi="David" w:cs="David"/>
          <w:b/>
          <w:bCs/>
        </w:rPr>
        <w:t xml:space="preserve"> </w:t>
      </w:r>
      <w:r w:rsidR="00526B66" w:rsidRPr="00253946">
        <w:rPr>
          <w:rFonts w:ascii="David" w:hAnsi="David" w:cs="David"/>
          <w:b/>
          <w:bCs/>
        </w:rPr>
        <w:t>billion (</w:t>
      </w:r>
      <w:r w:rsidR="00D16998" w:rsidRPr="00253946">
        <w:rPr>
          <w:rFonts w:ascii="David" w:hAnsi="David" w:cs="David"/>
          <w:b/>
          <w:bCs/>
        </w:rPr>
        <w:t>5.1</w:t>
      </w:r>
      <w:r w:rsidR="0077752A" w:rsidRPr="00253946">
        <w:rPr>
          <w:rFonts w:ascii="David" w:hAnsi="David" w:cs="David"/>
          <w:b/>
          <w:bCs/>
        </w:rPr>
        <w:t xml:space="preserve"> </w:t>
      </w:r>
      <w:r w:rsidR="00526B66" w:rsidRPr="00253946">
        <w:rPr>
          <w:rFonts w:ascii="David" w:hAnsi="David" w:cs="David"/>
          <w:b/>
          <w:bCs/>
        </w:rPr>
        <w:t>percent)</w:t>
      </w:r>
      <w:r w:rsidR="000027EA" w:rsidRPr="00253946">
        <w:rPr>
          <w:rFonts w:ascii="David" w:hAnsi="David" w:cs="David"/>
          <w:b/>
          <w:bCs/>
        </w:rPr>
        <w:t xml:space="preserve"> in the third quarter</w:t>
      </w:r>
      <w:r w:rsidRPr="00253946">
        <w:rPr>
          <w:rFonts w:ascii="David" w:hAnsi="David" w:cs="David"/>
          <w:b/>
          <w:bCs/>
        </w:rPr>
        <w:t>, to about $</w:t>
      </w:r>
      <w:r w:rsidR="0077752A" w:rsidRPr="00253946">
        <w:rPr>
          <w:rFonts w:ascii="David" w:hAnsi="David" w:cs="David"/>
          <w:b/>
          <w:bCs/>
        </w:rPr>
        <w:t>1</w:t>
      </w:r>
      <w:r w:rsidR="00D16998" w:rsidRPr="00253946">
        <w:rPr>
          <w:rFonts w:ascii="David" w:hAnsi="David" w:cs="David"/>
          <w:b/>
          <w:bCs/>
        </w:rPr>
        <w:t>8</w:t>
      </w:r>
      <w:r w:rsidR="0077752A" w:rsidRPr="00253946">
        <w:rPr>
          <w:rFonts w:ascii="David" w:hAnsi="David" w:cs="David"/>
          <w:b/>
          <w:bCs/>
        </w:rPr>
        <w:t xml:space="preserve">2 </w:t>
      </w:r>
      <w:r w:rsidRPr="00253946">
        <w:rPr>
          <w:rFonts w:ascii="David" w:hAnsi="David" w:cs="David"/>
          <w:b/>
          <w:bCs/>
        </w:rPr>
        <w:t xml:space="preserve">billion at the end of </w:t>
      </w:r>
      <w:r w:rsidR="006A15B1" w:rsidRPr="00253946">
        <w:rPr>
          <w:rFonts w:ascii="David" w:hAnsi="David" w:cs="David"/>
          <w:b/>
          <w:bCs/>
        </w:rPr>
        <w:t>the quarter</w:t>
      </w:r>
      <w:r w:rsidR="00404DAF" w:rsidRPr="00253946">
        <w:rPr>
          <w:rFonts w:ascii="David" w:hAnsi="David" w:cs="David"/>
          <w:b/>
          <w:bCs/>
        </w:rPr>
        <w:t>.</w:t>
      </w:r>
      <w:r w:rsidR="001D407E" w:rsidRPr="00253946">
        <w:rPr>
          <w:rFonts w:ascii="David" w:hAnsi="David" w:cs="David"/>
          <w:b/>
          <w:bCs/>
        </w:rPr>
        <w:t xml:space="preserve"> </w:t>
      </w:r>
    </w:p>
    <w:p w:rsidR="00200E59" w:rsidRPr="00253946" w:rsidRDefault="00200E59" w:rsidP="000027EA">
      <w:pPr>
        <w:pStyle w:val="regpar"/>
        <w:numPr>
          <w:ilvl w:val="0"/>
          <w:numId w:val="2"/>
        </w:numPr>
        <w:tabs>
          <w:tab w:val="clear" w:pos="720"/>
          <w:tab w:val="num" w:pos="360"/>
        </w:tabs>
        <w:ind w:left="360"/>
        <w:rPr>
          <w:rFonts w:ascii="David" w:hAnsi="David" w:cs="David"/>
          <w:b/>
          <w:bCs/>
        </w:rPr>
      </w:pPr>
      <w:r w:rsidRPr="00253946">
        <w:rPr>
          <w:rFonts w:ascii="David" w:hAnsi="David" w:cs="David"/>
          <w:b/>
          <w:bCs/>
        </w:rPr>
        <w:t xml:space="preserve">The surplus of assets over liabilities vis-à-vis abroad in debt instruments alone (negative net external debt) </w:t>
      </w:r>
      <w:r w:rsidR="00D16998" w:rsidRPr="00253946">
        <w:rPr>
          <w:rFonts w:ascii="David" w:hAnsi="David" w:cs="David"/>
          <w:b/>
          <w:bCs/>
        </w:rPr>
        <w:t>declin</w:t>
      </w:r>
      <w:r w:rsidR="00A042FB" w:rsidRPr="00253946">
        <w:rPr>
          <w:rFonts w:ascii="David" w:hAnsi="David" w:cs="David"/>
          <w:b/>
          <w:bCs/>
        </w:rPr>
        <w:t>ed</w:t>
      </w:r>
      <w:r w:rsidR="00387365" w:rsidRPr="00253946">
        <w:rPr>
          <w:rFonts w:ascii="David" w:hAnsi="David" w:cs="David"/>
          <w:b/>
          <w:bCs/>
        </w:rPr>
        <w:t xml:space="preserve"> by about $</w:t>
      </w:r>
      <w:r w:rsidR="00D16998" w:rsidRPr="00253946">
        <w:rPr>
          <w:rFonts w:ascii="David" w:hAnsi="David" w:cs="David"/>
          <w:b/>
          <w:bCs/>
        </w:rPr>
        <w:t>3.4</w:t>
      </w:r>
      <w:r w:rsidR="00D53A7A" w:rsidRPr="00253946">
        <w:rPr>
          <w:rFonts w:ascii="David" w:hAnsi="David" w:cs="David"/>
          <w:b/>
          <w:bCs/>
        </w:rPr>
        <w:t xml:space="preserve"> </w:t>
      </w:r>
      <w:r w:rsidR="00387365" w:rsidRPr="00253946">
        <w:rPr>
          <w:rFonts w:ascii="David" w:hAnsi="David" w:cs="David"/>
          <w:b/>
          <w:bCs/>
        </w:rPr>
        <w:t>billion (</w:t>
      </w:r>
      <w:r w:rsidR="00D53A7A" w:rsidRPr="00253946">
        <w:rPr>
          <w:rFonts w:ascii="David" w:hAnsi="David" w:cs="David"/>
          <w:b/>
          <w:bCs/>
        </w:rPr>
        <w:t>1.</w:t>
      </w:r>
      <w:r w:rsidR="00D16998" w:rsidRPr="00253946">
        <w:rPr>
          <w:rFonts w:ascii="David" w:hAnsi="David" w:cs="David"/>
          <w:b/>
          <w:bCs/>
        </w:rPr>
        <w:t>5</w:t>
      </w:r>
      <w:r w:rsidR="00D53A7A" w:rsidRPr="00253946">
        <w:rPr>
          <w:rFonts w:ascii="David" w:hAnsi="David" w:cs="David"/>
          <w:b/>
          <w:bCs/>
        </w:rPr>
        <w:t xml:space="preserve"> </w:t>
      </w:r>
      <w:r w:rsidR="00387365" w:rsidRPr="00253946">
        <w:rPr>
          <w:rFonts w:ascii="David" w:hAnsi="David" w:cs="David"/>
          <w:b/>
          <w:bCs/>
        </w:rPr>
        <w:t>percent)</w:t>
      </w:r>
      <w:r w:rsidR="000027EA" w:rsidRPr="00253946">
        <w:rPr>
          <w:rFonts w:ascii="David" w:hAnsi="David" w:cs="David"/>
          <w:b/>
          <w:bCs/>
        </w:rPr>
        <w:t xml:space="preserve"> during the third quarter</w:t>
      </w:r>
      <w:r w:rsidR="001743E0" w:rsidRPr="00253946">
        <w:rPr>
          <w:rFonts w:ascii="David" w:hAnsi="David" w:cs="David"/>
          <w:b/>
          <w:bCs/>
        </w:rPr>
        <w:t xml:space="preserve">, </w:t>
      </w:r>
      <w:r w:rsidR="00526B66" w:rsidRPr="00253946">
        <w:rPr>
          <w:rFonts w:ascii="David" w:hAnsi="David" w:cs="David"/>
          <w:b/>
          <w:bCs/>
        </w:rPr>
        <w:t xml:space="preserve">to </w:t>
      </w:r>
      <w:r w:rsidR="0005434B" w:rsidRPr="00253946">
        <w:rPr>
          <w:rFonts w:ascii="David" w:hAnsi="David" w:cs="David"/>
          <w:b/>
          <w:bCs/>
        </w:rPr>
        <w:t xml:space="preserve">approximately </w:t>
      </w:r>
      <w:r w:rsidRPr="00253946">
        <w:rPr>
          <w:rFonts w:ascii="David" w:hAnsi="David" w:cs="David"/>
          <w:b/>
          <w:bCs/>
        </w:rPr>
        <w:t>$</w:t>
      </w:r>
      <w:r w:rsidR="00A042FB" w:rsidRPr="00253946">
        <w:rPr>
          <w:rFonts w:ascii="David" w:hAnsi="David" w:cs="David"/>
          <w:b/>
          <w:bCs/>
        </w:rPr>
        <w:t>2</w:t>
      </w:r>
      <w:r w:rsidR="008A5A02" w:rsidRPr="00253946">
        <w:rPr>
          <w:rFonts w:ascii="David" w:hAnsi="David" w:cs="David"/>
          <w:b/>
          <w:bCs/>
        </w:rPr>
        <w:t>2</w:t>
      </w:r>
      <w:r w:rsidR="00D16998" w:rsidRPr="00253946">
        <w:rPr>
          <w:rFonts w:ascii="David" w:hAnsi="David" w:cs="David"/>
          <w:b/>
          <w:bCs/>
        </w:rPr>
        <w:t>0</w:t>
      </w:r>
      <w:r w:rsidR="00387365" w:rsidRPr="00253946">
        <w:rPr>
          <w:rFonts w:ascii="David" w:hAnsi="David" w:cs="David"/>
          <w:b/>
          <w:bCs/>
        </w:rPr>
        <w:t xml:space="preserve"> </w:t>
      </w:r>
      <w:r w:rsidR="00DC727C" w:rsidRPr="00253946">
        <w:rPr>
          <w:rFonts w:ascii="David" w:hAnsi="David" w:cs="David"/>
          <w:b/>
          <w:bCs/>
        </w:rPr>
        <w:t>billion</w:t>
      </w:r>
      <w:r w:rsidR="00487293" w:rsidRPr="00253946">
        <w:rPr>
          <w:rFonts w:ascii="David" w:hAnsi="David" w:cs="David"/>
          <w:b/>
          <w:bCs/>
        </w:rPr>
        <w:t xml:space="preserve"> at </w:t>
      </w:r>
      <w:r w:rsidR="00387365" w:rsidRPr="00253946">
        <w:rPr>
          <w:rFonts w:ascii="David" w:hAnsi="David" w:cs="David"/>
          <w:b/>
          <w:bCs/>
        </w:rPr>
        <w:t xml:space="preserve">the end of </w:t>
      </w:r>
      <w:r w:rsidR="00D16998" w:rsidRPr="00253946">
        <w:rPr>
          <w:rFonts w:ascii="David" w:hAnsi="David" w:cs="David"/>
          <w:b/>
          <w:bCs/>
        </w:rPr>
        <w:t>September</w:t>
      </w:r>
      <w:r w:rsidR="00542CEF" w:rsidRPr="00253946">
        <w:rPr>
          <w:rFonts w:ascii="David" w:hAnsi="David" w:cs="David"/>
          <w:b/>
          <w:bCs/>
        </w:rPr>
        <w:t>.</w:t>
      </w:r>
    </w:p>
    <w:p w:rsidR="00526B66" w:rsidRPr="00253946" w:rsidRDefault="00526B66" w:rsidP="00D16998">
      <w:pPr>
        <w:pStyle w:val="regpar"/>
        <w:numPr>
          <w:ilvl w:val="0"/>
          <w:numId w:val="2"/>
        </w:numPr>
        <w:tabs>
          <w:tab w:val="clear" w:pos="720"/>
          <w:tab w:val="num" w:pos="360"/>
        </w:tabs>
        <w:ind w:left="360"/>
        <w:rPr>
          <w:rFonts w:ascii="David" w:hAnsi="David" w:cs="David"/>
          <w:b/>
          <w:bCs/>
        </w:rPr>
      </w:pPr>
      <w:r w:rsidRPr="00253946">
        <w:rPr>
          <w:rFonts w:ascii="David" w:hAnsi="David" w:cs="David"/>
          <w:b/>
          <w:bCs/>
        </w:rPr>
        <w:t xml:space="preserve">The ratio of gross external debt to GDP </w:t>
      </w:r>
      <w:r w:rsidR="00D16998" w:rsidRPr="00253946">
        <w:rPr>
          <w:rFonts w:ascii="David" w:hAnsi="David" w:cs="David"/>
          <w:b/>
          <w:bCs/>
        </w:rPr>
        <w:t>increased</w:t>
      </w:r>
      <w:r w:rsidR="00B119F0" w:rsidRPr="00253946">
        <w:rPr>
          <w:rFonts w:ascii="David" w:hAnsi="David" w:cs="David"/>
          <w:b/>
          <w:bCs/>
        </w:rPr>
        <w:t xml:space="preserve"> </w:t>
      </w:r>
      <w:r w:rsidR="00D16998" w:rsidRPr="00253946">
        <w:rPr>
          <w:rFonts w:ascii="David" w:hAnsi="David" w:cs="David"/>
          <w:b/>
          <w:bCs/>
        </w:rPr>
        <w:t xml:space="preserve">by about 0.1 percentage points </w:t>
      </w:r>
      <w:r w:rsidR="00B119F0" w:rsidRPr="00253946">
        <w:rPr>
          <w:rFonts w:ascii="David" w:hAnsi="David" w:cs="David"/>
          <w:b/>
          <w:bCs/>
        </w:rPr>
        <w:t xml:space="preserve">in </w:t>
      </w:r>
      <w:r w:rsidRPr="00253946">
        <w:rPr>
          <w:rFonts w:ascii="David" w:hAnsi="David" w:cs="David"/>
          <w:b/>
          <w:bCs/>
        </w:rPr>
        <w:t xml:space="preserve">the </w:t>
      </w:r>
      <w:r w:rsidR="00D16998" w:rsidRPr="00253946">
        <w:rPr>
          <w:rFonts w:ascii="David" w:hAnsi="David" w:cs="David"/>
          <w:b/>
          <w:bCs/>
        </w:rPr>
        <w:t>thir</w:t>
      </w:r>
      <w:r w:rsidR="00BA2CAD" w:rsidRPr="00253946">
        <w:rPr>
          <w:rFonts w:ascii="David" w:hAnsi="David" w:cs="David"/>
          <w:b/>
          <w:bCs/>
        </w:rPr>
        <w:t>d</w:t>
      </w:r>
      <w:r w:rsidR="00B119F0" w:rsidRPr="00253946">
        <w:rPr>
          <w:rFonts w:ascii="David" w:hAnsi="David" w:cs="David"/>
          <w:b/>
          <w:bCs/>
        </w:rPr>
        <w:t xml:space="preserve"> </w:t>
      </w:r>
      <w:r w:rsidR="00CE7059" w:rsidRPr="00253946">
        <w:rPr>
          <w:rFonts w:ascii="David" w:hAnsi="David" w:cs="David"/>
          <w:b/>
          <w:bCs/>
        </w:rPr>
        <w:t>quarter</w:t>
      </w:r>
      <w:r w:rsidRPr="00253946">
        <w:rPr>
          <w:rFonts w:ascii="David" w:hAnsi="David" w:cs="David"/>
          <w:b/>
          <w:bCs/>
        </w:rPr>
        <w:t xml:space="preserve">, </w:t>
      </w:r>
      <w:r w:rsidR="00D16998" w:rsidRPr="00253946">
        <w:rPr>
          <w:rFonts w:ascii="David" w:hAnsi="David" w:cs="David"/>
          <w:b/>
          <w:bCs/>
        </w:rPr>
        <w:t>to</w:t>
      </w:r>
      <w:r w:rsidR="00B119F0" w:rsidRPr="00253946">
        <w:rPr>
          <w:rFonts w:ascii="David" w:hAnsi="David" w:cs="David"/>
          <w:b/>
          <w:bCs/>
        </w:rPr>
        <w:t xml:space="preserve"> </w:t>
      </w:r>
      <w:r w:rsidR="005E0707" w:rsidRPr="00253946">
        <w:rPr>
          <w:rFonts w:ascii="David" w:hAnsi="David" w:cs="David"/>
          <w:b/>
          <w:bCs/>
        </w:rPr>
        <w:t xml:space="preserve">about </w:t>
      </w:r>
      <w:r w:rsidR="00D53A7A" w:rsidRPr="00253946">
        <w:rPr>
          <w:rFonts w:ascii="David" w:hAnsi="David" w:cs="David"/>
          <w:b/>
          <w:bCs/>
        </w:rPr>
        <w:t xml:space="preserve">30.2 </w:t>
      </w:r>
      <w:r w:rsidRPr="00253946">
        <w:rPr>
          <w:rFonts w:ascii="David" w:hAnsi="David" w:cs="David"/>
          <w:b/>
          <w:bCs/>
        </w:rPr>
        <w:t xml:space="preserve">percent at the end of </w:t>
      </w:r>
      <w:r w:rsidR="00D16998" w:rsidRPr="00253946">
        <w:rPr>
          <w:rFonts w:ascii="David" w:hAnsi="David" w:cs="David"/>
          <w:b/>
          <w:bCs/>
        </w:rPr>
        <w:t>September</w:t>
      </w:r>
      <w:r w:rsidRPr="00253946">
        <w:rPr>
          <w:rFonts w:ascii="David" w:hAnsi="David" w:cs="David"/>
          <w:b/>
          <w:bCs/>
        </w:rPr>
        <w:t>.</w:t>
      </w:r>
    </w:p>
    <w:p w:rsidR="001743E0" w:rsidRPr="00253946" w:rsidRDefault="001743E0" w:rsidP="001743E0">
      <w:pPr>
        <w:pStyle w:val="regpar"/>
        <w:ind w:left="360" w:firstLine="0"/>
        <w:rPr>
          <w:rFonts w:ascii="David" w:hAnsi="David" w:cs="David"/>
          <w:b/>
          <w:bCs/>
        </w:rPr>
      </w:pPr>
    </w:p>
    <w:p w:rsidR="00903E7A" w:rsidRPr="00253946" w:rsidRDefault="00200E59" w:rsidP="00200E59">
      <w:pPr>
        <w:pStyle w:val="regpar"/>
        <w:ind w:left="360" w:firstLine="0"/>
        <w:rPr>
          <w:rFonts w:ascii="David" w:hAnsi="David" w:cs="David"/>
          <w:b/>
          <w:bCs/>
        </w:rPr>
      </w:pPr>
      <w:r w:rsidRPr="00253946">
        <w:rPr>
          <w:rFonts w:ascii="David" w:hAnsi="David" w:cs="David"/>
          <w:b/>
          <w:bCs/>
        </w:rPr>
        <w:t xml:space="preserve"> </w:t>
      </w:r>
    </w:p>
    <w:p w:rsidR="00903E7A" w:rsidRPr="00253946" w:rsidRDefault="00903E7A">
      <w:pPr>
        <w:bidi w:val="0"/>
        <w:rPr>
          <w:rFonts w:ascii="David" w:hAnsi="David" w:cs="David"/>
          <w:b/>
          <w:bCs/>
        </w:rPr>
      </w:pPr>
      <w:r w:rsidRPr="00253946">
        <w:rPr>
          <w:rFonts w:ascii="David" w:hAnsi="David" w:cs="David"/>
          <w:b/>
          <w:bCs/>
        </w:rPr>
        <w:br w:type="page"/>
      </w:r>
    </w:p>
    <w:p w:rsidR="00DD15DC" w:rsidRPr="00253946" w:rsidRDefault="00DD15DC" w:rsidP="00200E59">
      <w:pPr>
        <w:pStyle w:val="regpar"/>
        <w:ind w:left="360" w:firstLine="0"/>
        <w:rPr>
          <w:rFonts w:ascii="David" w:hAnsi="David" w:cs="David"/>
          <w:b/>
          <w:bCs/>
        </w:rPr>
      </w:pPr>
    </w:p>
    <w:p w:rsidR="00FD7D38" w:rsidRPr="00253946" w:rsidRDefault="00FD7D38" w:rsidP="00597DAB">
      <w:pPr>
        <w:pStyle w:val="af3"/>
        <w:rPr>
          <w:rFonts w:ascii="David" w:hAnsi="David"/>
          <w:u w:val="none"/>
          <w:rtl/>
        </w:rPr>
      </w:pPr>
      <w:r w:rsidRPr="00253946">
        <w:rPr>
          <w:rFonts w:ascii="David" w:hAnsi="David"/>
          <w:u w:val="none"/>
        </w:rPr>
        <w:t xml:space="preserve">Table 1: Asset and liability balances, and changes </w:t>
      </w:r>
      <w:r w:rsidR="0064729F" w:rsidRPr="00253946">
        <w:rPr>
          <w:rFonts w:ascii="David" w:hAnsi="David"/>
          <w:u w:val="none"/>
        </w:rPr>
        <w:t>in them</w:t>
      </w:r>
    </w:p>
    <w:p w:rsidR="00DD15DC" w:rsidRPr="00253946" w:rsidRDefault="00DD15DC" w:rsidP="00DD15DC">
      <w:pPr>
        <w:pStyle w:val="regpar"/>
        <w:ind w:firstLine="0"/>
        <w:rPr>
          <w:rFonts w:ascii="David" w:hAnsi="David" w:cs="David"/>
          <w:b/>
          <w:bCs/>
        </w:rPr>
      </w:pPr>
    </w:p>
    <w:p w:rsidR="00DD15DC" w:rsidRPr="00253946" w:rsidRDefault="006863C7" w:rsidP="00132C46">
      <w:pPr>
        <w:autoSpaceDE w:val="0"/>
        <w:autoSpaceDN w:val="0"/>
        <w:adjustRightInd w:val="0"/>
        <w:ind w:left="-477"/>
        <w:jc w:val="center"/>
        <w:rPr>
          <w:rFonts w:ascii="David" w:hAnsi="David" w:cs="David"/>
          <w:rtl/>
        </w:rPr>
      </w:pPr>
      <w:r w:rsidRPr="00253946">
        <w:rPr>
          <w:rFonts w:ascii="David" w:hAnsi="David" w:cs="David"/>
          <w:noProof/>
          <w:rtl/>
        </w:rPr>
        <w:drawing>
          <wp:inline distT="0" distB="0" distL="0" distR="0">
            <wp:extent cx="6176927" cy="2798859"/>
            <wp:effectExtent l="0" t="0" r="0" b="190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1606" cy="2810042"/>
                    </a:xfrm>
                    <a:prstGeom prst="rect">
                      <a:avLst/>
                    </a:prstGeom>
                    <a:noFill/>
                    <a:ln>
                      <a:noFill/>
                    </a:ln>
                  </pic:spPr>
                </pic:pic>
              </a:graphicData>
            </a:graphic>
          </wp:inline>
        </w:drawing>
      </w:r>
    </w:p>
    <w:p w:rsidR="00903E7A" w:rsidRPr="00253946" w:rsidRDefault="00903E7A" w:rsidP="00DD15DC">
      <w:pPr>
        <w:autoSpaceDE w:val="0"/>
        <w:autoSpaceDN w:val="0"/>
        <w:adjustRightInd w:val="0"/>
        <w:rPr>
          <w:rFonts w:ascii="David" w:hAnsi="David" w:cs="David"/>
          <w:rtl/>
        </w:rPr>
      </w:pPr>
    </w:p>
    <w:p w:rsidR="00DD15DC" w:rsidRPr="00253946" w:rsidRDefault="00DD15DC" w:rsidP="00DD15DC">
      <w:pPr>
        <w:pStyle w:val="regpar"/>
        <w:ind w:firstLine="0"/>
        <w:rPr>
          <w:rFonts w:ascii="David" w:hAnsi="David" w:cs="David"/>
          <w:b/>
          <w:bCs/>
        </w:rPr>
      </w:pPr>
    </w:p>
    <w:p w:rsidR="00763F37" w:rsidRPr="00253946" w:rsidRDefault="00763F37" w:rsidP="003020E4">
      <w:pPr>
        <w:pStyle w:val="regpar"/>
        <w:numPr>
          <w:ilvl w:val="0"/>
          <w:numId w:val="4"/>
        </w:numPr>
        <w:rPr>
          <w:rFonts w:ascii="David" w:hAnsi="David" w:cs="David"/>
          <w:b/>
          <w:bCs/>
        </w:rPr>
      </w:pPr>
      <w:r w:rsidRPr="00253946">
        <w:rPr>
          <w:rFonts w:ascii="David" w:hAnsi="David" w:cs="David"/>
          <w:b/>
          <w:bCs/>
        </w:rPr>
        <w:t>The</w:t>
      </w:r>
      <w:r w:rsidR="003020E4" w:rsidRPr="00253946">
        <w:rPr>
          <w:rFonts w:ascii="David" w:hAnsi="David" w:cs="David"/>
          <w:b/>
          <w:bCs/>
        </w:rPr>
        <w:t xml:space="preserve"> balance</w:t>
      </w:r>
      <w:r w:rsidRPr="00253946">
        <w:rPr>
          <w:rFonts w:ascii="David" w:hAnsi="David" w:cs="David"/>
          <w:b/>
          <w:bCs/>
        </w:rPr>
        <w:t xml:space="preserve"> of Israel’s assets abroad</w:t>
      </w:r>
    </w:p>
    <w:p w:rsidR="00C45BD6" w:rsidRPr="00253946" w:rsidRDefault="00793279" w:rsidP="00D16998">
      <w:pPr>
        <w:pStyle w:val="regpar"/>
        <w:ind w:firstLine="0"/>
        <w:rPr>
          <w:rFonts w:ascii="David" w:hAnsi="David" w:cs="David"/>
        </w:rPr>
      </w:pPr>
      <w:r w:rsidRPr="00253946">
        <w:rPr>
          <w:rFonts w:ascii="David" w:hAnsi="David" w:cs="David"/>
        </w:rPr>
        <w:t xml:space="preserve">In the </w:t>
      </w:r>
      <w:r w:rsidR="00D16998" w:rsidRPr="00253946">
        <w:rPr>
          <w:rFonts w:ascii="David" w:hAnsi="David" w:cs="David"/>
        </w:rPr>
        <w:t>third</w:t>
      </w:r>
      <w:r w:rsidR="00CE7059" w:rsidRPr="00253946">
        <w:rPr>
          <w:rFonts w:ascii="David" w:hAnsi="David" w:cs="David"/>
        </w:rPr>
        <w:t xml:space="preserve"> quarter</w:t>
      </w:r>
      <w:r w:rsidR="00D2632C" w:rsidRPr="00253946">
        <w:rPr>
          <w:rFonts w:ascii="David" w:hAnsi="David" w:cs="David"/>
        </w:rPr>
        <w:t xml:space="preserve"> of </w:t>
      </w:r>
      <w:r w:rsidR="00F53574" w:rsidRPr="00253946">
        <w:rPr>
          <w:rFonts w:ascii="David" w:hAnsi="David" w:cs="David"/>
        </w:rPr>
        <w:t>2023</w:t>
      </w:r>
      <w:r w:rsidRPr="00253946">
        <w:rPr>
          <w:rFonts w:ascii="David" w:hAnsi="David" w:cs="David"/>
        </w:rPr>
        <w:t xml:space="preserve">, </w:t>
      </w:r>
      <w:r w:rsidR="005D04F7" w:rsidRPr="00253946">
        <w:rPr>
          <w:rFonts w:ascii="David" w:hAnsi="David" w:cs="David"/>
        </w:rPr>
        <w:t xml:space="preserve">the </w:t>
      </w:r>
      <w:r w:rsidR="007B399E" w:rsidRPr="00253946">
        <w:rPr>
          <w:rFonts w:ascii="David" w:hAnsi="David" w:cs="David"/>
        </w:rPr>
        <w:t xml:space="preserve">value of the </w:t>
      </w:r>
      <w:r w:rsidRPr="00253946">
        <w:rPr>
          <w:rFonts w:ascii="David" w:hAnsi="David" w:cs="David"/>
        </w:rPr>
        <w:t xml:space="preserve">assets held abroad by Israeli residents </w:t>
      </w:r>
      <w:r w:rsidR="00D16998" w:rsidRPr="00253946">
        <w:rPr>
          <w:rFonts w:ascii="David" w:hAnsi="David" w:cs="David"/>
        </w:rPr>
        <w:t>declin</w:t>
      </w:r>
      <w:r w:rsidR="006D7FE6" w:rsidRPr="00253946">
        <w:rPr>
          <w:rFonts w:ascii="David" w:hAnsi="David" w:cs="David"/>
        </w:rPr>
        <w:t>ed</w:t>
      </w:r>
      <w:r w:rsidRPr="00253946">
        <w:rPr>
          <w:rFonts w:ascii="David" w:hAnsi="David" w:cs="David"/>
        </w:rPr>
        <w:t xml:space="preserve"> by about $</w:t>
      </w:r>
      <w:r w:rsidR="00D16998" w:rsidRPr="00253946">
        <w:rPr>
          <w:rFonts w:ascii="David" w:hAnsi="David" w:cs="David"/>
        </w:rPr>
        <w:t>8.9</w:t>
      </w:r>
      <w:r w:rsidR="00920B56" w:rsidRPr="00253946">
        <w:rPr>
          <w:rFonts w:ascii="David" w:hAnsi="David" w:cs="David"/>
        </w:rPr>
        <w:t xml:space="preserve"> </w:t>
      </w:r>
      <w:r w:rsidRPr="00253946">
        <w:rPr>
          <w:rFonts w:ascii="David" w:hAnsi="David" w:cs="David"/>
        </w:rPr>
        <w:t>billion (</w:t>
      </w:r>
      <w:r w:rsidR="00D16998" w:rsidRPr="00253946">
        <w:rPr>
          <w:rFonts w:ascii="David" w:hAnsi="David" w:cs="David"/>
        </w:rPr>
        <w:t>about 1.3</w:t>
      </w:r>
      <w:r w:rsidR="00920B56" w:rsidRPr="00253946">
        <w:rPr>
          <w:rFonts w:ascii="David" w:hAnsi="David" w:cs="David"/>
        </w:rPr>
        <w:t xml:space="preserve"> </w:t>
      </w:r>
      <w:r w:rsidRPr="00253946">
        <w:rPr>
          <w:rFonts w:ascii="David" w:hAnsi="David" w:cs="David"/>
        </w:rPr>
        <w:t xml:space="preserve">percent) to </w:t>
      </w:r>
      <w:r w:rsidR="00504BC5" w:rsidRPr="00253946">
        <w:rPr>
          <w:rFonts w:ascii="David" w:hAnsi="David" w:cs="David"/>
        </w:rPr>
        <w:t xml:space="preserve">approximately </w:t>
      </w:r>
      <w:r w:rsidRPr="00253946">
        <w:rPr>
          <w:rFonts w:ascii="David" w:hAnsi="David" w:cs="David"/>
        </w:rPr>
        <w:t>$</w:t>
      </w:r>
      <w:r w:rsidR="00920B56" w:rsidRPr="00253946">
        <w:rPr>
          <w:rFonts w:ascii="David" w:hAnsi="David" w:cs="David"/>
        </w:rPr>
        <w:t>6</w:t>
      </w:r>
      <w:r w:rsidR="00D16998" w:rsidRPr="00253946">
        <w:rPr>
          <w:rFonts w:ascii="David" w:hAnsi="David" w:cs="David"/>
        </w:rPr>
        <w:t>62</w:t>
      </w:r>
      <w:r w:rsidR="00920B56" w:rsidRPr="00253946">
        <w:rPr>
          <w:rFonts w:ascii="David" w:hAnsi="David" w:cs="David"/>
        </w:rPr>
        <w:t xml:space="preserve"> </w:t>
      </w:r>
      <w:r w:rsidR="00EC7931" w:rsidRPr="00253946">
        <w:rPr>
          <w:rFonts w:ascii="David" w:hAnsi="David" w:cs="David"/>
        </w:rPr>
        <w:t>b</w:t>
      </w:r>
      <w:r w:rsidRPr="00253946">
        <w:rPr>
          <w:rFonts w:ascii="David" w:hAnsi="David" w:cs="David"/>
        </w:rPr>
        <w:t xml:space="preserve">illion at the end of </w:t>
      </w:r>
      <w:r w:rsidR="00D16998" w:rsidRPr="00253946">
        <w:rPr>
          <w:rFonts w:ascii="David" w:hAnsi="David" w:cs="David"/>
        </w:rPr>
        <w:t>September</w:t>
      </w:r>
      <w:r w:rsidR="00517C50" w:rsidRPr="00253946">
        <w:rPr>
          <w:rFonts w:ascii="David" w:hAnsi="David" w:cs="David"/>
        </w:rPr>
        <w:t xml:space="preserve">. </w:t>
      </w:r>
    </w:p>
    <w:p w:rsidR="00403674" w:rsidRPr="00253946" w:rsidRDefault="00403674" w:rsidP="00403674">
      <w:pPr>
        <w:pStyle w:val="regpar"/>
        <w:ind w:firstLine="0"/>
        <w:rPr>
          <w:rFonts w:ascii="David" w:hAnsi="David" w:cs="David"/>
        </w:rPr>
      </w:pPr>
    </w:p>
    <w:p w:rsidR="00C12D14" w:rsidRPr="00253946" w:rsidRDefault="00CA56A4" w:rsidP="000027EA">
      <w:pPr>
        <w:pStyle w:val="regpar"/>
        <w:numPr>
          <w:ilvl w:val="0"/>
          <w:numId w:val="6"/>
        </w:numPr>
        <w:ind w:left="426"/>
        <w:rPr>
          <w:rFonts w:ascii="David" w:hAnsi="David" w:cs="David"/>
        </w:rPr>
      </w:pPr>
      <w:r w:rsidRPr="00253946">
        <w:rPr>
          <w:rFonts w:ascii="David" w:hAnsi="David" w:cs="David"/>
          <w:b/>
          <w:bCs/>
        </w:rPr>
        <w:t>The value of direct investment</w:t>
      </w:r>
      <w:r w:rsidR="00B15E6B" w:rsidRPr="00253946">
        <w:rPr>
          <w:rFonts w:ascii="David" w:hAnsi="David" w:cs="David"/>
          <w:b/>
          <w:bCs/>
        </w:rPr>
        <w:t>s</w:t>
      </w:r>
      <w:r w:rsidRPr="00253946">
        <w:rPr>
          <w:rFonts w:ascii="David" w:hAnsi="David" w:cs="David"/>
          <w:b/>
          <w:bCs/>
        </w:rPr>
        <w:t xml:space="preserve"> </w:t>
      </w:r>
      <w:r w:rsidR="00272D24" w:rsidRPr="00253946">
        <w:rPr>
          <w:rFonts w:ascii="David" w:hAnsi="David" w:cs="David"/>
        </w:rPr>
        <w:t>increased</w:t>
      </w:r>
      <w:r w:rsidR="00272D24" w:rsidRPr="00253946">
        <w:rPr>
          <w:rFonts w:ascii="David" w:hAnsi="David" w:cs="David"/>
          <w:b/>
          <w:bCs/>
        </w:rPr>
        <w:t xml:space="preserve"> </w:t>
      </w:r>
      <w:r w:rsidR="00272D24" w:rsidRPr="00253946">
        <w:rPr>
          <w:rFonts w:ascii="David" w:hAnsi="David" w:cs="David"/>
        </w:rPr>
        <w:t>by about $</w:t>
      </w:r>
      <w:r w:rsidR="005E0707" w:rsidRPr="00253946">
        <w:rPr>
          <w:rFonts w:ascii="David" w:hAnsi="David" w:cs="David"/>
        </w:rPr>
        <w:t>2</w:t>
      </w:r>
      <w:r w:rsidR="00D16998" w:rsidRPr="00253946">
        <w:rPr>
          <w:rFonts w:ascii="David" w:hAnsi="David" w:cs="David"/>
        </w:rPr>
        <w:t>.6</w:t>
      </w:r>
      <w:r w:rsidR="00E262B2" w:rsidRPr="00253946">
        <w:rPr>
          <w:rFonts w:ascii="David" w:hAnsi="David" w:cs="David"/>
        </w:rPr>
        <w:t xml:space="preserve"> </w:t>
      </w:r>
      <w:r w:rsidR="00272D24" w:rsidRPr="00253946">
        <w:rPr>
          <w:rFonts w:ascii="David" w:hAnsi="David" w:cs="David"/>
        </w:rPr>
        <w:t>billion</w:t>
      </w:r>
      <w:r w:rsidR="003039D5" w:rsidRPr="00253946">
        <w:rPr>
          <w:rFonts w:ascii="David" w:hAnsi="David" w:cs="David"/>
        </w:rPr>
        <w:t xml:space="preserve"> (approximately 2</w:t>
      </w:r>
      <w:r w:rsidR="00D16998" w:rsidRPr="00253946">
        <w:rPr>
          <w:rFonts w:ascii="David" w:hAnsi="David" w:cs="David"/>
        </w:rPr>
        <w:t>.5</w:t>
      </w:r>
      <w:r w:rsidR="00E262B2" w:rsidRPr="00253946">
        <w:rPr>
          <w:rFonts w:ascii="David" w:hAnsi="David" w:cs="David"/>
        </w:rPr>
        <w:t xml:space="preserve"> </w:t>
      </w:r>
      <w:r w:rsidR="003039D5" w:rsidRPr="00253946">
        <w:rPr>
          <w:rFonts w:ascii="David" w:hAnsi="David" w:cs="David"/>
        </w:rPr>
        <w:t>percent)</w:t>
      </w:r>
      <w:r w:rsidR="000027EA" w:rsidRPr="00253946">
        <w:rPr>
          <w:rFonts w:ascii="David" w:hAnsi="David" w:cs="David"/>
        </w:rPr>
        <w:t xml:space="preserve"> in the third quarter</w:t>
      </w:r>
      <w:r w:rsidR="00272D24" w:rsidRPr="00253946">
        <w:rPr>
          <w:rFonts w:ascii="David" w:hAnsi="David" w:cs="David"/>
        </w:rPr>
        <w:t xml:space="preserve">, </w:t>
      </w:r>
      <w:r w:rsidRPr="00253946">
        <w:rPr>
          <w:rFonts w:ascii="David" w:hAnsi="David" w:cs="David"/>
        </w:rPr>
        <w:t xml:space="preserve">mainly </w:t>
      </w:r>
      <w:proofErr w:type="gramStart"/>
      <w:r w:rsidR="00FC69CC" w:rsidRPr="00253946">
        <w:rPr>
          <w:rFonts w:ascii="David" w:hAnsi="David" w:cs="David"/>
        </w:rPr>
        <w:t xml:space="preserve">as </w:t>
      </w:r>
      <w:r w:rsidRPr="00253946">
        <w:rPr>
          <w:rFonts w:ascii="David" w:hAnsi="David" w:cs="David"/>
        </w:rPr>
        <w:t>a result</w:t>
      </w:r>
      <w:proofErr w:type="gramEnd"/>
      <w:r w:rsidRPr="00253946">
        <w:rPr>
          <w:rFonts w:ascii="David" w:hAnsi="David" w:cs="David"/>
        </w:rPr>
        <w:t xml:space="preserve"> of </w:t>
      </w:r>
      <w:r w:rsidR="000027EA" w:rsidRPr="00253946">
        <w:rPr>
          <w:rFonts w:ascii="David" w:hAnsi="David" w:cs="David"/>
        </w:rPr>
        <w:t>reinvested</w:t>
      </w:r>
      <w:r w:rsidR="00877547" w:rsidRPr="00253946">
        <w:rPr>
          <w:rFonts w:ascii="David" w:hAnsi="David" w:cs="David"/>
        </w:rPr>
        <w:t xml:space="preserve"> earnings</w:t>
      </w:r>
      <w:r w:rsidR="00272D24" w:rsidRPr="00253946">
        <w:rPr>
          <w:rFonts w:ascii="David" w:hAnsi="David" w:cs="David"/>
        </w:rPr>
        <w:t>.</w:t>
      </w:r>
    </w:p>
    <w:p w:rsidR="002211DF" w:rsidRPr="00253946" w:rsidRDefault="00C12D14" w:rsidP="000027EA">
      <w:pPr>
        <w:pStyle w:val="regpar"/>
        <w:numPr>
          <w:ilvl w:val="0"/>
          <w:numId w:val="6"/>
        </w:numPr>
        <w:ind w:left="426"/>
        <w:rPr>
          <w:rFonts w:ascii="David" w:hAnsi="David" w:cs="David"/>
        </w:rPr>
      </w:pPr>
      <w:r w:rsidRPr="00253946">
        <w:rPr>
          <w:rFonts w:ascii="David" w:hAnsi="David" w:cs="David"/>
          <w:b/>
          <w:bCs/>
        </w:rPr>
        <w:t>The value of the securities portfolio</w:t>
      </w:r>
      <w:r w:rsidRPr="00253946">
        <w:rPr>
          <w:rFonts w:ascii="David" w:hAnsi="David" w:cs="David"/>
        </w:rPr>
        <w:t xml:space="preserve"> </w:t>
      </w:r>
      <w:r w:rsidR="00D16998" w:rsidRPr="00253946">
        <w:rPr>
          <w:rFonts w:ascii="David" w:hAnsi="David" w:cs="David"/>
        </w:rPr>
        <w:t>declin</w:t>
      </w:r>
      <w:r w:rsidRPr="00253946">
        <w:rPr>
          <w:rFonts w:ascii="David" w:hAnsi="David" w:cs="David"/>
        </w:rPr>
        <w:t>ed by about $</w:t>
      </w:r>
      <w:r w:rsidR="00E262B2" w:rsidRPr="00253946">
        <w:rPr>
          <w:rFonts w:ascii="David" w:hAnsi="David" w:cs="David"/>
        </w:rPr>
        <w:t>5</w:t>
      </w:r>
      <w:r w:rsidR="00D16998" w:rsidRPr="00253946">
        <w:rPr>
          <w:rFonts w:ascii="David" w:hAnsi="David" w:cs="David"/>
        </w:rPr>
        <w:t>.1</w:t>
      </w:r>
      <w:r w:rsidR="00E262B2" w:rsidRPr="00253946">
        <w:rPr>
          <w:rFonts w:ascii="David" w:hAnsi="David" w:cs="David"/>
        </w:rPr>
        <w:t xml:space="preserve"> </w:t>
      </w:r>
      <w:r w:rsidRPr="00253946">
        <w:rPr>
          <w:rFonts w:ascii="David" w:hAnsi="David" w:cs="David"/>
        </w:rPr>
        <w:t>billion (</w:t>
      </w:r>
      <w:r w:rsidR="004D4A21" w:rsidRPr="00253946">
        <w:rPr>
          <w:rFonts w:ascii="David" w:hAnsi="David" w:cs="David"/>
        </w:rPr>
        <w:t xml:space="preserve">about </w:t>
      </w:r>
      <w:r w:rsidR="00D16998" w:rsidRPr="00253946">
        <w:rPr>
          <w:rFonts w:ascii="David" w:hAnsi="David" w:cs="David"/>
        </w:rPr>
        <w:t>2.3</w:t>
      </w:r>
      <w:r w:rsidR="00E262B2" w:rsidRPr="00253946">
        <w:rPr>
          <w:rFonts w:ascii="David" w:hAnsi="David" w:cs="David"/>
        </w:rPr>
        <w:t xml:space="preserve"> </w:t>
      </w:r>
      <w:r w:rsidRPr="00253946">
        <w:rPr>
          <w:rFonts w:ascii="David" w:hAnsi="David" w:cs="David"/>
        </w:rPr>
        <w:t xml:space="preserve">percent) </w:t>
      </w:r>
      <w:r w:rsidR="000027EA" w:rsidRPr="00253946">
        <w:rPr>
          <w:rFonts w:ascii="David" w:hAnsi="David" w:cs="David"/>
        </w:rPr>
        <w:t xml:space="preserve">during the third quarter, </w:t>
      </w:r>
      <w:r w:rsidRPr="00253946">
        <w:rPr>
          <w:rFonts w:ascii="David" w:hAnsi="David" w:cs="David"/>
        </w:rPr>
        <w:t xml:space="preserve">mainly as a result of </w:t>
      </w:r>
      <w:r w:rsidR="00D41724" w:rsidRPr="00253946">
        <w:rPr>
          <w:rFonts w:ascii="David" w:hAnsi="David" w:cs="David"/>
        </w:rPr>
        <w:t xml:space="preserve">price </w:t>
      </w:r>
      <w:r w:rsidR="00D16998" w:rsidRPr="00253946">
        <w:rPr>
          <w:rFonts w:ascii="David" w:hAnsi="David" w:cs="David"/>
        </w:rPr>
        <w:t>declin</w:t>
      </w:r>
      <w:r w:rsidR="00D41724" w:rsidRPr="00253946">
        <w:rPr>
          <w:rFonts w:ascii="David" w:hAnsi="David" w:cs="David"/>
        </w:rPr>
        <w:t>es on for</w:t>
      </w:r>
      <w:r w:rsidR="00362CDB" w:rsidRPr="00253946">
        <w:rPr>
          <w:rFonts w:ascii="David" w:hAnsi="David" w:cs="David"/>
        </w:rPr>
        <w:t>eign securities held by Israeli residents.</w:t>
      </w:r>
    </w:p>
    <w:p w:rsidR="00AD0477" w:rsidRPr="00253946" w:rsidRDefault="00D41724" w:rsidP="00D16998">
      <w:pPr>
        <w:pStyle w:val="regpar"/>
        <w:ind w:left="426" w:firstLine="0"/>
        <w:rPr>
          <w:rFonts w:ascii="David" w:hAnsi="David" w:cs="David"/>
        </w:rPr>
      </w:pPr>
      <w:r w:rsidRPr="00253946">
        <w:rPr>
          <w:rFonts w:ascii="David" w:hAnsi="David" w:cs="David"/>
        </w:rPr>
        <w:t xml:space="preserve">During the </w:t>
      </w:r>
      <w:r w:rsidR="00D16998" w:rsidRPr="00253946">
        <w:rPr>
          <w:rFonts w:ascii="David" w:hAnsi="David" w:cs="David"/>
        </w:rPr>
        <w:t>thir</w:t>
      </w:r>
      <w:r w:rsidR="00BA2CAD" w:rsidRPr="00253946">
        <w:rPr>
          <w:rFonts w:ascii="David" w:hAnsi="David" w:cs="David"/>
        </w:rPr>
        <w:t>d</w:t>
      </w:r>
      <w:r w:rsidR="00CE7059" w:rsidRPr="00253946">
        <w:rPr>
          <w:rFonts w:ascii="David" w:hAnsi="David" w:cs="David"/>
        </w:rPr>
        <w:t xml:space="preserve"> quarter</w:t>
      </w:r>
      <w:r w:rsidRPr="00253946">
        <w:rPr>
          <w:rFonts w:ascii="David" w:hAnsi="David" w:cs="David"/>
        </w:rPr>
        <w:t xml:space="preserve">, there were </w:t>
      </w:r>
      <w:r w:rsidR="00D16998" w:rsidRPr="00253946">
        <w:rPr>
          <w:rFonts w:ascii="David" w:hAnsi="David" w:cs="David"/>
        </w:rPr>
        <w:t xml:space="preserve">negligible </w:t>
      </w:r>
      <w:r w:rsidR="00E05C9A" w:rsidRPr="00253946">
        <w:rPr>
          <w:rFonts w:ascii="David" w:hAnsi="David" w:cs="David"/>
        </w:rPr>
        <w:t xml:space="preserve">net </w:t>
      </w:r>
      <w:r w:rsidR="00D16998" w:rsidRPr="00253946">
        <w:rPr>
          <w:rFonts w:ascii="David" w:hAnsi="David" w:cs="David"/>
        </w:rPr>
        <w:t xml:space="preserve">realizations </w:t>
      </w:r>
      <w:r w:rsidRPr="00253946">
        <w:rPr>
          <w:rFonts w:ascii="David" w:hAnsi="David" w:cs="David"/>
        </w:rPr>
        <w:t>in the securities portfolio abroad</w:t>
      </w:r>
      <w:r w:rsidR="00D16998" w:rsidRPr="00253946">
        <w:rPr>
          <w:rFonts w:ascii="David" w:hAnsi="David" w:cs="David"/>
        </w:rPr>
        <w:t xml:space="preserve">. Institutional investors realized investments in foreign securities totaling about $1.3 billion, which </w:t>
      </w:r>
      <w:proofErr w:type="gramStart"/>
      <w:r w:rsidR="00D16998" w:rsidRPr="00253946">
        <w:rPr>
          <w:rFonts w:ascii="David" w:hAnsi="David" w:cs="David"/>
        </w:rPr>
        <w:t>were fully offset</w:t>
      </w:r>
      <w:proofErr w:type="gramEnd"/>
      <w:r w:rsidR="00D16998" w:rsidRPr="00253946">
        <w:rPr>
          <w:rFonts w:ascii="David" w:hAnsi="David" w:cs="David"/>
        </w:rPr>
        <w:t xml:space="preserve"> by investments from other sectors</w:t>
      </w:r>
      <w:r w:rsidR="00445B51" w:rsidRPr="00253946">
        <w:rPr>
          <w:rFonts w:ascii="David" w:hAnsi="David" w:cs="David"/>
        </w:rPr>
        <w:t xml:space="preserve"> (Figure 1).</w:t>
      </w:r>
    </w:p>
    <w:p w:rsidR="00243AAE" w:rsidRPr="00253946" w:rsidRDefault="00243AAE" w:rsidP="00BB001C">
      <w:pPr>
        <w:bidi w:val="0"/>
        <w:rPr>
          <w:rFonts w:ascii="David" w:hAnsi="David" w:cs="David"/>
        </w:rPr>
      </w:pPr>
    </w:p>
    <w:p w:rsidR="00BB001C" w:rsidRPr="00253946" w:rsidRDefault="00F56A33" w:rsidP="00132C46">
      <w:pPr>
        <w:bidi w:val="0"/>
        <w:jc w:val="center"/>
        <w:rPr>
          <w:rFonts w:ascii="David" w:hAnsi="David" w:cs="David"/>
        </w:rPr>
      </w:pPr>
      <w:r w:rsidRPr="00253946">
        <w:rPr>
          <w:rFonts w:ascii="David" w:hAnsi="David" w:cs="David"/>
          <w:noProof/>
        </w:rPr>
        <w:drawing>
          <wp:inline distT="0" distB="0" distL="0" distR="0" wp14:anchorId="2263B65F">
            <wp:extent cx="4085137" cy="2571052"/>
            <wp:effectExtent l="0" t="0" r="0" b="127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6412" cy="2590735"/>
                    </a:xfrm>
                    <a:prstGeom prst="rect">
                      <a:avLst/>
                    </a:prstGeom>
                    <a:noFill/>
                  </pic:spPr>
                </pic:pic>
              </a:graphicData>
            </a:graphic>
          </wp:inline>
        </w:drawing>
      </w:r>
    </w:p>
    <w:p w:rsidR="00BB001C" w:rsidRPr="00253946" w:rsidRDefault="00132C46" w:rsidP="00BB001C">
      <w:pPr>
        <w:bidi w:val="0"/>
        <w:rPr>
          <w:rFonts w:ascii="David" w:hAnsi="David" w:cs="David"/>
        </w:rPr>
      </w:pPr>
      <w:r w:rsidRPr="00253946">
        <w:rPr>
          <w:rFonts w:ascii="David" w:hAnsi="David" w:cs="David"/>
          <w:noProof/>
        </w:rPr>
        <mc:AlternateContent>
          <mc:Choice Requires="wps">
            <w:drawing>
              <wp:anchor distT="45720" distB="45720" distL="114300" distR="114300" simplePos="0" relativeHeight="251664384" behindDoc="0" locked="0" layoutInCell="1" allowOverlap="1">
                <wp:simplePos x="0" y="0"/>
                <wp:positionH relativeFrom="column">
                  <wp:posOffset>668655</wp:posOffset>
                </wp:positionH>
                <wp:positionV relativeFrom="paragraph">
                  <wp:posOffset>15240</wp:posOffset>
                </wp:positionV>
                <wp:extent cx="2869565" cy="219075"/>
                <wp:effectExtent l="0" t="0" r="698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19075"/>
                        </a:xfrm>
                        <a:prstGeom prst="rect">
                          <a:avLst/>
                        </a:prstGeom>
                        <a:solidFill>
                          <a:srgbClr val="FFFFFF"/>
                        </a:solidFill>
                        <a:ln w="9525">
                          <a:noFill/>
                          <a:miter lim="800000"/>
                          <a:headEnd/>
                          <a:tailEnd/>
                        </a:ln>
                      </wps:spPr>
                      <wps:txbx>
                        <w:txbxContent>
                          <w:p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65pt;margin-top:1.2pt;width:225.95pt;height: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0KIgIAAB0EAAAOAAAAZHJzL2Uyb0RvYy54bWysU9uO2yAQfa/Uf0C8N74oTjZWnNU221SV&#10;tttKu/0AjHGMCowLJHb69R1wNpu2b1V5QAwzczhzZljfjlqRo7BOgqloNkspEYZDI82+ot+ed+9u&#10;KHGemYYpMKKiJ+Ho7ebtm/XQlyKHDlQjLEEQ48qhr2jnfV8mieOd0MzNoBcGnS1YzTyadp80lg2I&#10;rlWSp+kiGcA2vQUunMPb+8lJNxG/bQX3X9rWCU9URZGbj7uNex32ZLNm5d6yvpP8TIP9AwvNpMFH&#10;L1D3zDNysPIvKC25BQetn3HQCbSt5CLWgNVk6R/VPHWsF7EWFMf1F5nc/4Plj8evlsimonm2pMQw&#10;jU16FqMn72EkedBn6F2JYU89BvoRr7HPsVbXPwD/7oiBbcfMXtxZC0MnWIP8spCZXKVOOC6A1MNn&#10;aPAZdvAQgcbW6iAeykEQHft0uvQmUOF4md8sVsWioISjL89W6bKIT7DyJbu3zn8UoEk4VNRi7yM6&#10;Oz44H9iw8iUkPOZAyWYnlYqG3ddbZcmR4Zzs4jqj/xamDBkquiryIiIbCPlxhLT0OMdK6orepGGF&#10;dFYGNT6YJp49k2o6IxNlzvIERSZt/FiPGBg0q6E5oVAWpnnF/4WHDuxPSgac1Yq6HwdmBSXqk0Gx&#10;V9l8HoY7GvNimaNhrz31tYcZjlAV9ZRMx62PHyLwNXCHTWll1OuVyZkrzmCU8fxfwpBf2zHq9Vdv&#10;fgEAAP//AwBQSwMEFAAGAAgAAAAhAOEdgjHdAAAACAEAAA8AAABkcnMvZG93bnJldi54bWxMj0FP&#10;g0AUhO8m/ofNM/Fi7CItYClLoyYar639AQ/2FUjZt4TdFvrvXU/2OJnJzDfFdja9uNDoOssKXhYR&#10;COLa6o4bBYefz+dXEM4ja+wtk4IrOdiW93cF5tpOvKPL3jcilLDLUUHr/ZBL6eqWDLqFHYiDd7Sj&#10;QR/k2Eg94hTKTS/jKEqlwY7DQosDfbRUn/Zno+D4PT0l66n68odst0rfscsqe1Xq8WF+24DwNPv/&#10;MPzhB3QoA1Nlz6yd6IOOkmWIKohXIIKfJFkMolKwTNcgy0LeHih/AQAA//8DAFBLAQItABQABgAI&#10;AAAAIQC2gziS/gAAAOEBAAATAAAAAAAAAAAAAAAAAAAAAABbQ29udGVudF9UeXBlc10ueG1sUEsB&#10;Ai0AFAAGAAgAAAAhADj9If/WAAAAlAEAAAsAAAAAAAAAAAAAAAAALwEAAF9yZWxzLy5yZWxzUEsB&#10;Ai0AFAAGAAgAAAAhACstnQoiAgAAHQQAAA4AAAAAAAAAAAAAAAAALgIAAGRycy9lMm9Eb2MueG1s&#10;UEsBAi0AFAAGAAgAAAAhAOEdgjHdAAAACAEAAA8AAAAAAAAAAAAAAAAAfAQAAGRycy9kb3ducmV2&#10;LnhtbFBLBQYAAAAABAAEAPMAAACGBQAAAAA=&#10;" stroked="f">
                <v:textbox>
                  <w:txbxContent>
                    <w:p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v:shape>
            </w:pict>
          </mc:Fallback>
        </mc:AlternateContent>
      </w:r>
    </w:p>
    <w:p w:rsidR="00BB001C" w:rsidRPr="00253946" w:rsidRDefault="00BB001C" w:rsidP="00BB001C">
      <w:pPr>
        <w:bidi w:val="0"/>
        <w:rPr>
          <w:rFonts w:ascii="David" w:hAnsi="David" w:cs="David"/>
        </w:rPr>
      </w:pPr>
    </w:p>
    <w:p w:rsidR="00DD15DC" w:rsidRPr="00253946" w:rsidRDefault="00DD15DC" w:rsidP="00EC7C36">
      <w:pPr>
        <w:pStyle w:val="regpar"/>
        <w:numPr>
          <w:ilvl w:val="0"/>
          <w:numId w:val="7"/>
        </w:numPr>
        <w:ind w:left="426"/>
        <w:rPr>
          <w:rFonts w:ascii="David" w:hAnsi="David" w:cs="David"/>
        </w:rPr>
      </w:pPr>
      <w:r w:rsidRPr="00253946">
        <w:rPr>
          <w:rFonts w:ascii="David" w:hAnsi="David" w:cs="David"/>
          <w:b/>
          <w:bCs/>
        </w:rPr>
        <w:lastRenderedPageBreak/>
        <w:t xml:space="preserve">The value of other investments </w:t>
      </w:r>
      <w:r w:rsidRPr="00253946">
        <w:rPr>
          <w:rFonts w:ascii="David" w:hAnsi="David" w:cs="David"/>
        </w:rPr>
        <w:t xml:space="preserve">abroad </w:t>
      </w:r>
      <w:r w:rsidR="00D41724" w:rsidRPr="00253946">
        <w:rPr>
          <w:rFonts w:ascii="David" w:hAnsi="David" w:cs="David"/>
        </w:rPr>
        <w:t>increased</w:t>
      </w:r>
      <w:r w:rsidR="007324D1" w:rsidRPr="00253946">
        <w:rPr>
          <w:rFonts w:ascii="David" w:hAnsi="David" w:cs="David"/>
        </w:rPr>
        <w:t xml:space="preserve"> </w:t>
      </w:r>
      <w:r w:rsidR="005B20D3" w:rsidRPr="00253946">
        <w:rPr>
          <w:rFonts w:ascii="David" w:hAnsi="David" w:cs="David"/>
        </w:rPr>
        <w:t>by about $</w:t>
      </w:r>
      <w:r w:rsidR="009F1B3F" w:rsidRPr="00253946">
        <w:rPr>
          <w:rFonts w:ascii="David" w:hAnsi="David" w:cs="David"/>
        </w:rPr>
        <w:t>0.</w:t>
      </w:r>
      <w:r w:rsidR="00D16998" w:rsidRPr="00253946">
        <w:rPr>
          <w:rFonts w:ascii="David" w:hAnsi="David" w:cs="David"/>
        </w:rPr>
        <w:t>3</w:t>
      </w:r>
      <w:r w:rsidR="009F1B3F" w:rsidRPr="00253946">
        <w:rPr>
          <w:rFonts w:ascii="David" w:hAnsi="David" w:cs="David"/>
        </w:rPr>
        <w:t xml:space="preserve"> </w:t>
      </w:r>
      <w:r w:rsidR="005B20D3" w:rsidRPr="00253946">
        <w:rPr>
          <w:rFonts w:ascii="David" w:hAnsi="David" w:cs="David"/>
        </w:rPr>
        <w:t>billion (</w:t>
      </w:r>
      <w:r w:rsidR="00D16998" w:rsidRPr="00253946">
        <w:rPr>
          <w:rFonts w:ascii="David" w:hAnsi="David" w:cs="David"/>
        </w:rPr>
        <w:t xml:space="preserve">about </w:t>
      </w:r>
      <w:r w:rsidR="009F1B3F" w:rsidRPr="00253946">
        <w:rPr>
          <w:rFonts w:ascii="David" w:hAnsi="David" w:cs="David"/>
        </w:rPr>
        <w:t>0.</w:t>
      </w:r>
      <w:r w:rsidR="00D16998" w:rsidRPr="00253946">
        <w:rPr>
          <w:rFonts w:ascii="David" w:hAnsi="David" w:cs="David"/>
        </w:rPr>
        <w:t>2</w:t>
      </w:r>
      <w:r w:rsidR="005E761E" w:rsidRPr="00253946">
        <w:rPr>
          <w:rFonts w:ascii="David" w:hAnsi="David" w:cs="David"/>
        </w:rPr>
        <w:t xml:space="preserve"> </w:t>
      </w:r>
      <w:r w:rsidR="005B20D3" w:rsidRPr="00253946">
        <w:rPr>
          <w:rFonts w:ascii="David" w:hAnsi="David" w:cs="David"/>
        </w:rPr>
        <w:t>percent)</w:t>
      </w:r>
      <w:r w:rsidR="00C95E5D" w:rsidRPr="00253946">
        <w:rPr>
          <w:rFonts w:ascii="David" w:hAnsi="David" w:cs="David"/>
        </w:rPr>
        <w:t xml:space="preserve"> in the </w:t>
      </w:r>
      <w:r w:rsidR="00D16998" w:rsidRPr="00253946">
        <w:rPr>
          <w:rFonts w:ascii="David" w:hAnsi="David" w:cs="David"/>
        </w:rPr>
        <w:t>third</w:t>
      </w:r>
      <w:r w:rsidR="00CE7059" w:rsidRPr="00253946">
        <w:rPr>
          <w:rFonts w:ascii="David" w:hAnsi="David" w:cs="David"/>
        </w:rPr>
        <w:t xml:space="preserve"> quarter</w:t>
      </w:r>
      <w:r w:rsidR="005C4BAB" w:rsidRPr="00253946">
        <w:rPr>
          <w:rFonts w:ascii="David" w:hAnsi="David" w:cs="David"/>
        </w:rPr>
        <w:t xml:space="preserve">. The increase derived mainly from </w:t>
      </w:r>
      <w:r w:rsidR="00EC7C36" w:rsidRPr="00253946">
        <w:rPr>
          <w:rFonts w:ascii="David" w:hAnsi="David" w:cs="David"/>
        </w:rPr>
        <w:t xml:space="preserve">deposits abroad by Israelis (including banks) totaling about $1.6 billion, and from investments in other assets totaling about $1.5 billion, mainly by institutional investors in foreign investment funds.  These investments </w:t>
      </w:r>
      <w:proofErr w:type="gramStart"/>
      <w:r w:rsidR="00EC7C36" w:rsidRPr="00253946">
        <w:rPr>
          <w:rFonts w:ascii="David" w:hAnsi="David" w:cs="David"/>
        </w:rPr>
        <w:t>were fully offset</w:t>
      </w:r>
      <w:proofErr w:type="gramEnd"/>
      <w:r w:rsidR="00EC7C36" w:rsidRPr="00253946">
        <w:rPr>
          <w:rFonts w:ascii="David" w:hAnsi="David" w:cs="David"/>
        </w:rPr>
        <w:t xml:space="preserve"> by a decline in customer credit.</w:t>
      </w:r>
      <w:r w:rsidR="00D03187" w:rsidRPr="00253946">
        <w:rPr>
          <w:rFonts w:ascii="David" w:hAnsi="David" w:cs="David"/>
        </w:rPr>
        <w:t xml:space="preserve"> </w:t>
      </w:r>
    </w:p>
    <w:p w:rsidR="00335A9E" w:rsidRPr="00253946" w:rsidRDefault="00D34C57" w:rsidP="000027EA">
      <w:pPr>
        <w:pStyle w:val="regpar"/>
        <w:numPr>
          <w:ilvl w:val="0"/>
          <w:numId w:val="7"/>
        </w:numPr>
        <w:ind w:left="426"/>
        <w:rPr>
          <w:rFonts w:ascii="David" w:hAnsi="David" w:cs="David"/>
        </w:rPr>
      </w:pPr>
      <w:r w:rsidRPr="00253946">
        <w:rPr>
          <w:rFonts w:ascii="David" w:hAnsi="David" w:cs="David"/>
          <w:b/>
          <w:bCs/>
        </w:rPr>
        <w:t>The value of reserve</w:t>
      </w:r>
      <w:r w:rsidR="00DA4066" w:rsidRPr="00253946">
        <w:rPr>
          <w:rFonts w:ascii="David" w:hAnsi="David" w:cs="David"/>
          <w:b/>
          <w:bCs/>
        </w:rPr>
        <w:t xml:space="preserve"> assets </w:t>
      </w:r>
      <w:r w:rsidR="00EC7C36" w:rsidRPr="00253946">
        <w:rPr>
          <w:rFonts w:ascii="David" w:hAnsi="David" w:cs="David"/>
          <w:b/>
          <w:bCs/>
        </w:rPr>
        <w:t>declin</w:t>
      </w:r>
      <w:r w:rsidR="00D41724" w:rsidRPr="00253946">
        <w:rPr>
          <w:rFonts w:ascii="David" w:hAnsi="David" w:cs="David"/>
          <w:b/>
          <w:bCs/>
        </w:rPr>
        <w:t>ed</w:t>
      </w:r>
      <w:r w:rsidR="0079583C" w:rsidRPr="00253946">
        <w:rPr>
          <w:rFonts w:ascii="David" w:hAnsi="David" w:cs="David"/>
        </w:rPr>
        <w:t xml:space="preserve"> by about $</w:t>
      </w:r>
      <w:r w:rsidR="00EC7C36" w:rsidRPr="00253946">
        <w:rPr>
          <w:rFonts w:ascii="David" w:hAnsi="David" w:cs="David"/>
        </w:rPr>
        <w:t>3.3</w:t>
      </w:r>
      <w:r w:rsidR="005E761E" w:rsidRPr="00253946">
        <w:rPr>
          <w:rFonts w:ascii="David" w:hAnsi="David" w:cs="David"/>
        </w:rPr>
        <w:t xml:space="preserve"> </w:t>
      </w:r>
      <w:r w:rsidR="0079583C" w:rsidRPr="00253946">
        <w:rPr>
          <w:rFonts w:ascii="David" w:hAnsi="David" w:cs="David"/>
        </w:rPr>
        <w:t>billion (</w:t>
      </w:r>
      <w:r w:rsidR="009727DF" w:rsidRPr="00253946">
        <w:rPr>
          <w:rFonts w:ascii="David" w:hAnsi="David" w:cs="David"/>
        </w:rPr>
        <w:t xml:space="preserve">about </w:t>
      </w:r>
      <w:r w:rsidR="00EC7C36" w:rsidRPr="00253946">
        <w:rPr>
          <w:rFonts w:ascii="David" w:hAnsi="David" w:cs="David"/>
        </w:rPr>
        <w:t>1.6</w:t>
      </w:r>
      <w:r w:rsidR="005E761E" w:rsidRPr="00253946">
        <w:rPr>
          <w:rFonts w:ascii="David" w:hAnsi="David" w:cs="David"/>
        </w:rPr>
        <w:t xml:space="preserve"> </w:t>
      </w:r>
      <w:r w:rsidR="0079583C" w:rsidRPr="00253946">
        <w:rPr>
          <w:rFonts w:ascii="David" w:hAnsi="David" w:cs="David"/>
        </w:rPr>
        <w:t>perc</w:t>
      </w:r>
      <w:r w:rsidR="00D204CA" w:rsidRPr="00253946">
        <w:rPr>
          <w:rFonts w:ascii="David" w:hAnsi="David" w:cs="David"/>
        </w:rPr>
        <w:t>e</w:t>
      </w:r>
      <w:r w:rsidR="0079583C" w:rsidRPr="00253946">
        <w:rPr>
          <w:rFonts w:ascii="David" w:hAnsi="David" w:cs="David"/>
        </w:rPr>
        <w:t>nt)</w:t>
      </w:r>
      <w:r w:rsidR="000027EA" w:rsidRPr="00253946">
        <w:rPr>
          <w:rFonts w:ascii="David" w:hAnsi="David" w:cs="David"/>
        </w:rPr>
        <w:t xml:space="preserve"> during the third quarter</w:t>
      </w:r>
      <w:r w:rsidR="007F3AB4" w:rsidRPr="00253946">
        <w:rPr>
          <w:rFonts w:ascii="David" w:hAnsi="David" w:cs="David"/>
        </w:rPr>
        <w:t xml:space="preserve">, </w:t>
      </w:r>
      <w:r w:rsidR="00281D82" w:rsidRPr="00253946">
        <w:rPr>
          <w:rFonts w:ascii="David" w:hAnsi="David" w:cs="David"/>
        </w:rPr>
        <w:t xml:space="preserve">to </w:t>
      </w:r>
      <w:r w:rsidR="005E7885" w:rsidRPr="00253946">
        <w:rPr>
          <w:rFonts w:ascii="David" w:hAnsi="David" w:cs="David"/>
        </w:rPr>
        <w:t xml:space="preserve">about </w:t>
      </w:r>
      <w:r w:rsidRPr="00253946">
        <w:rPr>
          <w:rFonts w:ascii="David" w:hAnsi="David" w:cs="David"/>
        </w:rPr>
        <w:t>$</w:t>
      </w:r>
      <w:r w:rsidR="00EC7C36" w:rsidRPr="00253946">
        <w:rPr>
          <w:rFonts w:ascii="David" w:hAnsi="David" w:cs="David"/>
        </w:rPr>
        <w:t>199</w:t>
      </w:r>
      <w:r w:rsidR="00075965" w:rsidRPr="00253946">
        <w:rPr>
          <w:rFonts w:ascii="David" w:hAnsi="David" w:cs="David"/>
        </w:rPr>
        <w:t xml:space="preserve"> </w:t>
      </w:r>
      <w:r w:rsidR="00335A9E" w:rsidRPr="00253946">
        <w:rPr>
          <w:rFonts w:ascii="David" w:hAnsi="David" w:cs="David"/>
        </w:rPr>
        <w:t>b</w:t>
      </w:r>
      <w:r w:rsidRPr="00253946">
        <w:rPr>
          <w:rFonts w:ascii="David" w:hAnsi="David" w:cs="David"/>
        </w:rPr>
        <w:t>illion at the end of</w:t>
      </w:r>
      <w:r w:rsidR="005E761E" w:rsidRPr="00253946">
        <w:rPr>
          <w:rFonts w:ascii="David" w:hAnsi="David" w:cs="David"/>
        </w:rPr>
        <w:t xml:space="preserve"> </w:t>
      </w:r>
      <w:r w:rsidR="00EC7C36" w:rsidRPr="00253946">
        <w:rPr>
          <w:rFonts w:ascii="David" w:hAnsi="David" w:cs="David"/>
        </w:rPr>
        <w:t>September</w:t>
      </w:r>
      <w:r w:rsidRPr="00253946">
        <w:rPr>
          <w:rFonts w:ascii="David" w:hAnsi="David" w:cs="David"/>
        </w:rPr>
        <w:t>.</w:t>
      </w:r>
      <w:r w:rsidR="00A82D15" w:rsidRPr="00253946">
        <w:rPr>
          <w:rFonts w:ascii="David" w:hAnsi="David" w:cs="David"/>
        </w:rPr>
        <w:t xml:space="preserve"> </w:t>
      </w:r>
      <w:r w:rsidR="00281D82" w:rsidRPr="00253946">
        <w:rPr>
          <w:rFonts w:ascii="David" w:hAnsi="David" w:cs="David"/>
        </w:rPr>
        <w:t xml:space="preserve">The </w:t>
      </w:r>
      <w:r w:rsidR="00EC7C36" w:rsidRPr="00253946">
        <w:rPr>
          <w:rFonts w:ascii="David" w:hAnsi="David" w:cs="David"/>
        </w:rPr>
        <w:t>declin</w:t>
      </w:r>
      <w:r w:rsidR="003A2DAE" w:rsidRPr="00253946">
        <w:rPr>
          <w:rFonts w:ascii="David" w:hAnsi="David" w:cs="David"/>
        </w:rPr>
        <w:t xml:space="preserve">e derived mainly from </w:t>
      </w:r>
      <w:r w:rsidR="00D41724" w:rsidRPr="00253946">
        <w:rPr>
          <w:rFonts w:ascii="David" w:hAnsi="David" w:cs="David"/>
        </w:rPr>
        <w:t xml:space="preserve">price </w:t>
      </w:r>
      <w:r w:rsidR="00EC7C36" w:rsidRPr="00253946">
        <w:rPr>
          <w:rFonts w:ascii="David" w:hAnsi="David" w:cs="David"/>
        </w:rPr>
        <w:t>decline</w:t>
      </w:r>
      <w:r w:rsidR="00D41724" w:rsidRPr="00253946">
        <w:rPr>
          <w:rFonts w:ascii="David" w:hAnsi="David" w:cs="David"/>
        </w:rPr>
        <w:t>s totaling about $</w:t>
      </w:r>
      <w:r w:rsidR="00EC7C36" w:rsidRPr="00253946">
        <w:rPr>
          <w:rFonts w:ascii="David" w:hAnsi="David" w:cs="David"/>
        </w:rPr>
        <w:t>2.3</w:t>
      </w:r>
      <w:r w:rsidR="002D07A8" w:rsidRPr="00253946">
        <w:rPr>
          <w:rFonts w:ascii="David" w:hAnsi="David" w:cs="David"/>
        </w:rPr>
        <w:t xml:space="preserve"> </w:t>
      </w:r>
      <w:r w:rsidR="00D41724" w:rsidRPr="00253946">
        <w:rPr>
          <w:rFonts w:ascii="David" w:hAnsi="David" w:cs="David"/>
        </w:rPr>
        <w:t>billion</w:t>
      </w:r>
      <w:r w:rsidR="00310434" w:rsidRPr="00253946">
        <w:rPr>
          <w:rFonts w:ascii="David" w:hAnsi="David" w:cs="David"/>
        </w:rPr>
        <w:t>.</w:t>
      </w:r>
      <w:r w:rsidR="00AF4B99" w:rsidRPr="00253946">
        <w:rPr>
          <w:rFonts w:ascii="David" w:hAnsi="David" w:cs="David"/>
        </w:rPr>
        <w:t xml:space="preserve"> </w:t>
      </w:r>
    </w:p>
    <w:p w:rsidR="00DD15DC" w:rsidRPr="00253946" w:rsidRDefault="00DD15DC" w:rsidP="00EC7C36">
      <w:pPr>
        <w:pStyle w:val="regpar"/>
        <w:numPr>
          <w:ilvl w:val="0"/>
          <w:numId w:val="7"/>
        </w:numPr>
        <w:ind w:left="432"/>
        <w:rPr>
          <w:rFonts w:ascii="David" w:hAnsi="David" w:cs="David"/>
        </w:rPr>
      </w:pPr>
      <w:r w:rsidRPr="00253946">
        <w:rPr>
          <w:rFonts w:ascii="David" w:hAnsi="David" w:cs="David"/>
          <w:b/>
          <w:bCs/>
        </w:rPr>
        <w:t xml:space="preserve">The composition of </w:t>
      </w:r>
      <w:r w:rsidR="00405EEE" w:rsidRPr="00253946">
        <w:rPr>
          <w:rFonts w:ascii="David" w:hAnsi="David" w:cs="David"/>
          <w:b/>
          <w:bCs/>
        </w:rPr>
        <w:t>Israelis’</w:t>
      </w:r>
      <w:r w:rsidRPr="00253946">
        <w:rPr>
          <w:rFonts w:ascii="David" w:hAnsi="David" w:cs="David"/>
          <w:b/>
          <w:bCs/>
        </w:rPr>
        <w:t xml:space="preserve"> securities portfolio abroad</w:t>
      </w:r>
      <w:r w:rsidR="00137AAC" w:rsidRPr="00253946">
        <w:rPr>
          <w:rFonts w:ascii="David" w:hAnsi="David" w:cs="David"/>
        </w:rPr>
        <w:t>:</w:t>
      </w:r>
      <w:r w:rsidR="00AA63FF" w:rsidRPr="00253946">
        <w:rPr>
          <w:rFonts w:ascii="David" w:hAnsi="David" w:cs="David"/>
        </w:rPr>
        <w:t xml:space="preserve"> </w:t>
      </w:r>
      <w:r w:rsidR="0020142C" w:rsidRPr="00253946">
        <w:rPr>
          <w:rFonts w:ascii="David" w:hAnsi="David" w:cs="David"/>
        </w:rPr>
        <w:t xml:space="preserve">During the course </w:t>
      </w:r>
      <w:r w:rsidR="00AA63FF" w:rsidRPr="00253946">
        <w:rPr>
          <w:rFonts w:ascii="David" w:hAnsi="David" w:cs="David"/>
        </w:rPr>
        <w:t>of t</w:t>
      </w:r>
      <w:r w:rsidR="00C95E5D" w:rsidRPr="00253946">
        <w:rPr>
          <w:rFonts w:ascii="David" w:hAnsi="David" w:cs="David"/>
        </w:rPr>
        <w:t xml:space="preserve">he </w:t>
      </w:r>
      <w:r w:rsidR="00EC7C36" w:rsidRPr="00253946">
        <w:rPr>
          <w:rFonts w:ascii="David" w:hAnsi="David" w:cs="David"/>
        </w:rPr>
        <w:t>third</w:t>
      </w:r>
      <w:r w:rsidR="00CE7059" w:rsidRPr="00253946">
        <w:rPr>
          <w:rFonts w:ascii="David" w:hAnsi="David" w:cs="David"/>
        </w:rPr>
        <w:t xml:space="preserve"> quarter</w:t>
      </w:r>
      <w:r w:rsidR="00C95E5D" w:rsidRPr="00253946">
        <w:rPr>
          <w:rFonts w:ascii="David" w:hAnsi="David" w:cs="David"/>
        </w:rPr>
        <w:t xml:space="preserve">, </w:t>
      </w:r>
      <w:r w:rsidR="005B25FD" w:rsidRPr="00253946">
        <w:rPr>
          <w:rFonts w:ascii="David" w:hAnsi="David" w:cs="David"/>
        </w:rPr>
        <w:t xml:space="preserve">the </w:t>
      </w:r>
      <w:r w:rsidR="00864530" w:rsidRPr="00253946">
        <w:rPr>
          <w:rFonts w:ascii="David" w:hAnsi="David" w:cs="David"/>
        </w:rPr>
        <w:t xml:space="preserve">share of </w:t>
      </w:r>
      <w:r w:rsidR="009727DF" w:rsidRPr="00253946">
        <w:rPr>
          <w:rFonts w:ascii="David" w:hAnsi="David" w:cs="David"/>
        </w:rPr>
        <w:t xml:space="preserve">equity instruments in </w:t>
      </w:r>
      <w:r w:rsidR="00864530" w:rsidRPr="00253946">
        <w:rPr>
          <w:rFonts w:ascii="David" w:hAnsi="David" w:cs="David"/>
        </w:rPr>
        <w:t xml:space="preserve">Israeli residents’ </w:t>
      </w:r>
      <w:r w:rsidR="009727DF" w:rsidRPr="00253946">
        <w:rPr>
          <w:rFonts w:ascii="David" w:hAnsi="David" w:cs="David"/>
        </w:rPr>
        <w:t>portfolio</w:t>
      </w:r>
      <w:r w:rsidR="00864530" w:rsidRPr="00253946">
        <w:rPr>
          <w:rFonts w:ascii="David" w:hAnsi="David" w:cs="David"/>
        </w:rPr>
        <w:t xml:space="preserve"> abroad</w:t>
      </w:r>
      <w:r w:rsidR="009727DF" w:rsidRPr="00253946">
        <w:rPr>
          <w:rFonts w:ascii="David" w:hAnsi="David" w:cs="David"/>
        </w:rPr>
        <w:t xml:space="preserve"> </w:t>
      </w:r>
      <w:r w:rsidR="00D41724" w:rsidRPr="00253946">
        <w:rPr>
          <w:rFonts w:ascii="David" w:hAnsi="David" w:cs="David"/>
        </w:rPr>
        <w:t xml:space="preserve">remained </w:t>
      </w:r>
      <w:r w:rsidR="00672616" w:rsidRPr="00253946">
        <w:rPr>
          <w:rFonts w:ascii="David" w:hAnsi="David" w:cs="David"/>
        </w:rPr>
        <w:t>unchanged</w:t>
      </w:r>
      <w:r w:rsidR="00EC7C36" w:rsidRPr="00253946">
        <w:rPr>
          <w:rFonts w:ascii="David" w:hAnsi="David" w:cs="David"/>
        </w:rPr>
        <w:t>, and was</w:t>
      </w:r>
      <w:r w:rsidR="009727DF" w:rsidRPr="00253946">
        <w:rPr>
          <w:rFonts w:ascii="David" w:hAnsi="David" w:cs="David"/>
        </w:rPr>
        <w:t xml:space="preserve"> 4</w:t>
      </w:r>
      <w:r w:rsidR="00EC7C36" w:rsidRPr="00253946">
        <w:rPr>
          <w:rFonts w:ascii="David" w:hAnsi="David" w:cs="David"/>
        </w:rPr>
        <w:t>3</w:t>
      </w:r>
      <w:r w:rsidR="009727DF" w:rsidRPr="00253946">
        <w:rPr>
          <w:rFonts w:ascii="David" w:hAnsi="David" w:cs="David"/>
        </w:rPr>
        <w:t xml:space="preserve"> percent</w:t>
      </w:r>
      <w:r w:rsidR="00D41724" w:rsidRPr="00253946">
        <w:rPr>
          <w:rFonts w:ascii="David" w:hAnsi="David" w:cs="David"/>
        </w:rPr>
        <w:t xml:space="preserve"> at the end of </w:t>
      </w:r>
      <w:r w:rsidR="00EC7C36" w:rsidRPr="00253946">
        <w:rPr>
          <w:rFonts w:ascii="David" w:hAnsi="David" w:cs="David"/>
        </w:rPr>
        <w:t>September</w:t>
      </w:r>
      <w:r w:rsidR="009727DF" w:rsidRPr="00253946">
        <w:rPr>
          <w:rFonts w:ascii="David" w:hAnsi="David" w:cs="David"/>
        </w:rPr>
        <w:t>. A</w:t>
      </w:r>
      <w:r w:rsidR="005B25FD" w:rsidRPr="00253946">
        <w:rPr>
          <w:rFonts w:ascii="David" w:hAnsi="David" w:cs="David"/>
        </w:rPr>
        <w:t>ccordingly</w:t>
      </w:r>
      <w:r w:rsidR="00AF55F1" w:rsidRPr="00253946">
        <w:rPr>
          <w:rFonts w:ascii="David" w:hAnsi="David" w:cs="David"/>
        </w:rPr>
        <w:t>,</w:t>
      </w:r>
      <w:r w:rsidR="005B25FD" w:rsidRPr="00253946">
        <w:rPr>
          <w:rFonts w:ascii="David" w:hAnsi="David" w:cs="David"/>
        </w:rPr>
        <w:t xml:space="preserve"> the </w:t>
      </w:r>
      <w:r w:rsidR="00C848BB" w:rsidRPr="00253946">
        <w:rPr>
          <w:rFonts w:ascii="David" w:hAnsi="David" w:cs="David"/>
        </w:rPr>
        <w:t xml:space="preserve">share </w:t>
      </w:r>
      <w:r w:rsidR="00AF5646" w:rsidRPr="00253946">
        <w:rPr>
          <w:rFonts w:ascii="David" w:hAnsi="David" w:cs="David"/>
        </w:rPr>
        <w:t>of</w:t>
      </w:r>
      <w:r w:rsidR="00864530" w:rsidRPr="00253946">
        <w:rPr>
          <w:rFonts w:ascii="David" w:hAnsi="David" w:cs="David"/>
        </w:rPr>
        <w:t xml:space="preserve"> debt </w:t>
      </w:r>
      <w:r w:rsidR="00AF5646" w:rsidRPr="00253946">
        <w:rPr>
          <w:rFonts w:ascii="David" w:hAnsi="David" w:cs="David"/>
        </w:rPr>
        <w:t>instruments</w:t>
      </w:r>
      <w:r w:rsidR="00864530" w:rsidRPr="00253946">
        <w:rPr>
          <w:rFonts w:ascii="David" w:hAnsi="David" w:cs="David"/>
        </w:rPr>
        <w:t xml:space="preserve"> </w:t>
      </w:r>
      <w:r w:rsidR="00D03187" w:rsidRPr="00253946">
        <w:rPr>
          <w:rFonts w:ascii="David" w:hAnsi="David" w:cs="David"/>
        </w:rPr>
        <w:t>remained at</w:t>
      </w:r>
      <w:r w:rsidR="00864530" w:rsidRPr="00253946">
        <w:rPr>
          <w:rFonts w:ascii="David" w:hAnsi="David" w:cs="David"/>
        </w:rPr>
        <w:t xml:space="preserve"> </w:t>
      </w:r>
      <w:r w:rsidR="00310434" w:rsidRPr="00253946">
        <w:rPr>
          <w:rFonts w:ascii="David" w:hAnsi="David" w:cs="David"/>
        </w:rPr>
        <w:t>5</w:t>
      </w:r>
      <w:r w:rsidR="00EC7C36" w:rsidRPr="00253946">
        <w:rPr>
          <w:rFonts w:ascii="David" w:hAnsi="David" w:cs="David"/>
        </w:rPr>
        <w:t>7</w:t>
      </w:r>
      <w:r w:rsidR="00310434" w:rsidRPr="00253946">
        <w:rPr>
          <w:rFonts w:ascii="David" w:hAnsi="David" w:cs="David"/>
        </w:rPr>
        <w:t xml:space="preserve"> </w:t>
      </w:r>
      <w:r w:rsidR="00AF5646" w:rsidRPr="00253946">
        <w:rPr>
          <w:rFonts w:ascii="David" w:hAnsi="David" w:cs="David"/>
        </w:rPr>
        <w:t>percent</w:t>
      </w:r>
      <w:r w:rsidR="00310434" w:rsidRPr="00253946">
        <w:rPr>
          <w:rFonts w:ascii="David" w:hAnsi="David" w:cs="David"/>
        </w:rPr>
        <w:t xml:space="preserve"> at the end of</w:t>
      </w:r>
      <w:r w:rsidR="002D07A8" w:rsidRPr="00253946">
        <w:rPr>
          <w:rFonts w:ascii="David" w:hAnsi="David" w:cs="David"/>
        </w:rPr>
        <w:t xml:space="preserve"> </w:t>
      </w:r>
      <w:r w:rsidR="00EC7C36" w:rsidRPr="00253946">
        <w:rPr>
          <w:rFonts w:ascii="David" w:hAnsi="David" w:cs="David"/>
        </w:rPr>
        <w:t>the quarter</w:t>
      </w:r>
      <w:r w:rsidR="00864530" w:rsidRPr="00253946">
        <w:rPr>
          <w:rFonts w:ascii="David" w:hAnsi="David" w:cs="David"/>
        </w:rPr>
        <w:t xml:space="preserve">. </w:t>
      </w:r>
    </w:p>
    <w:p w:rsidR="007C7EAD" w:rsidRPr="00253946" w:rsidRDefault="007C7EAD" w:rsidP="007C7EAD">
      <w:pPr>
        <w:pStyle w:val="regpar"/>
        <w:ind w:left="426" w:firstLine="0"/>
        <w:rPr>
          <w:rFonts w:ascii="David" w:hAnsi="David" w:cs="David"/>
        </w:rPr>
      </w:pPr>
    </w:p>
    <w:p w:rsidR="007C7EAD" w:rsidRPr="00253946" w:rsidRDefault="007C7EAD" w:rsidP="007C7EAD">
      <w:pPr>
        <w:pStyle w:val="regpar"/>
        <w:ind w:left="426" w:firstLine="0"/>
        <w:rPr>
          <w:rFonts w:ascii="David" w:hAnsi="David" w:cs="David"/>
        </w:rPr>
      </w:pPr>
    </w:p>
    <w:p w:rsidR="00763F37" w:rsidRPr="00253946" w:rsidRDefault="00763F37" w:rsidP="00763F37">
      <w:pPr>
        <w:pStyle w:val="regpar"/>
        <w:numPr>
          <w:ilvl w:val="0"/>
          <w:numId w:val="4"/>
        </w:numPr>
        <w:rPr>
          <w:rFonts w:ascii="David" w:hAnsi="David" w:cs="David"/>
          <w:b/>
          <w:bCs/>
        </w:rPr>
      </w:pPr>
      <w:r w:rsidRPr="00253946">
        <w:rPr>
          <w:rFonts w:ascii="David" w:hAnsi="David" w:cs="David"/>
          <w:b/>
          <w:bCs/>
        </w:rPr>
        <w:t>Israel’s liabilities to abroad</w:t>
      </w:r>
    </w:p>
    <w:p w:rsidR="00763F37" w:rsidRPr="00253946" w:rsidRDefault="00763F37" w:rsidP="00DD15DC">
      <w:pPr>
        <w:pStyle w:val="regpar"/>
        <w:ind w:firstLine="0"/>
        <w:rPr>
          <w:rFonts w:ascii="David" w:hAnsi="David" w:cs="David"/>
        </w:rPr>
      </w:pPr>
    </w:p>
    <w:p w:rsidR="00812508" w:rsidRPr="00253946" w:rsidRDefault="00DD15DC" w:rsidP="000027EA">
      <w:pPr>
        <w:pStyle w:val="regpar"/>
        <w:ind w:firstLine="0"/>
        <w:rPr>
          <w:rFonts w:ascii="David" w:hAnsi="David" w:cs="David"/>
        </w:rPr>
      </w:pPr>
      <w:r w:rsidRPr="00253946">
        <w:rPr>
          <w:rFonts w:ascii="David" w:hAnsi="David" w:cs="David"/>
        </w:rPr>
        <w:t xml:space="preserve">The balance of Israel's liabilities to abroad </w:t>
      </w:r>
      <w:proofErr w:type="gramStart"/>
      <w:r w:rsidR="00D41724" w:rsidRPr="00253946">
        <w:rPr>
          <w:rFonts w:ascii="David" w:hAnsi="David" w:cs="David"/>
        </w:rPr>
        <w:t>increased</w:t>
      </w:r>
      <w:proofErr w:type="gramEnd"/>
      <w:r w:rsidR="00280DD3" w:rsidRPr="00253946">
        <w:rPr>
          <w:rFonts w:ascii="David" w:hAnsi="David" w:cs="David"/>
        </w:rPr>
        <w:t xml:space="preserve"> </w:t>
      </w:r>
      <w:r w:rsidRPr="00253946">
        <w:rPr>
          <w:rFonts w:ascii="David" w:hAnsi="David" w:cs="David"/>
        </w:rPr>
        <w:t>by about $</w:t>
      </w:r>
      <w:r w:rsidR="000027EA" w:rsidRPr="00253946">
        <w:rPr>
          <w:rFonts w:ascii="David" w:hAnsi="David" w:cs="David"/>
        </w:rPr>
        <w:t>0</w:t>
      </w:r>
      <w:r w:rsidR="009C0635" w:rsidRPr="00253946">
        <w:rPr>
          <w:rFonts w:ascii="David" w:hAnsi="David" w:cs="David"/>
        </w:rPr>
        <w:t xml:space="preserve">.8 </w:t>
      </w:r>
      <w:r w:rsidRPr="00253946">
        <w:rPr>
          <w:rFonts w:ascii="David" w:hAnsi="David" w:cs="David"/>
        </w:rPr>
        <w:t>billion (</w:t>
      </w:r>
      <w:r w:rsidR="000027EA" w:rsidRPr="00253946">
        <w:rPr>
          <w:rFonts w:ascii="David" w:hAnsi="David" w:cs="David"/>
        </w:rPr>
        <w:t xml:space="preserve">about </w:t>
      </w:r>
      <w:r w:rsidR="009C0635" w:rsidRPr="00253946">
        <w:rPr>
          <w:rFonts w:ascii="David" w:hAnsi="David" w:cs="David"/>
        </w:rPr>
        <w:t>0.</w:t>
      </w:r>
      <w:r w:rsidR="000027EA" w:rsidRPr="00253946">
        <w:rPr>
          <w:rFonts w:ascii="David" w:hAnsi="David" w:cs="David"/>
        </w:rPr>
        <w:t>2</w:t>
      </w:r>
      <w:r w:rsidR="009C0635" w:rsidRPr="00253946">
        <w:rPr>
          <w:rFonts w:ascii="David" w:hAnsi="David" w:cs="David"/>
        </w:rPr>
        <w:t xml:space="preserve"> </w:t>
      </w:r>
      <w:r w:rsidRPr="00253946">
        <w:rPr>
          <w:rFonts w:ascii="David" w:hAnsi="David" w:cs="David"/>
        </w:rPr>
        <w:t>percent)</w:t>
      </w:r>
      <w:r w:rsidR="00C95E5D" w:rsidRPr="00253946">
        <w:rPr>
          <w:rFonts w:ascii="David" w:hAnsi="David" w:cs="David"/>
        </w:rPr>
        <w:t xml:space="preserve"> </w:t>
      </w:r>
      <w:r w:rsidR="002A4692" w:rsidRPr="00253946">
        <w:rPr>
          <w:rFonts w:ascii="David" w:hAnsi="David" w:cs="David"/>
        </w:rPr>
        <w:t xml:space="preserve">during </w:t>
      </w:r>
      <w:r w:rsidR="00C95E5D" w:rsidRPr="00253946">
        <w:rPr>
          <w:rFonts w:ascii="David" w:hAnsi="David" w:cs="David"/>
        </w:rPr>
        <w:t xml:space="preserve">the </w:t>
      </w:r>
      <w:r w:rsidR="00BA2CAD" w:rsidRPr="00253946">
        <w:rPr>
          <w:rFonts w:ascii="David" w:hAnsi="David" w:cs="David"/>
        </w:rPr>
        <w:t>second</w:t>
      </w:r>
      <w:r w:rsidR="00CE7059" w:rsidRPr="00253946">
        <w:rPr>
          <w:rFonts w:ascii="David" w:hAnsi="David" w:cs="David"/>
        </w:rPr>
        <w:t xml:space="preserve"> quarter</w:t>
      </w:r>
      <w:r w:rsidRPr="00253946">
        <w:rPr>
          <w:rFonts w:ascii="David" w:hAnsi="David" w:cs="David"/>
        </w:rPr>
        <w:t xml:space="preserve">, to </w:t>
      </w:r>
      <w:r w:rsidR="00BB4475" w:rsidRPr="00253946">
        <w:rPr>
          <w:rFonts w:ascii="David" w:hAnsi="David" w:cs="David"/>
        </w:rPr>
        <w:t xml:space="preserve">approximately </w:t>
      </w:r>
      <w:r w:rsidRPr="00253946">
        <w:rPr>
          <w:rFonts w:ascii="David" w:hAnsi="David" w:cs="David"/>
        </w:rPr>
        <w:t>$</w:t>
      </w:r>
      <w:r w:rsidR="009C0635" w:rsidRPr="00253946">
        <w:rPr>
          <w:rFonts w:ascii="David" w:hAnsi="David" w:cs="David"/>
        </w:rPr>
        <w:t>4</w:t>
      </w:r>
      <w:r w:rsidR="000027EA" w:rsidRPr="00253946">
        <w:rPr>
          <w:rFonts w:ascii="David" w:hAnsi="David" w:cs="David"/>
        </w:rPr>
        <w:t>80</w:t>
      </w:r>
      <w:r w:rsidR="009C0635" w:rsidRPr="00253946">
        <w:rPr>
          <w:rFonts w:ascii="David" w:hAnsi="David" w:cs="David"/>
        </w:rPr>
        <w:t xml:space="preserve"> </w:t>
      </w:r>
      <w:r w:rsidRPr="00253946">
        <w:rPr>
          <w:rFonts w:ascii="David" w:hAnsi="David" w:cs="David"/>
        </w:rPr>
        <w:t xml:space="preserve">billion at the end of </w:t>
      </w:r>
      <w:r w:rsidR="005D3B75" w:rsidRPr="00253946">
        <w:rPr>
          <w:rFonts w:ascii="David" w:hAnsi="David" w:cs="David"/>
        </w:rPr>
        <w:t>the quarter</w:t>
      </w:r>
      <w:r w:rsidR="00F9554B" w:rsidRPr="00253946">
        <w:rPr>
          <w:rFonts w:ascii="David" w:hAnsi="David" w:cs="David"/>
        </w:rPr>
        <w:t>.</w:t>
      </w:r>
      <w:r w:rsidR="005E7885" w:rsidRPr="00253946">
        <w:rPr>
          <w:rFonts w:ascii="David" w:hAnsi="David" w:cs="David"/>
        </w:rPr>
        <w:t xml:space="preserve"> </w:t>
      </w:r>
      <w:r w:rsidR="009D2FAE" w:rsidRPr="00253946">
        <w:rPr>
          <w:rFonts w:ascii="David" w:hAnsi="David" w:cs="David"/>
        </w:rPr>
        <w:t xml:space="preserve">The </w:t>
      </w:r>
      <w:r w:rsidR="00D41724" w:rsidRPr="00253946">
        <w:rPr>
          <w:rFonts w:ascii="David" w:hAnsi="David" w:cs="David"/>
        </w:rPr>
        <w:t>increase</w:t>
      </w:r>
      <w:r w:rsidR="009727DF" w:rsidRPr="00253946">
        <w:rPr>
          <w:rFonts w:ascii="David" w:hAnsi="David" w:cs="David"/>
        </w:rPr>
        <w:t xml:space="preserve"> was</w:t>
      </w:r>
      <w:r w:rsidR="005F32E1" w:rsidRPr="00253946">
        <w:rPr>
          <w:rFonts w:ascii="David" w:hAnsi="David" w:cs="David"/>
        </w:rPr>
        <w:t xml:space="preserve"> </w:t>
      </w:r>
      <w:r w:rsidR="005D3B75" w:rsidRPr="00253946">
        <w:rPr>
          <w:rFonts w:ascii="David" w:hAnsi="David" w:cs="David"/>
        </w:rPr>
        <w:t xml:space="preserve">mainly </w:t>
      </w:r>
      <w:r w:rsidR="009727DF" w:rsidRPr="00253946">
        <w:rPr>
          <w:rFonts w:ascii="David" w:hAnsi="David" w:cs="David"/>
        </w:rPr>
        <w:t xml:space="preserve">due to </w:t>
      </w:r>
      <w:r w:rsidR="00C06191" w:rsidRPr="00253946">
        <w:rPr>
          <w:rFonts w:ascii="David" w:hAnsi="David" w:cs="David"/>
        </w:rPr>
        <w:t>net investments, particularly direct investments.</w:t>
      </w:r>
    </w:p>
    <w:p w:rsidR="00E73A67" w:rsidRPr="00253946" w:rsidRDefault="00E73A67" w:rsidP="005E7885">
      <w:pPr>
        <w:pStyle w:val="regpar"/>
        <w:ind w:firstLine="0"/>
        <w:rPr>
          <w:rFonts w:ascii="David" w:hAnsi="David" w:cs="David"/>
          <w:rtl/>
        </w:rPr>
      </w:pPr>
    </w:p>
    <w:p w:rsidR="00346978" w:rsidRPr="00253946" w:rsidRDefault="004A53A2" w:rsidP="000027EA">
      <w:pPr>
        <w:pStyle w:val="regpar"/>
        <w:numPr>
          <w:ilvl w:val="0"/>
          <w:numId w:val="8"/>
        </w:numPr>
        <w:ind w:left="426"/>
        <w:rPr>
          <w:rFonts w:ascii="David" w:hAnsi="David" w:cs="David"/>
        </w:rPr>
      </w:pPr>
      <w:r w:rsidRPr="00253946">
        <w:rPr>
          <w:rFonts w:ascii="David" w:hAnsi="David" w:cs="David"/>
          <w:b/>
          <w:bCs/>
        </w:rPr>
        <w:t>The value of direct investments in the economy</w:t>
      </w:r>
      <w:r w:rsidRPr="00253946">
        <w:rPr>
          <w:rFonts w:ascii="David" w:hAnsi="David" w:cs="David"/>
        </w:rPr>
        <w:t xml:space="preserve"> </w:t>
      </w:r>
      <w:r w:rsidR="00FC3574" w:rsidRPr="00253946">
        <w:rPr>
          <w:rFonts w:ascii="David" w:hAnsi="David" w:cs="David"/>
        </w:rPr>
        <w:t>increased</w:t>
      </w:r>
      <w:r w:rsidRPr="00253946">
        <w:rPr>
          <w:rFonts w:ascii="David" w:hAnsi="David" w:cs="David"/>
        </w:rPr>
        <w:t xml:space="preserve"> </w:t>
      </w:r>
      <w:r w:rsidR="00C80B77" w:rsidRPr="00253946">
        <w:rPr>
          <w:rFonts w:ascii="David" w:hAnsi="David" w:cs="David"/>
        </w:rPr>
        <w:t xml:space="preserve">by </w:t>
      </w:r>
      <w:r w:rsidR="009727DF" w:rsidRPr="00253946">
        <w:rPr>
          <w:rFonts w:ascii="David" w:hAnsi="David" w:cs="David"/>
        </w:rPr>
        <w:t xml:space="preserve">about </w:t>
      </w:r>
      <w:r w:rsidR="00C80B77" w:rsidRPr="00253946">
        <w:rPr>
          <w:rFonts w:ascii="David" w:hAnsi="David" w:cs="David"/>
        </w:rPr>
        <w:t>$</w:t>
      </w:r>
      <w:r w:rsidR="008407E0" w:rsidRPr="00253946">
        <w:rPr>
          <w:rFonts w:ascii="David" w:hAnsi="David" w:cs="David"/>
        </w:rPr>
        <w:t>3.</w:t>
      </w:r>
      <w:r w:rsidR="000027EA" w:rsidRPr="00253946">
        <w:rPr>
          <w:rFonts w:ascii="David" w:hAnsi="David" w:cs="David"/>
        </w:rPr>
        <w:t>2</w:t>
      </w:r>
      <w:r w:rsidR="008407E0" w:rsidRPr="00253946">
        <w:rPr>
          <w:rFonts w:ascii="David" w:hAnsi="David" w:cs="David"/>
        </w:rPr>
        <w:t xml:space="preserve"> </w:t>
      </w:r>
      <w:r w:rsidR="00B26262" w:rsidRPr="00253946">
        <w:rPr>
          <w:rFonts w:ascii="David" w:hAnsi="David" w:cs="David"/>
        </w:rPr>
        <w:t xml:space="preserve">billion </w:t>
      </w:r>
      <w:r w:rsidRPr="00253946">
        <w:rPr>
          <w:rFonts w:ascii="David" w:hAnsi="David" w:cs="David"/>
        </w:rPr>
        <w:t>(</w:t>
      </w:r>
      <w:r w:rsidR="000027EA" w:rsidRPr="00253946">
        <w:rPr>
          <w:rFonts w:ascii="David" w:hAnsi="David" w:cs="David"/>
        </w:rPr>
        <w:t xml:space="preserve">about </w:t>
      </w:r>
      <w:r w:rsidR="008407E0" w:rsidRPr="00253946">
        <w:rPr>
          <w:rFonts w:ascii="David" w:hAnsi="David" w:cs="David"/>
        </w:rPr>
        <w:t>1.</w:t>
      </w:r>
      <w:r w:rsidR="000027EA" w:rsidRPr="00253946">
        <w:rPr>
          <w:rFonts w:ascii="David" w:hAnsi="David" w:cs="David"/>
        </w:rPr>
        <w:t>4</w:t>
      </w:r>
      <w:r w:rsidR="008407E0" w:rsidRPr="00253946">
        <w:rPr>
          <w:rFonts w:ascii="David" w:hAnsi="David" w:cs="David"/>
        </w:rPr>
        <w:t xml:space="preserve"> </w:t>
      </w:r>
      <w:r w:rsidRPr="00253946">
        <w:rPr>
          <w:rFonts w:ascii="David" w:hAnsi="David" w:cs="David"/>
        </w:rPr>
        <w:t>percent)</w:t>
      </w:r>
      <w:r w:rsidR="000027EA" w:rsidRPr="00253946">
        <w:rPr>
          <w:rFonts w:ascii="David" w:hAnsi="David" w:cs="David"/>
        </w:rPr>
        <w:t xml:space="preserve"> during the third quarter</w:t>
      </w:r>
      <w:r w:rsidR="009727DF" w:rsidRPr="00253946">
        <w:rPr>
          <w:rFonts w:ascii="David" w:hAnsi="David" w:cs="David"/>
        </w:rPr>
        <w:t>,</w:t>
      </w:r>
      <w:r w:rsidR="00AF7AC8" w:rsidRPr="00253946">
        <w:rPr>
          <w:rFonts w:ascii="David" w:hAnsi="David" w:cs="David"/>
        </w:rPr>
        <w:t xml:space="preserve"> </w:t>
      </w:r>
      <w:r w:rsidR="00B26262" w:rsidRPr="00253946">
        <w:rPr>
          <w:rFonts w:ascii="David" w:hAnsi="David" w:cs="David"/>
        </w:rPr>
        <w:t xml:space="preserve">mainly </w:t>
      </w:r>
      <w:r w:rsidR="009727DF" w:rsidRPr="00253946">
        <w:rPr>
          <w:rFonts w:ascii="David" w:hAnsi="David" w:cs="David"/>
        </w:rPr>
        <w:t>due to</w:t>
      </w:r>
      <w:r w:rsidR="00FC3574" w:rsidRPr="00253946">
        <w:rPr>
          <w:rFonts w:ascii="David" w:hAnsi="David" w:cs="David"/>
        </w:rPr>
        <w:t xml:space="preserve"> net direct investments in share capital totaling about $</w:t>
      </w:r>
      <w:r w:rsidR="000027EA" w:rsidRPr="00253946">
        <w:rPr>
          <w:rFonts w:ascii="David" w:hAnsi="David" w:cs="David"/>
        </w:rPr>
        <w:t>4.2</w:t>
      </w:r>
      <w:r w:rsidR="008407E0" w:rsidRPr="00253946">
        <w:rPr>
          <w:rFonts w:ascii="David" w:hAnsi="David" w:cs="David"/>
        </w:rPr>
        <w:t xml:space="preserve"> </w:t>
      </w:r>
      <w:r w:rsidR="00FC3574" w:rsidRPr="00253946">
        <w:rPr>
          <w:rFonts w:ascii="David" w:hAnsi="David" w:cs="David"/>
        </w:rPr>
        <w:t>billion, of which about $</w:t>
      </w:r>
      <w:r w:rsidR="008407E0" w:rsidRPr="00253946">
        <w:rPr>
          <w:rFonts w:ascii="David" w:hAnsi="David" w:cs="David"/>
        </w:rPr>
        <w:t>1.</w:t>
      </w:r>
      <w:r w:rsidR="000027EA" w:rsidRPr="00253946">
        <w:rPr>
          <w:rFonts w:ascii="David" w:hAnsi="David" w:cs="David"/>
        </w:rPr>
        <w:t>8</w:t>
      </w:r>
      <w:r w:rsidR="008407E0" w:rsidRPr="00253946">
        <w:rPr>
          <w:rFonts w:ascii="David" w:hAnsi="David" w:cs="David"/>
        </w:rPr>
        <w:t xml:space="preserve"> </w:t>
      </w:r>
      <w:r w:rsidR="00FC3574" w:rsidRPr="00253946">
        <w:rPr>
          <w:rFonts w:ascii="David" w:hAnsi="David" w:cs="David"/>
        </w:rPr>
        <w:t xml:space="preserve">billion was in respect of </w:t>
      </w:r>
      <w:r w:rsidR="000027EA" w:rsidRPr="00253946">
        <w:rPr>
          <w:rFonts w:ascii="David" w:hAnsi="David" w:cs="David"/>
        </w:rPr>
        <w:t>reinvested earnings</w:t>
      </w:r>
      <w:r w:rsidR="000F1789" w:rsidRPr="00253946">
        <w:rPr>
          <w:rFonts w:ascii="David" w:hAnsi="David" w:cs="David"/>
        </w:rPr>
        <w:t>.</w:t>
      </w:r>
      <w:r w:rsidR="00A517D0" w:rsidRPr="00253946">
        <w:rPr>
          <w:rFonts w:ascii="David" w:hAnsi="David" w:cs="David"/>
        </w:rPr>
        <w:t xml:space="preserve"> </w:t>
      </w:r>
      <w:r w:rsidR="000027EA" w:rsidRPr="00253946">
        <w:rPr>
          <w:rFonts w:ascii="David" w:hAnsi="David" w:cs="David"/>
        </w:rPr>
        <w:t xml:space="preserve">The rest of the investments </w:t>
      </w:r>
      <w:proofErr w:type="gramStart"/>
      <w:r w:rsidR="000027EA" w:rsidRPr="00253946">
        <w:rPr>
          <w:rFonts w:ascii="David" w:hAnsi="David" w:cs="David"/>
        </w:rPr>
        <w:t>were spread out</w:t>
      </w:r>
      <w:proofErr w:type="gramEnd"/>
      <w:r w:rsidR="000027EA" w:rsidRPr="00253946">
        <w:rPr>
          <w:rFonts w:ascii="David" w:hAnsi="David" w:cs="David"/>
        </w:rPr>
        <w:t xml:space="preserve"> over a large number of companies.</w:t>
      </w:r>
    </w:p>
    <w:p w:rsidR="00BA00C5" w:rsidRPr="00253946" w:rsidRDefault="007C1496" w:rsidP="00573524">
      <w:pPr>
        <w:pStyle w:val="regpar"/>
        <w:numPr>
          <w:ilvl w:val="0"/>
          <w:numId w:val="8"/>
        </w:numPr>
        <w:ind w:left="426"/>
        <w:rPr>
          <w:rFonts w:ascii="David" w:hAnsi="David" w:cs="David"/>
        </w:rPr>
      </w:pPr>
      <w:r w:rsidRPr="00253946">
        <w:rPr>
          <w:rFonts w:ascii="David" w:hAnsi="David" w:cs="David"/>
          <w:b/>
          <w:bCs/>
        </w:rPr>
        <w:t>The value of the securities portfolio</w:t>
      </w:r>
      <w:r w:rsidRPr="00253946">
        <w:rPr>
          <w:rFonts w:ascii="David" w:hAnsi="David" w:cs="David"/>
        </w:rPr>
        <w:t xml:space="preserve"> </w:t>
      </w:r>
      <w:r w:rsidR="00487361" w:rsidRPr="00253946">
        <w:rPr>
          <w:rFonts w:ascii="David" w:hAnsi="David" w:cs="David"/>
        </w:rPr>
        <w:t>de</w:t>
      </w:r>
      <w:r w:rsidR="00330FD9" w:rsidRPr="00253946">
        <w:rPr>
          <w:rFonts w:ascii="David" w:hAnsi="David" w:cs="David"/>
        </w:rPr>
        <w:t>c</w:t>
      </w:r>
      <w:r w:rsidR="000027EA" w:rsidRPr="00253946">
        <w:rPr>
          <w:rFonts w:ascii="David" w:hAnsi="David" w:cs="David"/>
        </w:rPr>
        <w:t>lined</w:t>
      </w:r>
      <w:r w:rsidRPr="00253946">
        <w:rPr>
          <w:rFonts w:ascii="David" w:hAnsi="David" w:cs="David"/>
        </w:rPr>
        <w:t xml:space="preserve"> by</w:t>
      </w:r>
      <w:r w:rsidR="009727DF" w:rsidRPr="00253946">
        <w:rPr>
          <w:rFonts w:ascii="David" w:hAnsi="David" w:cs="David"/>
        </w:rPr>
        <w:t xml:space="preserve"> about</w:t>
      </w:r>
      <w:r w:rsidRPr="00253946">
        <w:rPr>
          <w:rFonts w:ascii="David" w:hAnsi="David" w:cs="David"/>
        </w:rPr>
        <w:t xml:space="preserve"> $</w:t>
      </w:r>
      <w:r w:rsidR="00487361" w:rsidRPr="00253946">
        <w:rPr>
          <w:rFonts w:ascii="David" w:hAnsi="David" w:cs="David"/>
        </w:rPr>
        <w:t>1.</w:t>
      </w:r>
      <w:r w:rsidR="000027EA" w:rsidRPr="00253946">
        <w:rPr>
          <w:rFonts w:ascii="David" w:hAnsi="David" w:cs="David"/>
        </w:rPr>
        <w:t>6</w:t>
      </w:r>
      <w:r w:rsidR="00487361" w:rsidRPr="00253946">
        <w:rPr>
          <w:rFonts w:ascii="David" w:hAnsi="David" w:cs="David"/>
        </w:rPr>
        <w:t xml:space="preserve"> </w:t>
      </w:r>
      <w:r w:rsidR="00DE4C60" w:rsidRPr="00253946">
        <w:rPr>
          <w:rFonts w:ascii="David" w:hAnsi="David" w:cs="David"/>
        </w:rPr>
        <w:t>billion (</w:t>
      </w:r>
      <w:r w:rsidR="009727DF" w:rsidRPr="00253946">
        <w:rPr>
          <w:rFonts w:ascii="David" w:hAnsi="David" w:cs="David"/>
        </w:rPr>
        <w:t xml:space="preserve">about </w:t>
      </w:r>
      <w:r w:rsidR="00487361" w:rsidRPr="00253946">
        <w:rPr>
          <w:rFonts w:ascii="David" w:hAnsi="David" w:cs="David"/>
        </w:rPr>
        <w:t xml:space="preserve">0.8 </w:t>
      </w:r>
      <w:r w:rsidRPr="00253946">
        <w:rPr>
          <w:rFonts w:ascii="David" w:hAnsi="David" w:cs="David"/>
        </w:rPr>
        <w:t xml:space="preserve">percent) </w:t>
      </w:r>
      <w:r w:rsidR="006F61B6" w:rsidRPr="00253946">
        <w:rPr>
          <w:rFonts w:ascii="David" w:hAnsi="David" w:cs="David"/>
        </w:rPr>
        <w:t>in</w:t>
      </w:r>
      <w:r w:rsidRPr="00253946">
        <w:rPr>
          <w:rFonts w:ascii="David" w:hAnsi="David" w:cs="David"/>
        </w:rPr>
        <w:t xml:space="preserve"> the </w:t>
      </w:r>
      <w:r w:rsidR="000027EA" w:rsidRPr="00253946">
        <w:rPr>
          <w:rFonts w:ascii="David" w:hAnsi="David" w:cs="David"/>
        </w:rPr>
        <w:t>third</w:t>
      </w:r>
      <w:r w:rsidR="00CE7059" w:rsidRPr="00253946">
        <w:rPr>
          <w:rFonts w:ascii="David" w:hAnsi="David" w:cs="David"/>
        </w:rPr>
        <w:t xml:space="preserve"> quarter</w:t>
      </w:r>
      <w:r w:rsidR="00DE4C60" w:rsidRPr="00253946">
        <w:rPr>
          <w:rFonts w:ascii="David" w:hAnsi="David" w:cs="David"/>
        </w:rPr>
        <w:t xml:space="preserve">, </w:t>
      </w:r>
      <w:proofErr w:type="gramStart"/>
      <w:r w:rsidR="00DE4C60" w:rsidRPr="00253946">
        <w:rPr>
          <w:rFonts w:ascii="David" w:hAnsi="David" w:cs="David"/>
        </w:rPr>
        <w:t>as a result</w:t>
      </w:r>
      <w:proofErr w:type="gramEnd"/>
      <w:r w:rsidR="00DE4C60" w:rsidRPr="00253946">
        <w:rPr>
          <w:rFonts w:ascii="David" w:hAnsi="David" w:cs="David"/>
        </w:rPr>
        <w:t xml:space="preserve"> of</w:t>
      </w:r>
      <w:r w:rsidR="00330FD9" w:rsidRPr="00253946">
        <w:rPr>
          <w:rFonts w:ascii="David" w:hAnsi="David" w:cs="David"/>
        </w:rPr>
        <w:t xml:space="preserve"> </w:t>
      </w:r>
      <w:r w:rsidR="00573524" w:rsidRPr="00253946">
        <w:rPr>
          <w:rFonts w:ascii="David" w:hAnsi="David" w:cs="David"/>
        </w:rPr>
        <w:t xml:space="preserve">the shekel’s depreciation against the US dollar during the quarter, which </w:t>
      </w:r>
      <w:r w:rsidR="00487361" w:rsidRPr="00253946">
        <w:rPr>
          <w:rFonts w:ascii="David" w:hAnsi="David" w:cs="David"/>
        </w:rPr>
        <w:t>reduced the dollar value of the investment portfolio by about $</w:t>
      </w:r>
      <w:r w:rsidR="00573524" w:rsidRPr="00253946">
        <w:rPr>
          <w:rFonts w:ascii="David" w:hAnsi="David" w:cs="David"/>
        </w:rPr>
        <w:t>2</w:t>
      </w:r>
      <w:r w:rsidR="00487361" w:rsidRPr="00253946">
        <w:rPr>
          <w:rFonts w:ascii="David" w:hAnsi="David" w:cs="David"/>
        </w:rPr>
        <w:t>.5 billion.</w:t>
      </w:r>
      <w:r w:rsidR="00853159" w:rsidRPr="00253946">
        <w:rPr>
          <w:rFonts w:ascii="David" w:hAnsi="David" w:cs="David"/>
        </w:rPr>
        <w:t xml:space="preserve"> </w:t>
      </w:r>
      <w:r w:rsidR="00BA00C5" w:rsidRPr="00253946">
        <w:rPr>
          <w:rFonts w:ascii="David" w:hAnsi="David" w:cs="David"/>
        </w:rPr>
        <w:t xml:space="preserve">This decline </w:t>
      </w:r>
      <w:proofErr w:type="gramStart"/>
      <w:r w:rsidR="00BA00C5" w:rsidRPr="00253946">
        <w:rPr>
          <w:rFonts w:ascii="David" w:hAnsi="David" w:cs="David"/>
        </w:rPr>
        <w:t>was partly offset</w:t>
      </w:r>
      <w:proofErr w:type="gramEnd"/>
      <w:r w:rsidR="00BA00C5" w:rsidRPr="00253946">
        <w:rPr>
          <w:rFonts w:ascii="David" w:hAnsi="David" w:cs="David"/>
        </w:rPr>
        <w:t xml:space="preserve"> by nonresidents’ net investments of about $1.</w:t>
      </w:r>
      <w:r w:rsidR="00573524" w:rsidRPr="00253946">
        <w:rPr>
          <w:rFonts w:ascii="David" w:hAnsi="David" w:cs="David"/>
        </w:rPr>
        <w:t>2</w:t>
      </w:r>
      <w:r w:rsidR="00BA00C5" w:rsidRPr="00253946">
        <w:rPr>
          <w:rFonts w:ascii="David" w:hAnsi="David" w:cs="David"/>
        </w:rPr>
        <w:t xml:space="preserve"> billion</w:t>
      </w:r>
      <w:r w:rsidR="00573524" w:rsidRPr="00253946">
        <w:rPr>
          <w:rFonts w:ascii="David" w:hAnsi="David" w:cs="David"/>
        </w:rPr>
        <w:t>, mainly in bonds</w:t>
      </w:r>
      <w:r w:rsidR="00BA00C5" w:rsidRPr="00253946">
        <w:rPr>
          <w:rFonts w:ascii="David" w:hAnsi="David" w:cs="David"/>
        </w:rPr>
        <w:t>.</w:t>
      </w:r>
    </w:p>
    <w:p w:rsidR="007332F1" w:rsidRPr="00253946" w:rsidRDefault="00DD15DC" w:rsidP="00573524">
      <w:pPr>
        <w:pStyle w:val="regpar"/>
        <w:numPr>
          <w:ilvl w:val="0"/>
          <w:numId w:val="8"/>
        </w:numPr>
        <w:ind w:left="432"/>
        <w:rPr>
          <w:rFonts w:ascii="David" w:hAnsi="David" w:cs="David"/>
        </w:rPr>
      </w:pPr>
      <w:r w:rsidRPr="00253946">
        <w:rPr>
          <w:rFonts w:ascii="David" w:hAnsi="David" w:cs="David"/>
          <w:b/>
          <w:bCs/>
        </w:rPr>
        <w:t xml:space="preserve">The value of </w:t>
      </w:r>
      <w:r w:rsidRPr="00253946">
        <w:rPr>
          <w:rFonts w:ascii="David" w:hAnsi="David" w:cs="David"/>
          <w:b/>
        </w:rPr>
        <w:t>nonresidents' financial portfolio on the Tel Aviv Stock Exchange</w:t>
      </w:r>
      <w:r w:rsidR="00980A0E" w:rsidRPr="00253946">
        <w:rPr>
          <w:rFonts w:ascii="David" w:hAnsi="David" w:cs="David"/>
          <w:b/>
        </w:rPr>
        <w:t xml:space="preserve">, </w:t>
      </w:r>
      <w:r w:rsidR="00980A0E" w:rsidRPr="00253946">
        <w:rPr>
          <w:rFonts w:ascii="David" w:hAnsi="David" w:cs="David"/>
          <w:bCs/>
        </w:rPr>
        <w:t xml:space="preserve">which makes up a part of nonresidents’ investments in </w:t>
      </w:r>
      <w:r w:rsidR="00243AAE" w:rsidRPr="00253946">
        <w:rPr>
          <w:rFonts w:ascii="David" w:hAnsi="David" w:cs="David"/>
          <w:bCs/>
        </w:rPr>
        <w:t>Israel</w:t>
      </w:r>
      <w:r w:rsidR="00980A0E" w:rsidRPr="00253946">
        <w:rPr>
          <w:rFonts w:ascii="David" w:hAnsi="David" w:cs="David"/>
          <w:bCs/>
        </w:rPr>
        <w:t>,</w:t>
      </w:r>
      <w:r w:rsidRPr="00253946">
        <w:rPr>
          <w:rFonts w:ascii="David" w:hAnsi="David" w:cs="David"/>
          <w:bCs/>
        </w:rPr>
        <w:t xml:space="preserve"> </w:t>
      </w:r>
      <w:r w:rsidR="00295790" w:rsidRPr="00253946">
        <w:rPr>
          <w:rFonts w:ascii="David" w:hAnsi="David" w:cs="David"/>
          <w:bCs/>
        </w:rPr>
        <w:t xml:space="preserve">increased </w:t>
      </w:r>
      <w:r w:rsidRPr="00253946">
        <w:rPr>
          <w:rFonts w:ascii="David" w:hAnsi="David" w:cs="David"/>
          <w:bCs/>
        </w:rPr>
        <w:t xml:space="preserve">by </w:t>
      </w:r>
      <w:r w:rsidR="00A85A35" w:rsidRPr="00253946">
        <w:rPr>
          <w:rFonts w:ascii="David" w:hAnsi="David" w:cs="David"/>
          <w:bCs/>
        </w:rPr>
        <w:t xml:space="preserve">about </w:t>
      </w:r>
      <w:r w:rsidR="00EE6713" w:rsidRPr="00253946">
        <w:rPr>
          <w:rFonts w:ascii="David" w:hAnsi="David" w:cs="David"/>
          <w:bCs/>
        </w:rPr>
        <w:t>$</w:t>
      </w:r>
      <w:r w:rsidR="00573524" w:rsidRPr="00253946">
        <w:rPr>
          <w:rFonts w:ascii="David" w:hAnsi="David" w:cs="David"/>
          <w:bCs/>
        </w:rPr>
        <w:t>1.6</w:t>
      </w:r>
      <w:r w:rsidR="00295790" w:rsidRPr="00253946">
        <w:rPr>
          <w:rFonts w:ascii="David" w:hAnsi="David" w:cs="David"/>
          <w:bCs/>
        </w:rPr>
        <w:t xml:space="preserve"> </w:t>
      </w:r>
      <w:r w:rsidR="004E0F06" w:rsidRPr="00253946">
        <w:rPr>
          <w:rFonts w:ascii="David" w:hAnsi="David" w:cs="David"/>
          <w:bCs/>
        </w:rPr>
        <w:t>b</w:t>
      </w:r>
      <w:r w:rsidRPr="00253946">
        <w:rPr>
          <w:rFonts w:ascii="David" w:hAnsi="David" w:cs="David"/>
          <w:bCs/>
        </w:rPr>
        <w:t>illion</w:t>
      </w:r>
      <w:r w:rsidR="009E3239" w:rsidRPr="00253946">
        <w:rPr>
          <w:rFonts w:ascii="David" w:hAnsi="David" w:cs="David"/>
          <w:bCs/>
        </w:rPr>
        <w:t xml:space="preserve"> in the </w:t>
      </w:r>
      <w:r w:rsidR="00573524" w:rsidRPr="00253946">
        <w:rPr>
          <w:rFonts w:ascii="David" w:hAnsi="David" w:cs="David"/>
          <w:bCs/>
        </w:rPr>
        <w:t>third</w:t>
      </w:r>
      <w:r w:rsidR="00CE7059" w:rsidRPr="00253946">
        <w:rPr>
          <w:rFonts w:ascii="David" w:hAnsi="David" w:cs="David"/>
          <w:bCs/>
        </w:rPr>
        <w:t xml:space="preserve"> quarter</w:t>
      </w:r>
      <w:r w:rsidRPr="00253946">
        <w:rPr>
          <w:rFonts w:ascii="David" w:hAnsi="David" w:cs="David"/>
          <w:bCs/>
        </w:rPr>
        <w:t>, to about $</w:t>
      </w:r>
      <w:r w:rsidR="00295790" w:rsidRPr="00253946">
        <w:rPr>
          <w:rFonts w:ascii="David" w:hAnsi="David" w:cs="David"/>
          <w:bCs/>
        </w:rPr>
        <w:t>8</w:t>
      </w:r>
      <w:r w:rsidR="00573524" w:rsidRPr="00253946">
        <w:rPr>
          <w:rFonts w:ascii="David" w:hAnsi="David" w:cs="David"/>
          <w:bCs/>
        </w:rPr>
        <w:t>2.4</w:t>
      </w:r>
      <w:r w:rsidR="00295790" w:rsidRPr="00253946">
        <w:rPr>
          <w:rFonts w:ascii="David" w:hAnsi="David" w:cs="David"/>
          <w:bCs/>
        </w:rPr>
        <w:t xml:space="preserve"> b</w:t>
      </w:r>
      <w:r w:rsidRPr="00253946">
        <w:rPr>
          <w:rFonts w:ascii="David" w:hAnsi="David" w:cs="David"/>
          <w:bCs/>
        </w:rPr>
        <w:t>illion at the end of</w:t>
      </w:r>
      <w:r w:rsidR="00295790" w:rsidRPr="00253946">
        <w:rPr>
          <w:rFonts w:ascii="David" w:hAnsi="David" w:cs="David"/>
          <w:bCs/>
        </w:rPr>
        <w:t xml:space="preserve"> </w:t>
      </w:r>
      <w:r w:rsidR="00573524" w:rsidRPr="00253946">
        <w:rPr>
          <w:rFonts w:ascii="David" w:hAnsi="David" w:cs="David"/>
          <w:bCs/>
        </w:rPr>
        <w:t>September</w:t>
      </w:r>
      <w:r w:rsidR="00980A0E" w:rsidRPr="00253946">
        <w:rPr>
          <w:rFonts w:ascii="David" w:hAnsi="David" w:cs="David"/>
          <w:bCs/>
        </w:rPr>
        <w:t xml:space="preserve">. </w:t>
      </w:r>
      <w:r w:rsidR="00862889" w:rsidRPr="00253946">
        <w:rPr>
          <w:rFonts w:ascii="David" w:hAnsi="David" w:cs="David"/>
          <w:bCs/>
        </w:rPr>
        <w:t xml:space="preserve">The </w:t>
      </w:r>
      <w:r w:rsidR="00295790" w:rsidRPr="00253946">
        <w:rPr>
          <w:rFonts w:ascii="David" w:hAnsi="David" w:cs="David"/>
          <w:bCs/>
        </w:rPr>
        <w:t xml:space="preserve">increase </w:t>
      </w:r>
      <w:r w:rsidR="00CF0C1C" w:rsidRPr="00253946">
        <w:rPr>
          <w:rFonts w:ascii="David" w:hAnsi="David" w:cs="David"/>
          <w:bCs/>
        </w:rPr>
        <w:t>in the portfoli</w:t>
      </w:r>
      <w:r w:rsidR="006F61B6" w:rsidRPr="00253946">
        <w:rPr>
          <w:rFonts w:ascii="David" w:hAnsi="David" w:cs="David"/>
          <w:bCs/>
        </w:rPr>
        <w:t xml:space="preserve">o value derived mainly from </w:t>
      </w:r>
      <w:r w:rsidR="00573524" w:rsidRPr="00253946">
        <w:rPr>
          <w:rFonts w:ascii="David" w:hAnsi="David" w:cs="David"/>
          <w:bCs/>
        </w:rPr>
        <w:t xml:space="preserve">nonresidents’ </w:t>
      </w:r>
      <w:r w:rsidR="00295790" w:rsidRPr="00253946">
        <w:rPr>
          <w:rFonts w:ascii="David" w:hAnsi="David" w:cs="David"/>
          <w:bCs/>
        </w:rPr>
        <w:t xml:space="preserve">investments </w:t>
      </w:r>
      <w:r w:rsidR="00573524" w:rsidRPr="00253946">
        <w:rPr>
          <w:rFonts w:ascii="David" w:hAnsi="David" w:cs="David"/>
          <w:bCs/>
        </w:rPr>
        <w:t xml:space="preserve">in </w:t>
      </w:r>
      <w:r w:rsidR="00573524" w:rsidRPr="00253946">
        <w:rPr>
          <w:rFonts w:ascii="David" w:hAnsi="David" w:cs="David"/>
          <w:bCs/>
          <w:i/>
          <w:iCs/>
        </w:rPr>
        <w:t>Makam</w:t>
      </w:r>
      <w:r w:rsidR="00207085" w:rsidRPr="00253946">
        <w:rPr>
          <w:rFonts w:ascii="David" w:hAnsi="David" w:cs="David"/>
          <w:bCs/>
        </w:rPr>
        <w:t xml:space="preserve">, which </w:t>
      </w:r>
      <w:proofErr w:type="gramStart"/>
      <w:r w:rsidR="00207085" w:rsidRPr="00253946">
        <w:rPr>
          <w:rFonts w:ascii="David" w:hAnsi="David" w:cs="David"/>
          <w:bCs/>
        </w:rPr>
        <w:t>were partly offset</w:t>
      </w:r>
      <w:proofErr w:type="gramEnd"/>
      <w:r w:rsidR="00207085" w:rsidRPr="00253946">
        <w:rPr>
          <w:rFonts w:ascii="David" w:hAnsi="David" w:cs="David"/>
          <w:bCs/>
        </w:rPr>
        <w:t xml:space="preserve"> by the </w:t>
      </w:r>
      <w:r w:rsidR="00CF0C1C" w:rsidRPr="00253946">
        <w:rPr>
          <w:rFonts w:ascii="David" w:hAnsi="David" w:cs="David"/>
          <w:bCs/>
        </w:rPr>
        <w:t xml:space="preserve">depreciation of </w:t>
      </w:r>
      <w:r w:rsidR="002928BA" w:rsidRPr="00253946">
        <w:rPr>
          <w:rFonts w:ascii="David" w:hAnsi="David" w:cs="David"/>
          <w:bCs/>
        </w:rPr>
        <w:t xml:space="preserve">the </w:t>
      </w:r>
      <w:r w:rsidR="00CF0C1C" w:rsidRPr="00253946">
        <w:rPr>
          <w:rFonts w:ascii="David" w:hAnsi="David" w:cs="David"/>
          <w:bCs/>
        </w:rPr>
        <w:t>shekel vs. the dollar.</w:t>
      </w:r>
      <w:r w:rsidR="00E82C8A" w:rsidRPr="00253946">
        <w:rPr>
          <w:rFonts w:ascii="David" w:hAnsi="David" w:cs="David"/>
          <w:bCs/>
        </w:rPr>
        <w:t xml:space="preserve"> (</w:t>
      </w:r>
      <w:r w:rsidR="0074167B" w:rsidRPr="00253946">
        <w:rPr>
          <w:rFonts w:ascii="David" w:hAnsi="David" w:cs="David"/>
          <w:bCs/>
        </w:rPr>
        <w:t>Figure 2 and Figure 3</w:t>
      </w:r>
      <w:r w:rsidR="00EE6713" w:rsidRPr="00253946">
        <w:rPr>
          <w:rFonts w:ascii="David" w:hAnsi="David" w:cs="David"/>
          <w:bCs/>
        </w:rPr>
        <w:t>).</w:t>
      </w:r>
    </w:p>
    <w:p w:rsidR="00477DCC" w:rsidRPr="00253946" w:rsidRDefault="00E203ED" w:rsidP="00E203ED">
      <w:pPr>
        <w:pStyle w:val="regpar"/>
        <w:ind w:left="-567" w:firstLine="567"/>
        <w:rPr>
          <w:rFonts w:ascii="David" w:hAnsi="David" w:cs="David"/>
        </w:rPr>
      </w:pPr>
      <w:r w:rsidRPr="00253946">
        <w:rPr>
          <w:rFonts w:ascii="David" w:hAnsi="David" w:cs="David"/>
          <w:b/>
          <w:bCs/>
          <w:noProof/>
        </w:rPr>
        <w:drawing>
          <wp:anchor distT="0" distB="0" distL="114300" distR="114300" simplePos="0" relativeHeight="251684864" behindDoc="0" locked="0" layoutInCell="1" allowOverlap="1">
            <wp:simplePos x="0" y="0"/>
            <wp:positionH relativeFrom="column">
              <wp:posOffset>2842508</wp:posOffset>
            </wp:positionH>
            <wp:positionV relativeFrom="paragraph">
              <wp:posOffset>5273</wp:posOffset>
            </wp:positionV>
            <wp:extent cx="2892849" cy="2089813"/>
            <wp:effectExtent l="0" t="0" r="3175" b="5715"/>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6851" cy="2092704"/>
                    </a:xfrm>
                    <a:prstGeom prst="rect">
                      <a:avLst/>
                    </a:prstGeom>
                    <a:noFill/>
                  </pic:spPr>
                </pic:pic>
              </a:graphicData>
            </a:graphic>
            <wp14:sizeRelV relativeFrom="margin">
              <wp14:pctHeight>0</wp14:pctHeight>
            </wp14:sizeRelV>
          </wp:anchor>
        </w:drawing>
      </w:r>
      <w:r w:rsidRPr="00253946">
        <w:rPr>
          <w:rFonts w:ascii="David" w:hAnsi="David" w:cs="David"/>
          <w:b/>
          <w:bCs/>
          <w:noProof/>
        </w:rPr>
        <w:drawing>
          <wp:anchor distT="0" distB="0" distL="114300" distR="114300" simplePos="0" relativeHeight="251683840" behindDoc="0" locked="0" layoutInCell="1" allowOverlap="1">
            <wp:simplePos x="0" y="0"/>
            <wp:positionH relativeFrom="margin">
              <wp:posOffset>-190832</wp:posOffset>
            </wp:positionH>
            <wp:positionV relativeFrom="paragraph">
              <wp:posOffset>4915</wp:posOffset>
            </wp:positionV>
            <wp:extent cx="3045349" cy="2090420"/>
            <wp:effectExtent l="0" t="0" r="3175" b="508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5349" cy="2090420"/>
                    </a:xfrm>
                    <a:prstGeom prst="rect">
                      <a:avLst/>
                    </a:prstGeom>
                    <a:noFill/>
                  </pic:spPr>
                </pic:pic>
              </a:graphicData>
            </a:graphic>
            <wp14:sizeRelH relativeFrom="margin">
              <wp14:pctWidth>0</wp14:pctWidth>
            </wp14:sizeRelH>
            <wp14:sizeRelV relativeFrom="margin">
              <wp14:pctHeight>0</wp14:pctHeight>
            </wp14:sizeRelV>
          </wp:anchor>
        </w:drawing>
      </w:r>
    </w:p>
    <w:p w:rsidR="009C3057" w:rsidRPr="00253946" w:rsidRDefault="009C3057" w:rsidP="00452111">
      <w:pPr>
        <w:pStyle w:val="regpar"/>
        <w:ind w:firstLine="0"/>
        <w:rPr>
          <w:rFonts w:ascii="David" w:hAnsi="David" w:cs="David"/>
          <w:b/>
          <w:bCs/>
        </w:rPr>
      </w:pPr>
    </w:p>
    <w:p w:rsidR="009C3057" w:rsidRPr="00253946" w:rsidRDefault="009C3057" w:rsidP="00E203ED">
      <w:pPr>
        <w:pStyle w:val="regpar"/>
        <w:ind w:firstLine="0"/>
        <w:jc w:val="right"/>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9C3057" w:rsidP="00452111">
      <w:pPr>
        <w:pStyle w:val="regpar"/>
        <w:ind w:firstLine="0"/>
        <w:rPr>
          <w:rFonts w:ascii="David" w:hAnsi="David" w:cs="David"/>
          <w:b/>
          <w:bCs/>
        </w:rPr>
      </w:pPr>
    </w:p>
    <w:p w:rsidR="009C3057" w:rsidRPr="00253946" w:rsidRDefault="00D62774" w:rsidP="00452111">
      <w:pPr>
        <w:pStyle w:val="regpar"/>
        <w:ind w:firstLine="0"/>
        <w:rPr>
          <w:rFonts w:ascii="David" w:hAnsi="David" w:cs="David"/>
          <w:b/>
          <w:bCs/>
        </w:rPr>
      </w:pPr>
      <w:r w:rsidRPr="00253946">
        <w:rPr>
          <w:rFonts w:ascii="David" w:hAnsi="David" w:cs="David"/>
          <w:b/>
          <w:bCs/>
          <w:noProof/>
        </w:rPr>
        <mc:AlternateContent>
          <mc:Choice Requires="wps">
            <w:drawing>
              <wp:anchor distT="45720" distB="45720" distL="114300" distR="114300" simplePos="0" relativeHeight="251670528" behindDoc="0" locked="0" layoutInCell="1" allowOverlap="1">
                <wp:simplePos x="0" y="0"/>
                <wp:positionH relativeFrom="page">
                  <wp:posOffset>1049407</wp:posOffset>
                </wp:positionH>
                <wp:positionV relativeFrom="paragraph">
                  <wp:posOffset>187905</wp:posOffset>
                </wp:positionV>
                <wp:extent cx="4812665" cy="285750"/>
                <wp:effectExtent l="0" t="0" r="698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285750"/>
                        </a:xfrm>
                        <a:prstGeom prst="rect">
                          <a:avLst/>
                        </a:prstGeom>
                        <a:solidFill>
                          <a:srgbClr val="FFFFFF"/>
                        </a:solidFill>
                        <a:ln w="9525">
                          <a:noFill/>
                          <a:miter lim="800000"/>
                          <a:headEnd/>
                          <a:tailEnd/>
                        </a:ln>
                      </wps:spPr>
                      <wps:txbx>
                        <w:txbxContent>
                          <w:p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65pt;margin-top:14.8pt;width:378.95pt;height:2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KZIgIAACMEAAAOAAAAZHJzL2Uyb0RvYy54bWysU9uO2yAQfa/Uf0C8N06sOMlacVbbbFNV&#10;2l6k3X4AxjhGBYYCiZ1+fQecpNH2rSoPiGGGw8yZM+v7QStyFM5LMBWdTaaUCMOhkWZf0e8vu3cr&#10;SnxgpmEKjKjoSXh6v3n7Zt3bUuTQgWqEIwhifNnbinYh2DLLPO+EZn4CVhh0tuA0C2i6fdY41iO6&#10;Vlk+nS6yHlxjHXDhPd4+jk66SfhtK3j42rZeBKIqirmFtLu013HPNmtW7h2zneTnNNg/ZKGZNPjp&#10;FeqRBUYOTv4FpSV34KENEw46g7aVXKQasJrZ9FU1zx2zItWC5Hh7pcn/P1j+5fjNEdlg75aUGKax&#10;Ry9iCOQ9DCSP9PTWlxj1bDEuDHiNoalUb5+A//DEwLZjZi8enIO+E6zB9GbxZXbzdMTxEaTuP0OD&#10;37BDgAQ0tE5H7pANgujYptO1NTEVjpfz1SxfLApKOPryVbEsUu8yVl5eW+fDRwGaxENFHbY+obPj&#10;kw8xG1ZeQuJnHpRsdlKpZLh9vVWOHBnKZJdWKuBVmDKkr+hdkRcJ2UB8nxSkZUAZK6kruprGNQor&#10;svHBNCkkMKnGM2aizJmeyMjITRjqYWzEhfUamhPy5WBULU4ZHjpwvyjpUbEV9T8PzAlK1CeDnN/N&#10;5vMo8WTMi2WOhrv11LceZjhCVTRQMh63IY1FpMPAA/amlYm22MQxk3PKqMTE5nlqotRv7RT1Z7Y3&#10;vwEAAP//AwBQSwMEFAAGAAgAAAAhAOsLd6feAAAACQEAAA8AAABkcnMvZG93bnJldi54bWxMj9FO&#10;g0AQRd9N/IfNmPhi7CJtF6EsjZpofG3tBywwBVJ2lrDbQv/e8ck+3szJvWfy7Wx7ccHRd440vCwi&#10;EEiVqztqNBx+Pp9fQfhgqDa9I9RwRQ/b4v4uN1ntJtrhZR8awSXkM6OhDWHIpPRVi9b4hRuQ+HZ0&#10;ozWB49jIejQTl9texlGkpDUd8UJrBvxosTrtz1bD8Xt6WqdT+RUOyW6l3k2XlO6q9ePD/LYBEXAO&#10;/zD86bM6FOxUujPVXvSc1XrJqIY4VSAYSONlDKLUkKwUyCKXtx8UvwAAAP//AwBQSwECLQAUAAYA&#10;CAAAACEAtoM4kv4AAADhAQAAEwAAAAAAAAAAAAAAAAAAAAAAW0NvbnRlbnRfVHlwZXNdLnhtbFBL&#10;AQItABQABgAIAAAAIQA4/SH/1gAAAJQBAAALAAAAAAAAAAAAAAAAAC8BAABfcmVscy8ucmVsc1BL&#10;AQItABQABgAIAAAAIQBlKqKZIgIAACMEAAAOAAAAAAAAAAAAAAAAAC4CAABkcnMvZTJvRG9jLnht&#10;bFBLAQItABQABgAIAAAAIQDrC3en3gAAAAkBAAAPAAAAAAAAAAAAAAAAAHwEAABkcnMvZG93bnJl&#10;di54bWxQSwUGAAAAAAQABADzAAAAhwUAAAAA&#10;" stroked="f">
                <v:textbox>
                  <w:txbxContent>
                    <w:p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w10:wrap anchorx="page"/>
              </v:shape>
            </w:pict>
          </mc:Fallback>
        </mc:AlternateContent>
      </w:r>
    </w:p>
    <w:p w:rsidR="00BA72C9" w:rsidRPr="00253946" w:rsidRDefault="00BA72C9" w:rsidP="00707956">
      <w:pPr>
        <w:pStyle w:val="regpar"/>
        <w:ind w:firstLine="0"/>
        <w:rPr>
          <w:rFonts w:ascii="David" w:hAnsi="David" w:cs="David"/>
          <w:b/>
          <w:bCs/>
        </w:rPr>
      </w:pPr>
    </w:p>
    <w:p w:rsidR="007409AC" w:rsidRPr="00253946" w:rsidRDefault="007409AC" w:rsidP="00573524">
      <w:pPr>
        <w:pStyle w:val="regpar"/>
        <w:ind w:firstLine="0"/>
        <w:outlineLvl w:val="0"/>
        <w:rPr>
          <w:rFonts w:ascii="David" w:hAnsi="David" w:cs="David"/>
        </w:rPr>
      </w:pPr>
      <w:r w:rsidRPr="00253946">
        <w:rPr>
          <w:rFonts w:ascii="David" w:hAnsi="David" w:cs="David"/>
          <w:b/>
          <w:bCs/>
        </w:rPr>
        <w:lastRenderedPageBreak/>
        <w:t xml:space="preserve">The value of other investments in the economy </w:t>
      </w:r>
      <w:r w:rsidR="002E2EF8" w:rsidRPr="00253946">
        <w:rPr>
          <w:rFonts w:ascii="David" w:hAnsi="David" w:cs="David"/>
        </w:rPr>
        <w:t>de</w:t>
      </w:r>
      <w:r w:rsidR="005F798D" w:rsidRPr="00253946">
        <w:rPr>
          <w:rFonts w:ascii="David" w:hAnsi="David" w:cs="David"/>
        </w:rPr>
        <w:t>c</w:t>
      </w:r>
      <w:r w:rsidR="00573524" w:rsidRPr="00253946">
        <w:rPr>
          <w:rFonts w:ascii="David" w:hAnsi="David" w:cs="David"/>
        </w:rPr>
        <w:t>lined</w:t>
      </w:r>
      <w:r w:rsidR="005F798D" w:rsidRPr="00253946">
        <w:rPr>
          <w:rFonts w:ascii="David" w:hAnsi="David" w:cs="David"/>
        </w:rPr>
        <w:t xml:space="preserve"> </w:t>
      </w:r>
      <w:r w:rsidR="00DC5C52" w:rsidRPr="00253946">
        <w:rPr>
          <w:rFonts w:ascii="David" w:hAnsi="David" w:cs="David"/>
        </w:rPr>
        <w:t>by about $</w:t>
      </w:r>
      <w:r w:rsidR="00174485" w:rsidRPr="00253946">
        <w:rPr>
          <w:rFonts w:ascii="David" w:hAnsi="David" w:cs="David"/>
        </w:rPr>
        <w:t>0.</w:t>
      </w:r>
      <w:r w:rsidR="00573524" w:rsidRPr="00253946">
        <w:rPr>
          <w:rFonts w:ascii="David" w:hAnsi="David" w:cs="David"/>
        </w:rPr>
        <w:t>9</w:t>
      </w:r>
      <w:r w:rsidR="00DC5C52" w:rsidRPr="00253946">
        <w:rPr>
          <w:rFonts w:ascii="David" w:hAnsi="David" w:cs="David"/>
        </w:rPr>
        <w:t xml:space="preserve"> billion (</w:t>
      </w:r>
      <w:r w:rsidR="00685643" w:rsidRPr="00253946">
        <w:rPr>
          <w:rFonts w:ascii="David" w:hAnsi="David" w:cs="David"/>
        </w:rPr>
        <w:t xml:space="preserve">about </w:t>
      </w:r>
      <w:r w:rsidR="00174485" w:rsidRPr="00253946">
        <w:rPr>
          <w:rFonts w:ascii="David" w:hAnsi="David" w:cs="David"/>
        </w:rPr>
        <w:t>1</w:t>
      </w:r>
      <w:r w:rsidR="00573524" w:rsidRPr="00253946">
        <w:rPr>
          <w:rFonts w:ascii="David" w:hAnsi="David" w:cs="David"/>
        </w:rPr>
        <w:t>.5</w:t>
      </w:r>
      <w:r w:rsidR="002E2EF8" w:rsidRPr="00253946">
        <w:rPr>
          <w:rFonts w:ascii="David" w:hAnsi="David" w:cs="David"/>
        </w:rPr>
        <w:t xml:space="preserve"> </w:t>
      </w:r>
      <w:r w:rsidR="00DC5C52" w:rsidRPr="00253946">
        <w:rPr>
          <w:rFonts w:ascii="David" w:hAnsi="David" w:cs="David"/>
        </w:rPr>
        <w:t xml:space="preserve">percent) in the </w:t>
      </w:r>
      <w:r w:rsidR="00573524" w:rsidRPr="00253946">
        <w:rPr>
          <w:rFonts w:ascii="David" w:hAnsi="David" w:cs="David"/>
        </w:rPr>
        <w:t>thir</w:t>
      </w:r>
      <w:r w:rsidR="00BA2CAD" w:rsidRPr="00253946">
        <w:rPr>
          <w:rFonts w:ascii="David" w:hAnsi="David" w:cs="David"/>
        </w:rPr>
        <w:t>d</w:t>
      </w:r>
      <w:r w:rsidR="00CE7059" w:rsidRPr="00253946">
        <w:rPr>
          <w:rFonts w:ascii="David" w:hAnsi="David" w:cs="David"/>
        </w:rPr>
        <w:t xml:space="preserve"> quarter</w:t>
      </w:r>
      <w:r w:rsidR="00DC5C52" w:rsidRPr="00253946">
        <w:rPr>
          <w:rFonts w:ascii="David" w:hAnsi="David" w:cs="David"/>
        </w:rPr>
        <w:t xml:space="preserve">, to </w:t>
      </w:r>
      <w:r w:rsidR="00174485" w:rsidRPr="00253946">
        <w:rPr>
          <w:rFonts w:ascii="David" w:hAnsi="David" w:cs="David"/>
        </w:rPr>
        <w:t xml:space="preserve">about </w:t>
      </w:r>
      <w:r w:rsidR="00DC5C52" w:rsidRPr="00253946">
        <w:rPr>
          <w:rFonts w:ascii="David" w:hAnsi="David" w:cs="David"/>
        </w:rPr>
        <w:t>$</w:t>
      </w:r>
      <w:r w:rsidR="00573524" w:rsidRPr="00253946">
        <w:rPr>
          <w:rFonts w:ascii="David" w:hAnsi="David" w:cs="David"/>
        </w:rPr>
        <w:t>59.5</w:t>
      </w:r>
      <w:r w:rsidR="002E2EF8" w:rsidRPr="00253946">
        <w:rPr>
          <w:rFonts w:ascii="David" w:hAnsi="David" w:cs="David"/>
        </w:rPr>
        <w:t xml:space="preserve"> b</w:t>
      </w:r>
      <w:r w:rsidR="00DC5C52" w:rsidRPr="00253946">
        <w:rPr>
          <w:rFonts w:ascii="David" w:hAnsi="David" w:cs="David"/>
        </w:rPr>
        <w:t xml:space="preserve">illion. The </w:t>
      </w:r>
      <w:r w:rsidR="002E2EF8" w:rsidRPr="00253946">
        <w:rPr>
          <w:rFonts w:ascii="David" w:hAnsi="David" w:cs="David"/>
        </w:rPr>
        <w:t>de</w:t>
      </w:r>
      <w:r w:rsidR="005F798D" w:rsidRPr="00253946">
        <w:rPr>
          <w:rFonts w:ascii="David" w:hAnsi="David" w:cs="David"/>
        </w:rPr>
        <w:t xml:space="preserve">crease </w:t>
      </w:r>
      <w:r w:rsidR="00DC5C52" w:rsidRPr="00253946">
        <w:rPr>
          <w:rFonts w:ascii="David" w:hAnsi="David" w:cs="David"/>
        </w:rPr>
        <w:t xml:space="preserve">was mainly due to </w:t>
      </w:r>
      <w:r w:rsidR="00573524" w:rsidRPr="00253946">
        <w:rPr>
          <w:rFonts w:ascii="David" w:hAnsi="David" w:cs="David"/>
        </w:rPr>
        <w:t xml:space="preserve">a decline of about $1.9 billion in suppliers’ credit received by Israelis.  This decline </w:t>
      </w:r>
      <w:proofErr w:type="gramStart"/>
      <w:r w:rsidR="00573524" w:rsidRPr="00253946">
        <w:rPr>
          <w:rFonts w:ascii="David" w:hAnsi="David" w:cs="David"/>
        </w:rPr>
        <w:t>was partly offset</w:t>
      </w:r>
      <w:proofErr w:type="gramEnd"/>
      <w:r w:rsidR="00573524" w:rsidRPr="00253946">
        <w:rPr>
          <w:rFonts w:ascii="David" w:hAnsi="David" w:cs="David"/>
        </w:rPr>
        <w:t xml:space="preserve"> by nonresidents’ net deposits of about $1.7 billion in Israeli banks.</w:t>
      </w:r>
    </w:p>
    <w:p w:rsidR="007409AC" w:rsidRPr="00253946" w:rsidRDefault="007409AC" w:rsidP="007409AC">
      <w:pPr>
        <w:pStyle w:val="regpar"/>
        <w:ind w:firstLine="0"/>
        <w:outlineLvl w:val="0"/>
        <w:rPr>
          <w:rFonts w:ascii="David" w:hAnsi="David" w:cs="David"/>
          <w:b/>
          <w:bCs/>
        </w:rPr>
      </w:pPr>
    </w:p>
    <w:p w:rsidR="008F2F3B" w:rsidRPr="00253946" w:rsidRDefault="008F2F3B" w:rsidP="00573524">
      <w:pPr>
        <w:pStyle w:val="regpar"/>
        <w:ind w:firstLine="0"/>
        <w:outlineLvl w:val="0"/>
        <w:rPr>
          <w:rFonts w:ascii="David" w:hAnsi="David" w:cs="David"/>
        </w:rPr>
      </w:pPr>
      <w:r w:rsidRPr="00253946">
        <w:rPr>
          <w:rFonts w:ascii="David" w:hAnsi="David" w:cs="David"/>
          <w:b/>
          <w:bCs/>
        </w:rPr>
        <w:t xml:space="preserve">The balance of liabilities in debt instruments alone, </w:t>
      </w:r>
      <w:r w:rsidRPr="00253946">
        <w:rPr>
          <w:rFonts w:ascii="David" w:hAnsi="David" w:cs="David"/>
        </w:rPr>
        <w:t xml:space="preserve">which makes up Israel's gross external debt, </w:t>
      </w:r>
      <w:r w:rsidR="00573524" w:rsidRPr="00253946">
        <w:rPr>
          <w:rFonts w:ascii="David" w:hAnsi="David" w:cs="David"/>
        </w:rPr>
        <w:t>declin</w:t>
      </w:r>
      <w:r w:rsidR="002E2EF8" w:rsidRPr="00253946">
        <w:rPr>
          <w:rFonts w:ascii="David" w:hAnsi="David" w:cs="David"/>
        </w:rPr>
        <w:t xml:space="preserve">ed </w:t>
      </w:r>
      <w:r w:rsidRPr="00253946">
        <w:rPr>
          <w:rFonts w:ascii="David" w:hAnsi="David" w:cs="David"/>
        </w:rPr>
        <w:t>by about $</w:t>
      </w:r>
      <w:r w:rsidR="00174485" w:rsidRPr="00253946">
        <w:rPr>
          <w:rFonts w:ascii="David" w:hAnsi="David" w:cs="David"/>
        </w:rPr>
        <w:t>0.</w:t>
      </w:r>
      <w:r w:rsidR="00573524" w:rsidRPr="00253946">
        <w:rPr>
          <w:rFonts w:ascii="David" w:hAnsi="David" w:cs="David"/>
        </w:rPr>
        <w:t>9</w:t>
      </w:r>
      <w:r w:rsidR="00A67B02" w:rsidRPr="00253946">
        <w:rPr>
          <w:rFonts w:ascii="David" w:hAnsi="David" w:cs="David"/>
        </w:rPr>
        <w:t xml:space="preserve"> </w:t>
      </w:r>
      <w:r w:rsidRPr="00253946">
        <w:rPr>
          <w:rFonts w:ascii="David" w:hAnsi="David" w:cs="David"/>
        </w:rPr>
        <w:t>billion (</w:t>
      </w:r>
      <w:r w:rsidR="00174485" w:rsidRPr="00253946">
        <w:rPr>
          <w:rFonts w:ascii="David" w:hAnsi="David" w:cs="David"/>
        </w:rPr>
        <w:t>0.</w:t>
      </w:r>
      <w:r w:rsidR="00573524" w:rsidRPr="00253946">
        <w:rPr>
          <w:rFonts w:ascii="David" w:hAnsi="David" w:cs="David"/>
        </w:rPr>
        <w:t>6</w:t>
      </w:r>
      <w:r w:rsidR="00B45CBD" w:rsidRPr="00253946">
        <w:rPr>
          <w:rFonts w:ascii="David" w:hAnsi="David" w:cs="David"/>
        </w:rPr>
        <w:t xml:space="preserve"> </w:t>
      </w:r>
      <w:r w:rsidRPr="00253946">
        <w:rPr>
          <w:rFonts w:ascii="David" w:hAnsi="David" w:cs="David"/>
        </w:rPr>
        <w:t xml:space="preserve">percent) in the </w:t>
      </w:r>
      <w:r w:rsidR="00573524" w:rsidRPr="00253946">
        <w:rPr>
          <w:rFonts w:ascii="David" w:hAnsi="David" w:cs="David"/>
        </w:rPr>
        <w:t>thir</w:t>
      </w:r>
      <w:r w:rsidR="00BA2CAD" w:rsidRPr="00253946">
        <w:rPr>
          <w:rFonts w:ascii="David" w:hAnsi="David" w:cs="David"/>
        </w:rPr>
        <w:t>d</w:t>
      </w:r>
      <w:r w:rsidR="00CE7059" w:rsidRPr="00253946">
        <w:rPr>
          <w:rFonts w:ascii="David" w:hAnsi="David" w:cs="David"/>
        </w:rPr>
        <w:t xml:space="preserve"> quarter</w:t>
      </w:r>
      <w:r w:rsidR="00A53A8A" w:rsidRPr="00253946">
        <w:rPr>
          <w:rFonts w:ascii="David" w:hAnsi="David" w:cs="David"/>
        </w:rPr>
        <w:t>,</w:t>
      </w:r>
      <w:r w:rsidRPr="00253946">
        <w:rPr>
          <w:rFonts w:ascii="David" w:hAnsi="David" w:cs="David"/>
        </w:rPr>
        <w:t xml:space="preserve"> to</w:t>
      </w:r>
      <w:r w:rsidR="009277E3" w:rsidRPr="00253946">
        <w:rPr>
          <w:rFonts w:ascii="David" w:hAnsi="David" w:cs="David"/>
        </w:rPr>
        <w:t xml:space="preserve"> about</w:t>
      </w:r>
      <w:r w:rsidRPr="00253946">
        <w:rPr>
          <w:rFonts w:ascii="David" w:hAnsi="David" w:cs="David"/>
        </w:rPr>
        <w:t xml:space="preserve"> $</w:t>
      </w:r>
      <w:r w:rsidR="002E2EF8" w:rsidRPr="00253946">
        <w:rPr>
          <w:rFonts w:ascii="David" w:hAnsi="David" w:cs="David"/>
        </w:rPr>
        <w:t>15</w:t>
      </w:r>
      <w:r w:rsidR="00573524" w:rsidRPr="00253946">
        <w:rPr>
          <w:rFonts w:ascii="David" w:hAnsi="David" w:cs="David"/>
        </w:rPr>
        <w:t>5</w:t>
      </w:r>
      <w:r w:rsidR="002E2EF8" w:rsidRPr="00253946">
        <w:rPr>
          <w:rFonts w:ascii="David" w:hAnsi="David" w:cs="David"/>
        </w:rPr>
        <w:t xml:space="preserve"> </w:t>
      </w:r>
      <w:r w:rsidRPr="00253946">
        <w:rPr>
          <w:rFonts w:ascii="David" w:hAnsi="David" w:cs="David"/>
        </w:rPr>
        <w:t>billion</w:t>
      </w:r>
      <w:r w:rsidR="00BA72C9" w:rsidRPr="00253946">
        <w:rPr>
          <w:rFonts w:ascii="David" w:hAnsi="David" w:cs="David"/>
        </w:rPr>
        <w:t>.</w:t>
      </w:r>
    </w:p>
    <w:p w:rsidR="00284C45" w:rsidRPr="00253946" w:rsidRDefault="00284C45" w:rsidP="00DE255D">
      <w:pPr>
        <w:pStyle w:val="regpar"/>
        <w:ind w:firstLine="0"/>
        <w:rPr>
          <w:rFonts w:ascii="David" w:hAnsi="David" w:cs="David"/>
          <w:b/>
          <w:bCs/>
        </w:rPr>
      </w:pPr>
    </w:p>
    <w:p w:rsidR="009277E3" w:rsidRPr="00253946" w:rsidRDefault="00160080" w:rsidP="00573524">
      <w:pPr>
        <w:pStyle w:val="regpar"/>
        <w:ind w:firstLine="0"/>
        <w:rPr>
          <w:rFonts w:ascii="David" w:hAnsi="David" w:cs="David"/>
        </w:rPr>
      </w:pPr>
      <w:r w:rsidRPr="00253946">
        <w:rPr>
          <w:rFonts w:ascii="David" w:hAnsi="David" w:cs="David"/>
          <w:b/>
          <w:bCs/>
        </w:rPr>
        <w:t>The ratio of gross external debt to GDP</w:t>
      </w:r>
      <w:r w:rsidR="00CE4765" w:rsidRPr="00253946">
        <w:rPr>
          <w:rFonts w:ascii="David" w:hAnsi="David" w:cs="David"/>
        </w:rPr>
        <w:t xml:space="preserve"> </w:t>
      </w:r>
      <w:r w:rsidR="00573524" w:rsidRPr="00253946">
        <w:rPr>
          <w:rFonts w:ascii="David" w:hAnsi="David" w:cs="David"/>
        </w:rPr>
        <w:t>increased by about 0.1 percentage points in the third quarter</w:t>
      </w:r>
      <w:r w:rsidR="007C13F5" w:rsidRPr="00253946">
        <w:rPr>
          <w:rFonts w:ascii="David" w:hAnsi="David" w:cs="David"/>
        </w:rPr>
        <w:t xml:space="preserve">, </w:t>
      </w:r>
      <w:r w:rsidR="00573524" w:rsidRPr="00253946">
        <w:rPr>
          <w:rFonts w:ascii="David" w:hAnsi="David" w:cs="David"/>
        </w:rPr>
        <w:t>to</w:t>
      </w:r>
      <w:r w:rsidR="007C13F5" w:rsidRPr="00253946">
        <w:rPr>
          <w:rFonts w:ascii="David" w:hAnsi="David" w:cs="David"/>
        </w:rPr>
        <w:t xml:space="preserve"> </w:t>
      </w:r>
      <w:r w:rsidR="00685643" w:rsidRPr="00253946">
        <w:rPr>
          <w:rFonts w:ascii="David" w:hAnsi="David" w:cs="David"/>
        </w:rPr>
        <w:t>about</w:t>
      </w:r>
      <w:r w:rsidRPr="00253946">
        <w:rPr>
          <w:rFonts w:ascii="David" w:hAnsi="David" w:cs="David"/>
        </w:rPr>
        <w:t xml:space="preserve"> </w:t>
      </w:r>
      <w:r w:rsidR="002E2EF8" w:rsidRPr="00253946">
        <w:rPr>
          <w:rFonts w:ascii="David" w:hAnsi="David" w:cs="David"/>
        </w:rPr>
        <w:t xml:space="preserve">30.2 </w:t>
      </w:r>
      <w:r w:rsidRPr="00253946">
        <w:rPr>
          <w:rFonts w:ascii="David" w:hAnsi="David" w:cs="David"/>
        </w:rPr>
        <w:t xml:space="preserve">percent at the end of </w:t>
      </w:r>
      <w:r w:rsidR="00573524" w:rsidRPr="00253946">
        <w:rPr>
          <w:rFonts w:ascii="David" w:hAnsi="David" w:cs="David"/>
        </w:rPr>
        <w:t>September</w:t>
      </w:r>
      <w:r w:rsidR="002E2EF8" w:rsidRPr="00253946">
        <w:rPr>
          <w:rFonts w:ascii="David" w:hAnsi="David" w:cs="David"/>
        </w:rPr>
        <w:t xml:space="preserve"> </w:t>
      </w:r>
      <w:r w:rsidRPr="00253946">
        <w:rPr>
          <w:rFonts w:ascii="David" w:hAnsi="David" w:cs="David"/>
        </w:rPr>
        <w:t>(Figure 4)</w:t>
      </w:r>
      <w:r w:rsidR="009277E3" w:rsidRPr="00253946">
        <w:rPr>
          <w:rFonts w:ascii="David" w:hAnsi="David" w:cs="David"/>
        </w:rPr>
        <w:t>.</w:t>
      </w:r>
    </w:p>
    <w:p w:rsidR="009277E3" w:rsidRPr="00253946" w:rsidRDefault="004D15B6">
      <w:pPr>
        <w:bidi w:val="0"/>
        <w:rPr>
          <w:rFonts w:ascii="David" w:hAnsi="David" w:cs="David"/>
        </w:rPr>
      </w:pPr>
      <w:r w:rsidRPr="00253946">
        <w:rPr>
          <w:rFonts w:ascii="David" w:hAnsi="David" w:cs="David"/>
          <w:bCs/>
          <w:noProof/>
        </w:rPr>
        <w:drawing>
          <wp:anchor distT="0" distB="0" distL="114300" distR="114300" simplePos="0" relativeHeight="251685888" behindDoc="0" locked="0" layoutInCell="1" allowOverlap="1">
            <wp:simplePos x="0" y="0"/>
            <wp:positionH relativeFrom="column">
              <wp:posOffset>616143</wp:posOffset>
            </wp:positionH>
            <wp:positionV relativeFrom="paragraph">
              <wp:posOffset>51656</wp:posOffset>
            </wp:positionV>
            <wp:extent cx="4225917" cy="2574094"/>
            <wp:effectExtent l="0" t="0" r="381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0097" cy="2588823"/>
                    </a:xfrm>
                    <a:prstGeom prst="rect">
                      <a:avLst/>
                    </a:prstGeom>
                    <a:noFill/>
                  </pic:spPr>
                </pic:pic>
              </a:graphicData>
            </a:graphic>
            <wp14:sizeRelH relativeFrom="margin">
              <wp14:pctWidth>0</wp14:pctWidth>
            </wp14:sizeRelH>
            <wp14:sizeRelV relativeFrom="margin">
              <wp14:pctHeight>0</wp14:pctHeight>
            </wp14:sizeRelV>
          </wp:anchor>
        </w:drawing>
      </w:r>
    </w:p>
    <w:p w:rsidR="00160080" w:rsidRPr="00253946" w:rsidRDefault="00160080" w:rsidP="009277E3">
      <w:pPr>
        <w:pStyle w:val="regpar"/>
        <w:ind w:firstLine="0"/>
        <w:rPr>
          <w:rFonts w:ascii="David" w:hAnsi="David" w:cs="David"/>
        </w:rPr>
      </w:pPr>
    </w:p>
    <w:p w:rsidR="00160080" w:rsidRPr="00253946" w:rsidRDefault="00160080" w:rsidP="00A74259">
      <w:pPr>
        <w:pStyle w:val="regpar"/>
        <w:ind w:firstLine="0"/>
        <w:rPr>
          <w:rFonts w:ascii="David" w:hAnsi="David" w:cs="David"/>
          <w:b/>
          <w:bCs/>
        </w:rPr>
      </w:pPr>
    </w:p>
    <w:p w:rsidR="00DD15DC" w:rsidRPr="00253946" w:rsidRDefault="00DD15DC" w:rsidP="00DD15DC">
      <w:pPr>
        <w:pStyle w:val="regpar"/>
        <w:ind w:firstLine="0"/>
        <w:rPr>
          <w:rFonts w:ascii="David" w:hAnsi="David" w:cs="David"/>
          <w:bCs/>
        </w:rPr>
      </w:pPr>
    </w:p>
    <w:p w:rsidR="00B732F9" w:rsidRPr="00253946" w:rsidRDefault="00B732F9" w:rsidP="00DD15DC">
      <w:pPr>
        <w:pStyle w:val="regpar"/>
        <w:ind w:firstLine="0"/>
        <w:rPr>
          <w:rFonts w:ascii="David" w:hAnsi="David" w:cs="David"/>
          <w:bCs/>
        </w:rPr>
      </w:pPr>
    </w:p>
    <w:p w:rsidR="00B732F9" w:rsidRPr="00253946" w:rsidRDefault="00B732F9"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B16BBB" w:rsidP="00DD15DC">
      <w:pPr>
        <w:pStyle w:val="regpar"/>
        <w:ind w:firstLine="0"/>
        <w:rPr>
          <w:rFonts w:ascii="David" w:hAnsi="David" w:cs="David"/>
          <w:bCs/>
        </w:rPr>
      </w:pPr>
    </w:p>
    <w:p w:rsidR="00B16BBB" w:rsidRPr="00253946" w:rsidRDefault="00707956" w:rsidP="00DD15DC">
      <w:pPr>
        <w:pStyle w:val="regpar"/>
        <w:ind w:firstLine="0"/>
        <w:rPr>
          <w:rFonts w:ascii="David" w:hAnsi="David" w:cs="David"/>
          <w:bCs/>
        </w:rPr>
      </w:pPr>
      <w:r w:rsidRPr="00253946">
        <w:rPr>
          <w:rFonts w:ascii="David" w:hAnsi="David" w:cs="David"/>
          <w:bCs/>
          <w:noProof/>
        </w:rPr>
        <mc:AlternateContent>
          <mc:Choice Requires="wps">
            <w:drawing>
              <wp:anchor distT="45720" distB="45720" distL="114300" distR="114300" simplePos="0" relativeHeight="251679744" behindDoc="0" locked="0" layoutInCell="1" allowOverlap="1">
                <wp:simplePos x="0" y="0"/>
                <wp:positionH relativeFrom="page">
                  <wp:posOffset>1711325</wp:posOffset>
                </wp:positionH>
                <wp:positionV relativeFrom="paragraph">
                  <wp:posOffset>7288</wp:posOffset>
                </wp:positionV>
                <wp:extent cx="4164965" cy="1404620"/>
                <wp:effectExtent l="0" t="0" r="698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1404620"/>
                        </a:xfrm>
                        <a:prstGeom prst="rect">
                          <a:avLst/>
                        </a:prstGeom>
                        <a:solidFill>
                          <a:srgbClr val="FFFFFF"/>
                        </a:solidFill>
                        <a:ln w="9525">
                          <a:noFill/>
                          <a:miter lim="800000"/>
                          <a:headEnd/>
                          <a:tailEnd/>
                        </a:ln>
                      </wps:spPr>
                      <wps:txbx>
                        <w:txbxContent>
                          <w:p w:rsidR="00BB6B61" w:rsidRPr="00BB6B61" w:rsidRDefault="00BB6B61" w:rsidP="00BA72C9">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r w:rsidRPr="00BB6B61">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4.75pt;margin-top:.55pt;width:327.95pt;height:110.6pt;z-index:2516797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1GIwIAACQEAAAOAAAAZHJzL2Uyb0RvYy54bWysU8GO2yAQvVfqPyDuje3ISTdWnNU221SV&#10;tttKu/0AjHGMCgwFEnv79R1wkkbbW1UOCJjh8ea9YX07akWOwnkJpqbFLKdEGA6tNPuafn/evbuh&#10;xAdmWqbAiJq+CE9vN2/frAdbiTn0oFrhCIIYXw22pn0Itsoyz3uhmZ+BFQaDHTjNAm7dPmsdGxBd&#10;q2ye58tsANdaB1x4j6f3U5BuEn7XCR6+dp0XgaiaIreQZpfmJs7ZZs2qvWO2l/xEg/0DC82kwUcv&#10;UPcsMHJw8i8oLbkDD12YcdAZdJ3kItWA1RT5q2qeemZFqgXF8fYik/9/sPzx+M0R2dZ0XlJimEaP&#10;nsUYyAcYyTzKM1hfYdaTxbww4jHanEr19gH4D08MbHtm9uLOORh6wVqkV8Sb2dXVCcdHkGb4Ai0+&#10;ww4BEtDYOR21QzUIoqNNLxdrIhWOh2WxLFfLBSUcY0WZl8t5Mi9j1fm6dT58EqBJXNTUofcJnh0f&#10;fIh0WHVOia95ULLdSaXSxu2brXLkyLBPdmmkCl6lKUOGmq4W80VCNhDvpxbSMmAfK6lrepPHMXVW&#10;lOOjaVNKYFJNa2SizEmfKMkkThibcXLiLHsD7QsK5mBqW/xmuOjB/aJkwJatqf95YE5Qoj4bFH1V&#10;lGXs8bQpF+9RIeKuI811hBmOUDUNlEzLbUj/Islh79CcnUyyRRcnJifK2IpJzdO3ib1+vU9Zfz73&#10;5jcAAAD//wMAUEsDBBQABgAIAAAAIQBTNy1u3QAAAAkBAAAPAAAAZHJzL2Rvd25yZXYueG1sTI/L&#10;TsMwEEX3SPyDNUjsqFNDqjbEqSoqNiyQKEh06caTOCJ+yHbT8PcMK1iOztW9Z+rtbEc2YUyDdxKW&#10;iwIYutbrwfUSPt6f79bAUlZOq9E7lPCNCbbN9VWtKu0v7g2nQ+4ZlbhUKQkm51BxnlqDVqWFD+iI&#10;dT5alemMPddRXajcjlwUxYpbNThaMCrgk8H263C2Ej6tGfQ+vh47PU77l25XhjkGKW9v5t0jsIxz&#10;/gvDrz6pQ0NOJ392OrFRglhtSooSWAIjvhHlA7ATASHugTc1//9B8wMAAP//AwBQSwECLQAUAAYA&#10;CAAAACEAtoM4kv4AAADhAQAAEwAAAAAAAAAAAAAAAAAAAAAAW0NvbnRlbnRfVHlwZXNdLnhtbFBL&#10;AQItABQABgAIAAAAIQA4/SH/1gAAAJQBAAALAAAAAAAAAAAAAAAAAC8BAABfcmVscy8ucmVsc1BL&#10;AQItABQABgAIAAAAIQAHXN1GIwIAACQEAAAOAAAAAAAAAAAAAAAAAC4CAABkcnMvZTJvRG9jLnht&#10;bFBLAQItABQABgAIAAAAIQBTNy1u3QAAAAkBAAAPAAAAAAAAAAAAAAAAAH0EAABkcnMvZG93bnJl&#10;di54bWxQSwUGAAAAAAQABADzAAAAhwUAAAAA&#10;" stroked="f">
                <v:textbox style="mso-fit-shape-to-text:t">
                  <w:txbxContent>
                    <w:p w:rsidR="00BB6B61" w:rsidRPr="00BB6B61" w:rsidRDefault="00BB6B61" w:rsidP="00BA72C9">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r w:rsidRPr="00BB6B61">
                        <w:rPr>
                          <w:sz w:val="18"/>
                          <w:szCs w:val="18"/>
                        </w:rPr>
                        <w:t xml:space="preserve"> </w:t>
                      </w:r>
                    </w:p>
                  </w:txbxContent>
                </v:textbox>
                <w10:wrap type="square" anchorx="page"/>
              </v:shape>
            </w:pict>
          </mc:Fallback>
        </mc:AlternateContent>
      </w:r>
    </w:p>
    <w:p w:rsidR="00573524" w:rsidRPr="00253946" w:rsidRDefault="00573524" w:rsidP="00573524">
      <w:pPr>
        <w:bidi w:val="0"/>
        <w:rPr>
          <w:rFonts w:ascii="David" w:hAnsi="David" w:cs="David"/>
          <w:bCs/>
        </w:rPr>
      </w:pPr>
    </w:p>
    <w:p w:rsidR="0020155F" w:rsidRPr="00253946" w:rsidRDefault="0020155F" w:rsidP="0020155F">
      <w:pPr>
        <w:pStyle w:val="regpar"/>
        <w:numPr>
          <w:ilvl w:val="0"/>
          <w:numId w:val="4"/>
        </w:numPr>
        <w:rPr>
          <w:rFonts w:ascii="David" w:hAnsi="David" w:cs="David"/>
          <w:b/>
          <w:bCs/>
        </w:rPr>
      </w:pPr>
      <w:r w:rsidRPr="00253946">
        <w:rPr>
          <w:rFonts w:ascii="David" w:hAnsi="David" w:cs="David"/>
          <w:b/>
          <w:bCs/>
        </w:rPr>
        <w:t xml:space="preserve">Israel’s surplus assets over liabilities </w:t>
      </w:r>
      <w:r w:rsidR="00E0216F" w:rsidRPr="00253946">
        <w:rPr>
          <w:rFonts w:ascii="David" w:hAnsi="David" w:cs="David"/>
          <w:b/>
          <w:bCs/>
        </w:rPr>
        <w:t xml:space="preserve">vis-à-vis </w:t>
      </w:r>
      <w:r w:rsidRPr="00253946">
        <w:rPr>
          <w:rFonts w:ascii="David" w:hAnsi="David" w:cs="David"/>
          <w:b/>
          <w:bCs/>
        </w:rPr>
        <w:t>abroad</w:t>
      </w:r>
    </w:p>
    <w:p w:rsidR="0020155F" w:rsidRPr="00253946" w:rsidRDefault="0020155F" w:rsidP="0020155F">
      <w:pPr>
        <w:pStyle w:val="regpar"/>
        <w:ind w:firstLine="0"/>
        <w:rPr>
          <w:rFonts w:ascii="David" w:hAnsi="David" w:cs="David"/>
          <w:b/>
          <w:bCs/>
        </w:rPr>
      </w:pPr>
    </w:p>
    <w:p w:rsidR="002D0240" w:rsidRPr="00253946" w:rsidRDefault="00573524" w:rsidP="00573524">
      <w:pPr>
        <w:autoSpaceDE w:val="0"/>
        <w:autoSpaceDN w:val="0"/>
        <w:bidi w:val="0"/>
        <w:adjustRightInd w:val="0"/>
        <w:jc w:val="both"/>
        <w:rPr>
          <w:rFonts w:ascii="David" w:hAnsi="David" w:cs="David"/>
        </w:rPr>
      </w:pPr>
      <w:r w:rsidRPr="00253946">
        <w:rPr>
          <w:rFonts w:ascii="David" w:hAnsi="David" w:cs="David"/>
        </w:rPr>
        <w:t>The decline in the balance of assets compared with the increase in the balance of liabilities led to a decline of about $9.7 billion (5.1 percent) in the surplus of assets over liabilities</w:t>
      </w:r>
      <w:r w:rsidR="002A4BDF" w:rsidRPr="00253946">
        <w:rPr>
          <w:rFonts w:ascii="David" w:hAnsi="David" w:cs="David"/>
        </w:rPr>
        <w:t xml:space="preserve"> </w:t>
      </w:r>
      <w:r w:rsidR="00D14E7F" w:rsidRPr="00253946">
        <w:rPr>
          <w:rFonts w:ascii="David" w:hAnsi="David" w:cs="David"/>
        </w:rPr>
        <w:t xml:space="preserve">vis-à-vis </w:t>
      </w:r>
      <w:r w:rsidR="002A4BDF" w:rsidRPr="00253946">
        <w:rPr>
          <w:rFonts w:ascii="David" w:hAnsi="David" w:cs="David"/>
        </w:rPr>
        <w:t xml:space="preserve">abroad, which totaled </w:t>
      </w:r>
      <w:r w:rsidR="0087035A" w:rsidRPr="00253946">
        <w:rPr>
          <w:rFonts w:ascii="David" w:hAnsi="David" w:cs="David"/>
        </w:rPr>
        <w:t>about $</w:t>
      </w:r>
      <w:r w:rsidR="008807A4" w:rsidRPr="00253946">
        <w:rPr>
          <w:rFonts w:ascii="David" w:hAnsi="David" w:cs="David"/>
        </w:rPr>
        <w:t>1</w:t>
      </w:r>
      <w:r w:rsidRPr="00253946">
        <w:rPr>
          <w:rFonts w:ascii="David" w:hAnsi="David" w:cs="David"/>
        </w:rPr>
        <w:t>8</w:t>
      </w:r>
      <w:r w:rsidR="008807A4" w:rsidRPr="00253946">
        <w:rPr>
          <w:rFonts w:ascii="David" w:hAnsi="David" w:cs="David"/>
        </w:rPr>
        <w:t>2</w:t>
      </w:r>
      <w:r w:rsidR="000C5BBB" w:rsidRPr="00253946">
        <w:rPr>
          <w:rFonts w:ascii="David" w:hAnsi="David" w:cs="David"/>
        </w:rPr>
        <w:t xml:space="preserve"> </w:t>
      </w:r>
      <w:r w:rsidR="0087035A" w:rsidRPr="00253946">
        <w:rPr>
          <w:rFonts w:ascii="David" w:hAnsi="David" w:cs="David"/>
        </w:rPr>
        <w:t xml:space="preserve">billion at the end of </w:t>
      </w:r>
      <w:r w:rsidRPr="00253946">
        <w:rPr>
          <w:rFonts w:ascii="David" w:hAnsi="David" w:cs="David"/>
        </w:rPr>
        <w:t>September</w:t>
      </w:r>
      <w:r w:rsidR="008807A4" w:rsidRPr="00253946">
        <w:rPr>
          <w:rFonts w:ascii="David" w:hAnsi="David" w:cs="David"/>
        </w:rPr>
        <w:t xml:space="preserve"> </w:t>
      </w:r>
      <w:r w:rsidR="00DA145B" w:rsidRPr="00253946">
        <w:rPr>
          <w:rFonts w:ascii="David" w:hAnsi="David" w:cs="David"/>
        </w:rPr>
        <w:t>(Figure 5)</w:t>
      </w:r>
      <w:r w:rsidR="0020155F" w:rsidRPr="00253946">
        <w:rPr>
          <w:rFonts w:ascii="David" w:hAnsi="David" w:cs="David"/>
        </w:rPr>
        <w:t>.</w:t>
      </w:r>
    </w:p>
    <w:p w:rsidR="00C56C59" w:rsidRPr="00253946" w:rsidRDefault="00C56C59" w:rsidP="00C56C59">
      <w:pPr>
        <w:autoSpaceDE w:val="0"/>
        <w:autoSpaceDN w:val="0"/>
        <w:bidi w:val="0"/>
        <w:adjustRightInd w:val="0"/>
        <w:jc w:val="both"/>
        <w:rPr>
          <w:rFonts w:ascii="David" w:hAnsi="David" w:cs="David"/>
        </w:rPr>
      </w:pPr>
    </w:p>
    <w:p w:rsidR="00DD15DC" w:rsidRPr="00253946" w:rsidRDefault="00707956" w:rsidP="00DD15DC">
      <w:pPr>
        <w:pStyle w:val="regpar"/>
        <w:ind w:firstLine="0"/>
        <w:outlineLvl w:val="0"/>
        <w:rPr>
          <w:rFonts w:ascii="David" w:hAnsi="David" w:cs="David"/>
        </w:rPr>
      </w:pPr>
      <w:r w:rsidRPr="00253946">
        <w:rPr>
          <w:rFonts w:ascii="David" w:hAnsi="David" w:cs="David"/>
          <w:noProof/>
        </w:rPr>
        <w:drawing>
          <wp:anchor distT="0" distB="0" distL="114300" distR="114300" simplePos="0" relativeHeight="251686912" behindDoc="0" locked="0" layoutInCell="1" allowOverlap="1">
            <wp:simplePos x="0" y="0"/>
            <wp:positionH relativeFrom="margin">
              <wp:posOffset>123161</wp:posOffset>
            </wp:positionH>
            <wp:positionV relativeFrom="paragraph">
              <wp:posOffset>4473</wp:posOffset>
            </wp:positionV>
            <wp:extent cx="5072933" cy="2782414"/>
            <wp:effectExtent l="0" t="0" r="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5041" cy="2789055"/>
                    </a:xfrm>
                    <a:prstGeom prst="rect">
                      <a:avLst/>
                    </a:prstGeom>
                    <a:noFill/>
                  </pic:spPr>
                </pic:pic>
              </a:graphicData>
            </a:graphic>
            <wp14:sizeRelH relativeFrom="margin">
              <wp14:pctWidth>0</wp14:pctWidth>
            </wp14:sizeRelH>
            <wp14:sizeRelV relativeFrom="margin">
              <wp14:pctHeight>0</wp14:pctHeight>
            </wp14:sizeRelV>
          </wp:anchor>
        </w:drawing>
      </w:r>
    </w:p>
    <w:p w:rsidR="00DD15DC" w:rsidRPr="00253946" w:rsidRDefault="00DD15DC" w:rsidP="00DD15DC">
      <w:pPr>
        <w:pStyle w:val="regpar"/>
        <w:ind w:firstLine="0"/>
        <w:outlineLvl w:val="0"/>
        <w:rPr>
          <w:rFonts w:ascii="David" w:hAnsi="David" w:cs="David"/>
        </w:rPr>
      </w:pPr>
    </w:p>
    <w:p w:rsidR="00B16BBB" w:rsidRPr="00253946" w:rsidRDefault="00B16BBB" w:rsidP="00707956">
      <w:pPr>
        <w:pStyle w:val="regpar"/>
        <w:ind w:firstLine="0"/>
        <w:jc w:val="center"/>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B16BBB" w:rsidRPr="00253946" w:rsidRDefault="00B16BBB" w:rsidP="00DD15DC">
      <w:pPr>
        <w:pStyle w:val="regpar"/>
        <w:ind w:firstLine="0"/>
        <w:outlineLvl w:val="0"/>
        <w:rPr>
          <w:rFonts w:ascii="David" w:hAnsi="David" w:cs="David"/>
        </w:rPr>
      </w:pPr>
    </w:p>
    <w:p w:rsidR="0054314B" w:rsidRPr="00253946" w:rsidRDefault="0054314B" w:rsidP="00DD15DC">
      <w:pPr>
        <w:pStyle w:val="regpar"/>
        <w:ind w:firstLine="0"/>
        <w:outlineLvl w:val="0"/>
        <w:rPr>
          <w:rFonts w:ascii="David" w:hAnsi="David" w:cs="David"/>
        </w:rPr>
      </w:pPr>
    </w:p>
    <w:p w:rsidR="0054314B" w:rsidRPr="00253946" w:rsidRDefault="0054314B" w:rsidP="00DD15DC">
      <w:pPr>
        <w:pStyle w:val="regpar"/>
        <w:ind w:firstLine="0"/>
        <w:outlineLvl w:val="0"/>
        <w:rPr>
          <w:rFonts w:ascii="David" w:hAnsi="David" w:cs="David"/>
        </w:rPr>
      </w:pPr>
    </w:p>
    <w:p w:rsidR="00B16BBB" w:rsidRPr="00253946" w:rsidRDefault="0054314B" w:rsidP="00DD15DC">
      <w:pPr>
        <w:pStyle w:val="regpar"/>
        <w:ind w:firstLine="0"/>
        <w:outlineLvl w:val="0"/>
        <w:rPr>
          <w:rFonts w:ascii="David" w:hAnsi="David" w:cs="David"/>
        </w:rPr>
      </w:pPr>
      <w:r w:rsidRPr="00253946">
        <w:rPr>
          <w:rFonts w:ascii="David" w:hAnsi="David" w:cs="David"/>
          <w:b/>
          <w:bCs/>
          <w:noProof/>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47625</wp:posOffset>
                </wp:positionV>
                <wp:extent cx="3469640" cy="3238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23850"/>
                        </a:xfrm>
                        <a:prstGeom prst="rect">
                          <a:avLst/>
                        </a:prstGeom>
                        <a:solidFill>
                          <a:srgbClr val="FFFFFF"/>
                        </a:solidFill>
                        <a:ln w="9525">
                          <a:noFill/>
                          <a:miter lim="800000"/>
                          <a:headEnd/>
                          <a:tailEnd/>
                        </a:ln>
                      </wps:spPr>
                      <wps:txbx>
                        <w:txbxContent>
                          <w:p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rsidR="0054314B" w:rsidRPr="0054314B" w:rsidRDefault="0054314B" w:rsidP="00543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3.75pt;width:273.2pt;height:25.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RWIwIAACMEAAAOAAAAZHJzL2Uyb0RvYy54bWysU9uO2yAQfa/Uf0C8N06cSxMrzmqbbapK&#10;24u02w/AGMeowFAgsdOv3wEnabR9q8oDYpjhMHPOzPqu14ochfMSTEknozElwnCopdmX9Mfz7t2S&#10;Eh+YqZkCI0p6Ep7ebd6+WXe2EDm0oGrhCIIYX3S2pG0Itsgyz1uhmR+BFQadDTjNAppun9WOdYiu&#10;VZaPx4usA1dbB1x4j7cPg5NuEn7TCB6+NY0XgaiSYm4h7S7tVdyzzZoVe8dsK/k5DfYPWWgmDX56&#10;hXpggZGDk39BackdeGjCiIPOoGkkF6kGrGYyflXNU8usSLUgOd5eafL/D5Z/PX53RNYlzReUGKZR&#10;o2fRB/IBepJHejrrC4x6shgXerxGmVOp3j4C/+mJgW3LzF7cOwddK1iN6U3iy+zm6YDjI0jVfYEa&#10;v2GHAAmob5yO3CEbBNFRptNVmpgKx8vpbLFazNDF0TfNp8t50i5jxeW1dT58EqBJPJTUofQJnR0f&#10;fYjZsOISEj/zoGS9k0olw+2rrXLkyLBNdmmlAl6FKUO6kq7m+TwhG4jvUwdpGbCNldQlXY7jGhor&#10;svHR1CkkMKmGM2aizJmeyMjATeirPgkxvbBeQX1CvhwMXYtThocW3G9KOuzYkvpfB+YEJeqzQc5X&#10;k1kkKCRjNn+fo+FuPdWthxmOUCUNlAzHbUhjEekwcI/aNDLRFkUcMjmnjJ2Y2DxPTWz1WztF/Znt&#10;zQsAAAD//wMAUEsDBBQABgAIAAAAIQAhqFue2wAAAAUBAAAPAAAAZHJzL2Rvd25yZXYueG1sTI/N&#10;TsNADITvSLzDypW4ILoB5aeEbCpAAnFt6QM4iZtEzXqj7LZJ3x5zgptHM5r5XGwXO6gLTb53bOBx&#10;HYEirl3Tc2vg8P3xsAHlA3KDg2MycCUP2/L2psC8cTPv6LIPrZIS9jka6EIYc6193ZFFv3YjsXhH&#10;N1kMIqdWNxPOUm4H/RRFqbbYsyx0ONJ7R/Vpf7YGjl/zffI8V5/hkO3i9A37rHJXY+5Wy+sLqEBL&#10;+AvDL76gQylMlTtz49VgQB4JBrIElJhJnMagKjk2Ceiy0P/pyx8AAAD//wMAUEsBAi0AFAAGAAgA&#10;AAAhALaDOJL+AAAA4QEAABMAAAAAAAAAAAAAAAAAAAAAAFtDb250ZW50X1R5cGVzXS54bWxQSwEC&#10;LQAUAAYACAAAACEAOP0h/9YAAACUAQAACwAAAAAAAAAAAAAAAAAvAQAAX3JlbHMvLnJlbHNQSwEC&#10;LQAUAAYACAAAACEAyV0EViMCAAAjBAAADgAAAAAAAAAAAAAAAAAuAgAAZHJzL2Uyb0RvYy54bWxQ&#10;SwECLQAUAAYACAAAACEAIahbntsAAAAFAQAADwAAAAAAAAAAAAAAAAB9BAAAZHJzL2Rvd25yZXYu&#10;eG1sUEsFBgAAAAAEAAQA8wAAAIUFAAAAAA==&#10;" stroked="f">
                <v:textbox>
                  <w:txbxContent>
                    <w:p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rsidR="0054314B" w:rsidRPr="0054314B" w:rsidRDefault="0054314B" w:rsidP="0054314B"/>
                  </w:txbxContent>
                </v:textbox>
                <w10:wrap anchorx="margin"/>
              </v:shape>
            </w:pict>
          </mc:Fallback>
        </mc:AlternateContent>
      </w:r>
    </w:p>
    <w:p w:rsidR="00B16BBB" w:rsidRPr="00253946" w:rsidRDefault="00B16BBB" w:rsidP="00B16BBB">
      <w:pPr>
        <w:pStyle w:val="regpar"/>
        <w:ind w:left="360" w:firstLine="0"/>
        <w:outlineLvl w:val="0"/>
        <w:rPr>
          <w:rFonts w:ascii="David" w:hAnsi="David" w:cs="David"/>
          <w:b/>
          <w:bCs/>
        </w:rPr>
      </w:pPr>
    </w:p>
    <w:p w:rsidR="00763F37" w:rsidRPr="00253946" w:rsidRDefault="00F36E24" w:rsidP="00B16BBB">
      <w:pPr>
        <w:pStyle w:val="regpar"/>
        <w:numPr>
          <w:ilvl w:val="0"/>
          <w:numId w:val="4"/>
        </w:numPr>
        <w:outlineLvl w:val="0"/>
        <w:rPr>
          <w:rFonts w:ascii="David" w:hAnsi="David" w:cs="David"/>
        </w:rPr>
      </w:pPr>
      <w:r w:rsidRPr="00253946">
        <w:rPr>
          <w:rFonts w:ascii="David" w:hAnsi="David" w:cs="David"/>
          <w:b/>
          <w:bCs/>
        </w:rPr>
        <w:t>N</w:t>
      </w:r>
      <w:r w:rsidR="00DD15DC" w:rsidRPr="00253946">
        <w:rPr>
          <w:rFonts w:ascii="David" w:hAnsi="David" w:cs="David"/>
          <w:b/>
          <w:bCs/>
        </w:rPr>
        <w:t>et external debt</w:t>
      </w:r>
    </w:p>
    <w:p w:rsidR="00DD15DC" w:rsidRPr="00253946" w:rsidRDefault="00DD15DC" w:rsidP="00DD15DC">
      <w:pPr>
        <w:pStyle w:val="regpar"/>
        <w:ind w:firstLine="0"/>
        <w:outlineLvl w:val="0"/>
        <w:rPr>
          <w:rFonts w:ascii="David" w:hAnsi="David" w:cs="David"/>
        </w:rPr>
      </w:pPr>
    </w:p>
    <w:p w:rsidR="00DD15DC" w:rsidRPr="00253946" w:rsidRDefault="002749E1" w:rsidP="00573524">
      <w:pPr>
        <w:pStyle w:val="regpar"/>
        <w:ind w:firstLine="0"/>
        <w:outlineLvl w:val="0"/>
        <w:rPr>
          <w:rFonts w:ascii="David" w:hAnsi="David" w:cs="David"/>
        </w:rPr>
      </w:pPr>
      <w:r w:rsidRPr="00253946">
        <w:rPr>
          <w:rFonts w:ascii="David" w:hAnsi="David" w:cs="David"/>
        </w:rPr>
        <w:t xml:space="preserve">The surplus of assets over liabilities vis-à-vis abroad in debt instruments alone (negative net external debt) </w:t>
      </w:r>
      <w:r w:rsidR="00573524" w:rsidRPr="00253946">
        <w:rPr>
          <w:rFonts w:ascii="David" w:hAnsi="David" w:cs="David"/>
        </w:rPr>
        <w:t>declined</w:t>
      </w:r>
      <w:r w:rsidR="001E6AAC" w:rsidRPr="00253946">
        <w:rPr>
          <w:rFonts w:ascii="David" w:hAnsi="David" w:cs="David"/>
        </w:rPr>
        <w:t xml:space="preserve"> by approximately $</w:t>
      </w:r>
      <w:r w:rsidR="00573524" w:rsidRPr="00253946">
        <w:rPr>
          <w:rFonts w:ascii="David" w:hAnsi="David" w:cs="David"/>
        </w:rPr>
        <w:t>3.4</w:t>
      </w:r>
      <w:r w:rsidR="00262DFE" w:rsidRPr="00253946">
        <w:rPr>
          <w:rFonts w:ascii="David" w:hAnsi="David" w:cs="David"/>
        </w:rPr>
        <w:t xml:space="preserve"> </w:t>
      </w:r>
      <w:r w:rsidR="001E6AAC" w:rsidRPr="00253946">
        <w:rPr>
          <w:rFonts w:ascii="David" w:hAnsi="David" w:cs="David"/>
        </w:rPr>
        <w:t>billion (</w:t>
      </w:r>
      <w:r w:rsidR="00694AB4" w:rsidRPr="00253946">
        <w:rPr>
          <w:rFonts w:ascii="David" w:hAnsi="David" w:cs="David"/>
        </w:rPr>
        <w:t xml:space="preserve">about </w:t>
      </w:r>
      <w:r w:rsidR="00262DFE" w:rsidRPr="00253946">
        <w:rPr>
          <w:rFonts w:ascii="David" w:hAnsi="David" w:cs="David"/>
        </w:rPr>
        <w:t>1.</w:t>
      </w:r>
      <w:r w:rsidR="00573524" w:rsidRPr="00253946">
        <w:rPr>
          <w:rFonts w:ascii="David" w:hAnsi="David" w:cs="David"/>
        </w:rPr>
        <w:t>5</w:t>
      </w:r>
      <w:r w:rsidR="00262DFE" w:rsidRPr="00253946">
        <w:rPr>
          <w:rFonts w:ascii="David" w:hAnsi="David" w:cs="David"/>
        </w:rPr>
        <w:t xml:space="preserve"> </w:t>
      </w:r>
      <w:r w:rsidR="001E6AAC" w:rsidRPr="00253946">
        <w:rPr>
          <w:rFonts w:ascii="David" w:hAnsi="David" w:cs="David"/>
        </w:rPr>
        <w:t xml:space="preserve">percent) </w:t>
      </w:r>
      <w:r w:rsidR="00A91CCF" w:rsidRPr="00253946">
        <w:rPr>
          <w:rFonts w:ascii="David" w:hAnsi="David" w:cs="David"/>
        </w:rPr>
        <w:t>in</w:t>
      </w:r>
      <w:r w:rsidRPr="00253946">
        <w:rPr>
          <w:rFonts w:ascii="David" w:hAnsi="David" w:cs="David"/>
        </w:rPr>
        <w:t xml:space="preserve"> the </w:t>
      </w:r>
      <w:r w:rsidR="00573524" w:rsidRPr="00253946">
        <w:rPr>
          <w:rFonts w:ascii="David" w:hAnsi="David" w:cs="David"/>
        </w:rPr>
        <w:t>thir</w:t>
      </w:r>
      <w:r w:rsidR="00BA2CAD" w:rsidRPr="00253946">
        <w:rPr>
          <w:rFonts w:ascii="David" w:hAnsi="David" w:cs="David"/>
        </w:rPr>
        <w:t>d</w:t>
      </w:r>
      <w:r w:rsidR="00CE7059" w:rsidRPr="00253946">
        <w:rPr>
          <w:rFonts w:ascii="David" w:hAnsi="David" w:cs="David"/>
        </w:rPr>
        <w:t xml:space="preserve"> quarter</w:t>
      </w:r>
      <w:r w:rsidRPr="00253946">
        <w:rPr>
          <w:rFonts w:ascii="David" w:hAnsi="David" w:cs="David"/>
        </w:rPr>
        <w:t xml:space="preserve">, </w:t>
      </w:r>
      <w:r w:rsidR="001E6AAC" w:rsidRPr="00253946">
        <w:rPr>
          <w:rFonts w:ascii="David" w:hAnsi="David" w:cs="David"/>
        </w:rPr>
        <w:t xml:space="preserve">to </w:t>
      </w:r>
      <w:r w:rsidR="00573524" w:rsidRPr="00253946">
        <w:rPr>
          <w:rFonts w:ascii="David" w:hAnsi="David" w:cs="David"/>
        </w:rPr>
        <w:t xml:space="preserve">about </w:t>
      </w:r>
      <w:r w:rsidRPr="00253946">
        <w:rPr>
          <w:rFonts w:ascii="David" w:hAnsi="David" w:cs="David"/>
        </w:rPr>
        <w:t>$</w:t>
      </w:r>
      <w:r w:rsidR="00262DFE" w:rsidRPr="00253946">
        <w:rPr>
          <w:rFonts w:ascii="David" w:hAnsi="David" w:cs="David"/>
        </w:rPr>
        <w:t>22</w:t>
      </w:r>
      <w:r w:rsidR="00573524" w:rsidRPr="00253946">
        <w:rPr>
          <w:rFonts w:ascii="David" w:hAnsi="David" w:cs="David"/>
        </w:rPr>
        <w:t>0</w:t>
      </w:r>
      <w:r w:rsidR="00262DFE" w:rsidRPr="00253946">
        <w:rPr>
          <w:rFonts w:ascii="David" w:hAnsi="David" w:cs="David"/>
        </w:rPr>
        <w:t xml:space="preserve"> </w:t>
      </w:r>
      <w:r w:rsidR="002A1B95" w:rsidRPr="00253946">
        <w:rPr>
          <w:rFonts w:ascii="David" w:hAnsi="David" w:cs="David"/>
        </w:rPr>
        <w:t>b</w:t>
      </w:r>
      <w:r w:rsidRPr="00253946">
        <w:rPr>
          <w:rFonts w:ascii="David" w:hAnsi="David" w:cs="David"/>
        </w:rPr>
        <w:t xml:space="preserve">illion at the end of </w:t>
      </w:r>
      <w:r w:rsidR="00573524" w:rsidRPr="00253946">
        <w:rPr>
          <w:rFonts w:ascii="David" w:hAnsi="David" w:cs="David"/>
        </w:rPr>
        <w:t>September</w:t>
      </w:r>
      <w:r w:rsidR="00262DFE" w:rsidRPr="00253946">
        <w:rPr>
          <w:rFonts w:ascii="David" w:hAnsi="David" w:cs="David"/>
        </w:rPr>
        <w:t xml:space="preserve"> </w:t>
      </w:r>
      <w:r w:rsidR="00DD15DC" w:rsidRPr="00253946">
        <w:rPr>
          <w:rFonts w:ascii="David" w:hAnsi="David" w:cs="David"/>
        </w:rPr>
        <w:t xml:space="preserve">(Figure </w:t>
      </w:r>
      <w:r w:rsidR="00FD4419" w:rsidRPr="00253946">
        <w:rPr>
          <w:rFonts w:ascii="David" w:hAnsi="David" w:cs="David"/>
        </w:rPr>
        <w:t>6</w:t>
      </w:r>
      <w:r w:rsidR="00DD15DC" w:rsidRPr="00253946">
        <w:rPr>
          <w:rFonts w:ascii="David" w:hAnsi="David" w:cs="David"/>
        </w:rPr>
        <w:t>).</w:t>
      </w:r>
    </w:p>
    <w:p w:rsidR="008D129C" w:rsidRPr="00253946" w:rsidRDefault="008D129C" w:rsidP="00EC37DD">
      <w:pPr>
        <w:pStyle w:val="regpar"/>
        <w:ind w:firstLine="0"/>
        <w:outlineLvl w:val="0"/>
        <w:rPr>
          <w:rFonts w:ascii="David" w:hAnsi="David" w:cs="David"/>
        </w:rPr>
      </w:pPr>
    </w:p>
    <w:p w:rsidR="00DD15DC" w:rsidRPr="00253946" w:rsidRDefault="00DD15DC" w:rsidP="00573524">
      <w:pPr>
        <w:pStyle w:val="regpar"/>
        <w:ind w:firstLine="0"/>
        <w:outlineLvl w:val="0"/>
        <w:rPr>
          <w:rFonts w:ascii="David" w:hAnsi="David" w:cs="David"/>
        </w:rPr>
      </w:pPr>
      <w:r w:rsidRPr="00253946">
        <w:rPr>
          <w:rFonts w:ascii="David" w:hAnsi="David" w:cs="David"/>
          <w:b/>
          <w:bCs/>
        </w:rPr>
        <w:t>The balance of</w:t>
      </w:r>
      <w:r w:rsidR="0049226B" w:rsidRPr="00253946">
        <w:rPr>
          <w:rFonts w:ascii="David" w:hAnsi="David" w:cs="David"/>
          <w:b/>
          <w:bCs/>
        </w:rPr>
        <w:t xml:space="preserve"> </w:t>
      </w:r>
      <w:r w:rsidRPr="00253946">
        <w:rPr>
          <w:rFonts w:ascii="David" w:hAnsi="David" w:cs="David"/>
          <w:b/>
          <w:bCs/>
        </w:rPr>
        <w:t xml:space="preserve">assets </w:t>
      </w:r>
      <w:r w:rsidR="008D129C" w:rsidRPr="00253946">
        <w:rPr>
          <w:rFonts w:ascii="David" w:hAnsi="David" w:cs="David"/>
          <w:b/>
          <w:bCs/>
        </w:rPr>
        <w:t>in debt instruments</w:t>
      </w:r>
      <w:r w:rsidR="008D129C" w:rsidRPr="00253946">
        <w:rPr>
          <w:rFonts w:ascii="David" w:hAnsi="David" w:cs="David"/>
        </w:rPr>
        <w:t xml:space="preserve"> </w:t>
      </w:r>
      <w:r w:rsidR="00573524" w:rsidRPr="00253946">
        <w:rPr>
          <w:rFonts w:ascii="David" w:hAnsi="David" w:cs="David"/>
        </w:rPr>
        <w:t>declined</w:t>
      </w:r>
      <w:r w:rsidR="00B34532" w:rsidRPr="00253946">
        <w:rPr>
          <w:rFonts w:ascii="David" w:hAnsi="David" w:cs="David"/>
        </w:rPr>
        <w:t xml:space="preserve"> by </w:t>
      </w:r>
      <w:r w:rsidR="00070D66" w:rsidRPr="00253946">
        <w:rPr>
          <w:rFonts w:ascii="David" w:hAnsi="David" w:cs="David"/>
        </w:rPr>
        <w:t xml:space="preserve">about </w:t>
      </w:r>
      <w:r w:rsidR="00B34532" w:rsidRPr="00253946">
        <w:rPr>
          <w:rFonts w:ascii="David" w:hAnsi="David" w:cs="David"/>
        </w:rPr>
        <w:t>$</w:t>
      </w:r>
      <w:r w:rsidR="00573524" w:rsidRPr="00253946">
        <w:rPr>
          <w:rFonts w:ascii="David" w:hAnsi="David" w:cs="David"/>
        </w:rPr>
        <w:t>4.3</w:t>
      </w:r>
      <w:r w:rsidR="00AF7739" w:rsidRPr="00253946">
        <w:rPr>
          <w:rFonts w:ascii="David" w:hAnsi="David" w:cs="David"/>
        </w:rPr>
        <w:t xml:space="preserve"> </w:t>
      </w:r>
      <w:r w:rsidR="00CA70DE" w:rsidRPr="00253946">
        <w:rPr>
          <w:rFonts w:ascii="David" w:hAnsi="David" w:cs="David"/>
        </w:rPr>
        <w:t>billion</w:t>
      </w:r>
      <w:r w:rsidR="00BA72C9" w:rsidRPr="00253946">
        <w:rPr>
          <w:rFonts w:ascii="David" w:hAnsi="David" w:cs="David"/>
        </w:rPr>
        <w:t xml:space="preserve"> in the </w:t>
      </w:r>
      <w:r w:rsidR="00573524" w:rsidRPr="00253946">
        <w:rPr>
          <w:rFonts w:ascii="David" w:hAnsi="David" w:cs="David"/>
        </w:rPr>
        <w:t>thir</w:t>
      </w:r>
      <w:r w:rsidR="00BA2CAD" w:rsidRPr="00253946">
        <w:rPr>
          <w:rFonts w:ascii="David" w:hAnsi="David" w:cs="David"/>
        </w:rPr>
        <w:t>d</w:t>
      </w:r>
      <w:r w:rsidR="00CE7059" w:rsidRPr="00253946">
        <w:rPr>
          <w:rFonts w:ascii="David" w:hAnsi="David" w:cs="David"/>
        </w:rPr>
        <w:t xml:space="preserve"> quarter</w:t>
      </w:r>
      <w:r w:rsidRPr="00253946">
        <w:rPr>
          <w:rFonts w:ascii="David" w:hAnsi="David" w:cs="David"/>
        </w:rPr>
        <w:t xml:space="preserve">, </w:t>
      </w:r>
      <w:r w:rsidR="00B34532" w:rsidRPr="00253946">
        <w:rPr>
          <w:rFonts w:ascii="David" w:hAnsi="David" w:cs="David"/>
        </w:rPr>
        <w:t xml:space="preserve">to </w:t>
      </w:r>
      <w:r w:rsidR="00070D66" w:rsidRPr="00253946">
        <w:rPr>
          <w:rFonts w:ascii="David" w:hAnsi="David" w:cs="David"/>
        </w:rPr>
        <w:t xml:space="preserve">about </w:t>
      </w:r>
      <w:r w:rsidR="00B34532" w:rsidRPr="00253946">
        <w:rPr>
          <w:rFonts w:ascii="David" w:hAnsi="David" w:cs="David"/>
        </w:rPr>
        <w:t>$</w:t>
      </w:r>
      <w:r w:rsidR="00AF7739" w:rsidRPr="00253946">
        <w:rPr>
          <w:rFonts w:ascii="David" w:hAnsi="David" w:cs="David"/>
        </w:rPr>
        <w:t>3</w:t>
      </w:r>
      <w:r w:rsidR="00573524" w:rsidRPr="00253946">
        <w:rPr>
          <w:rFonts w:ascii="David" w:hAnsi="David" w:cs="David"/>
        </w:rPr>
        <w:t>76</w:t>
      </w:r>
      <w:r w:rsidR="00AF7739" w:rsidRPr="00253946">
        <w:rPr>
          <w:rFonts w:ascii="David" w:hAnsi="David" w:cs="David"/>
        </w:rPr>
        <w:t xml:space="preserve"> </w:t>
      </w:r>
      <w:r w:rsidR="00B34532" w:rsidRPr="00253946">
        <w:rPr>
          <w:rFonts w:ascii="David" w:hAnsi="David" w:cs="David"/>
        </w:rPr>
        <w:t>billion at the end of the quarter</w:t>
      </w:r>
      <w:r w:rsidR="00B5154C" w:rsidRPr="00253946">
        <w:rPr>
          <w:rFonts w:ascii="David" w:hAnsi="David" w:cs="David"/>
        </w:rPr>
        <w:t xml:space="preserve">, </w:t>
      </w:r>
      <w:r w:rsidR="00F61E46" w:rsidRPr="00253946">
        <w:rPr>
          <w:rFonts w:ascii="David" w:hAnsi="David" w:cs="David"/>
        </w:rPr>
        <w:t xml:space="preserve">of which </w:t>
      </w:r>
      <w:r w:rsidR="00070D66" w:rsidRPr="00253946">
        <w:rPr>
          <w:rFonts w:ascii="David" w:hAnsi="David" w:cs="David"/>
        </w:rPr>
        <w:t xml:space="preserve">about </w:t>
      </w:r>
      <w:r w:rsidR="00F61E46" w:rsidRPr="00253946">
        <w:rPr>
          <w:rFonts w:ascii="David" w:hAnsi="David" w:cs="David"/>
        </w:rPr>
        <w:t>$</w:t>
      </w:r>
      <w:r w:rsidR="00573524" w:rsidRPr="00253946">
        <w:rPr>
          <w:rFonts w:ascii="David" w:hAnsi="David" w:cs="David"/>
        </w:rPr>
        <w:t>199</w:t>
      </w:r>
      <w:r w:rsidR="001E6AAC" w:rsidRPr="00253946">
        <w:rPr>
          <w:rFonts w:ascii="David" w:hAnsi="David" w:cs="David"/>
        </w:rPr>
        <w:t xml:space="preserve"> </w:t>
      </w:r>
      <w:r w:rsidR="00F61E46" w:rsidRPr="00253946">
        <w:rPr>
          <w:rFonts w:ascii="David" w:hAnsi="David" w:cs="David"/>
        </w:rPr>
        <w:t>billion is the Bank of Israel</w:t>
      </w:r>
      <w:r w:rsidR="00862889" w:rsidRPr="00253946">
        <w:rPr>
          <w:rFonts w:ascii="David" w:hAnsi="David" w:cs="David"/>
        </w:rPr>
        <w:t>'s</w:t>
      </w:r>
      <w:r w:rsidR="00F61E46" w:rsidRPr="00253946">
        <w:rPr>
          <w:rFonts w:ascii="David" w:hAnsi="David" w:cs="David"/>
        </w:rPr>
        <w:t xml:space="preserve"> foreign exchange reserves. This </w:t>
      </w:r>
      <w:r w:rsidR="00EC37DD" w:rsidRPr="00253946">
        <w:rPr>
          <w:rFonts w:ascii="David" w:hAnsi="David" w:cs="David"/>
        </w:rPr>
        <w:t xml:space="preserve">balance </w:t>
      </w:r>
      <w:r w:rsidRPr="00253946">
        <w:rPr>
          <w:rFonts w:ascii="David" w:hAnsi="David" w:cs="David"/>
        </w:rPr>
        <w:t>reflect</w:t>
      </w:r>
      <w:r w:rsidR="00F61E46" w:rsidRPr="00253946">
        <w:rPr>
          <w:rFonts w:ascii="David" w:hAnsi="David" w:cs="David"/>
        </w:rPr>
        <w:t>s</w:t>
      </w:r>
      <w:r w:rsidRPr="00253946">
        <w:rPr>
          <w:rFonts w:ascii="David" w:hAnsi="David" w:cs="David"/>
        </w:rPr>
        <w:t xml:space="preserve"> a coverage ratio of </w:t>
      </w:r>
      <w:r w:rsidR="00E51CCC" w:rsidRPr="00253946">
        <w:rPr>
          <w:rFonts w:ascii="David" w:hAnsi="David" w:cs="David"/>
        </w:rPr>
        <w:t>2.</w:t>
      </w:r>
      <w:r w:rsidR="009A4E8E" w:rsidRPr="00253946">
        <w:rPr>
          <w:rFonts w:ascii="David" w:hAnsi="David" w:cs="David"/>
        </w:rPr>
        <w:t>4</w:t>
      </w:r>
      <w:r w:rsidR="00E51CCC" w:rsidRPr="00253946">
        <w:rPr>
          <w:rFonts w:ascii="David" w:hAnsi="David" w:cs="David"/>
        </w:rPr>
        <w:t xml:space="preserve"> </w:t>
      </w:r>
      <w:r w:rsidR="002D66E7" w:rsidRPr="00253946">
        <w:rPr>
          <w:rFonts w:ascii="David" w:hAnsi="David" w:cs="David"/>
        </w:rPr>
        <w:t>t</w:t>
      </w:r>
      <w:r w:rsidRPr="00253946">
        <w:rPr>
          <w:rFonts w:ascii="David" w:hAnsi="David" w:cs="David"/>
        </w:rPr>
        <w:t>imes</w:t>
      </w:r>
      <w:r w:rsidR="00E7533D" w:rsidRPr="00253946">
        <w:rPr>
          <w:rFonts w:ascii="David" w:hAnsi="David" w:cs="David"/>
        </w:rPr>
        <w:t xml:space="preserve"> the gross external debt</w:t>
      </w:r>
      <w:r w:rsidRPr="00253946">
        <w:rPr>
          <w:rFonts w:ascii="David" w:hAnsi="David" w:cs="David"/>
        </w:rPr>
        <w:t>.</w:t>
      </w:r>
    </w:p>
    <w:p w:rsidR="00C2366E" w:rsidRPr="00253946" w:rsidRDefault="00D92F44" w:rsidP="00E7533D">
      <w:pPr>
        <w:pStyle w:val="regpar"/>
        <w:ind w:firstLine="0"/>
        <w:outlineLvl w:val="0"/>
        <w:rPr>
          <w:rFonts w:ascii="David" w:hAnsi="David" w:cs="David"/>
        </w:rPr>
      </w:pPr>
      <w:r w:rsidRPr="00253946">
        <w:rPr>
          <w:rFonts w:ascii="David" w:hAnsi="David" w:cs="David"/>
          <w:noProof/>
        </w:rPr>
        <w:drawing>
          <wp:anchor distT="0" distB="0" distL="114300" distR="114300" simplePos="0" relativeHeight="251687936" behindDoc="0" locked="0" layoutInCell="1" allowOverlap="1">
            <wp:simplePos x="0" y="0"/>
            <wp:positionH relativeFrom="margin">
              <wp:align>center</wp:align>
            </wp:positionH>
            <wp:positionV relativeFrom="paragraph">
              <wp:posOffset>146133</wp:posOffset>
            </wp:positionV>
            <wp:extent cx="4826441" cy="303720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441" cy="3037205"/>
                    </a:xfrm>
                    <a:prstGeom prst="rect">
                      <a:avLst/>
                    </a:prstGeom>
                    <a:noFill/>
                  </pic:spPr>
                </pic:pic>
              </a:graphicData>
            </a:graphic>
            <wp14:sizeRelH relativeFrom="margin">
              <wp14:pctWidth>0</wp14:pctWidth>
            </wp14:sizeRelH>
            <wp14:sizeRelV relativeFrom="margin">
              <wp14:pctHeight>0</wp14:pctHeight>
            </wp14:sizeRelV>
          </wp:anchor>
        </w:drawing>
      </w:r>
    </w:p>
    <w:p w:rsidR="00DD15DC" w:rsidRPr="00253946" w:rsidRDefault="00DD15DC" w:rsidP="00DD15DC">
      <w:pPr>
        <w:pStyle w:val="regpar"/>
        <w:ind w:firstLine="0"/>
        <w:outlineLvl w:val="0"/>
        <w:rPr>
          <w:rFonts w:ascii="David" w:hAnsi="David" w:cs="David"/>
        </w:rPr>
      </w:pPr>
    </w:p>
    <w:p w:rsidR="00DD15DC" w:rsidRPr="00253946" w:rsidRDefault="00DD15DC" w:rsidP="00DD15DC">
      <w:pPr>
        <w:pStyle w:val="regpar"/>
        <w:ind w:firstLine="0"/>
        <w:outlineLvl w:val="0"/>
        <w:rPr>
          <w:rFonts w:ascii="David" w:hAnsi="David" w:cs="David"/>
        </w:rPr>
      </w:pPr>
    </w:p>
    <w:p w:rsidR="00986270" w:rsidRPr="00253946" w:rsidRDefault="00986270" w:rsidP="00986270">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D92F44" w:rsidRPr="00253946" w:rsidRDefault="00D92F44" w:rsidP="00D92F44">
      <w:pPr>
        <w:bidi w:val="0"/>
        <w:rPr>
          <w:rFonts w:ascii="David" w:hAnsi="David" w:cs="David"/>
          <w:b/>
          <w:bCs/>
        </w:rPr>
      </w:pPr>
    </w:p>
    <w:p w:rsidR="00986270" w:rsidRPr="00253946" w:rsidRDefault="00986270" w:rsidP="00986270">
      <w:pPr>
        <w:bidi w:val="0"/>
        <w:jc w:val="both"/>
        <w:rPr>
          <w:rFonts w:ascii="David" w:hAnsi="David" w:cs="David"/>
          <w:b/>
          <w:bCs/>
        </w:rPr>
      </w:pPr>
    </w:p>
    <w:p w:rsidR="00D92F44" w:rsidRPr="00253946" w:rsidRDefault="00D92F44" w:rsidP="00D92F44">
      <w:pPr>
        <w:bidi w:val="0"/>
        <w:jc w:val="both"/>
        <w:rPr>
          <w:rFonts w:ascii="David" w:hAnsi="David" w:cs="David"/>
          <w:b/>
          <w:bCs/>
        </w:rPr>
      </w:pPr>
    </w:p>
    <w:p w:rsidR="00D92F44" w:rsidRPr="00253946" w:rsidRDefault="00D92F44" w:rsidP="00D92F44">
      <w:pPr>
        <w:bidi w:val="0"/>
        <w:jc w:val="both"/>
        <w:rPr>
          <w:rFonts w:ascii="David" w:hAnsi="David" w:cs="David"/>
          <w:b/>
          <w:bCs/>
        </w:rPr>
      </w:pPr>
    </w:p>
    <w:p w:rsidR="00D92F44" w:rsidRPr="00253946" w:rsidRDefault="00D92F44" w:rsidP="00D92F44">
      <w:pPr>
        <w:bidi w:val="0"/>
        <w:jc w:val="both"/>
        <w:rPr>
          <w:rFonts w:ascii="David" w:hAnsi="David" w:cs="David"/>
          <w:b/>
          <w:bCs/>
        </w:rPr>
      </w:pPr>
    </w:p>
    <w:p w:rsidR="00D92F44" w:rsidRPr="00253946" w:rsidRDefault="00D92F44" w:rsidP="00D92F44">
      <w:pPr>
        <w:bidi w:val="0"/>
        <w:jc w:val="both"/>
        <w:rPr>
          <w:rFonts w:ascii="David" w:hAnsi="David" w:cs="David"/>
          <w:b/>
          <w:bCs/>
        </w:rPr>
      </w:pPr>
    </w:p>
    <w:p w:rsidR="00D92F44" w:rsidRPr="00253946" w:rsidRDefault="00D92F44" w:rsidP="00D92F44">
      <w:pPr>
        <w:bidi w:val="0"/>
        <w:jc w:val="both"/>
        <w:rPr>
          <w:rFonts w:ascii="David" w:hAnsi="David" w:cs="David"/>
          <w:b/>
          <w:bCs/>
        </w:rPr>
      </w:pPr>
    </w:p>
    <w:p w:rsidR="000135E2" w:rsidRPr="00253946" w:rsidRDefault="000135E2" w:rsidP="00BA72C9">
      <w:pPr>
        <w:bidi w:val="0"/>
        <w:rPr>
          <w:rFonts w:ascii="David" w:hAnsi="David" w:cs="David"/>
          <w:sz w:val="18"/>
          <w:szCs w:val="18"/>
        </w:rPr>
      </w:pPr>
      <w:r w:rsidRPr="00253946">
        <w:rPr>
          <w:rFonts w:ascii="David" w:hAnsi="David" w:cs="David"/>
          <w:sz w:val="18"/>
          <w:szCs w:val="18"/>
        </w:rPr>
        <w:t xml:space="preserve">Source: Israel’s Ministry of Finance, </w:t>
      </w:r>
      <w:r w:rsidR="00BA72C9" w:rsidRPr="00253946">
        <w:rPr>
          <w:rFonts w:ascii="David" w:hAnsi="David" w:cs="David"/>
          <w:sz w:val="18"/>
          <w:szCs w:val="18"/>
        </w:rPr>
        <w:t xml:space="preserve">and </w:t>
      </w:r>
      <w:r w:rsidRPr="00253946">
        <w:rPr>
          <w:rFonts w:ascii="David" w:hAnsi="David" w:cs="David"/>
          <w:sz w:val="18"/>
          <w:szCs w:val="18"/>
        </w:rPr>
        <w:t>Bank of Israel data</w:t>
      </w:r>
      <w:r w:rsidR="00494280" w:rsidRPr="00253946">
        <w:rPr>
          <w:rFonts w:ascii="David" w:hAnsi="David" w:cs="David"/>
          <w:sz w:val="18"/>
          <w:szCs w:val="18"/>
        </w:rPr>
        <w:t xml:space="preserve"> and processing</w:t>
      </w:r>
      <w:r w:rsidRPr="00253946">
        <w:rPr>
          <w:rStyle w:val="ad"/>
          <w:rFonts w:ascii="David" w:hAnsi="David" w:cs="David"/>
          <w:sz w:val="18"/>
          <w:szCs w:val="18"/>
        </w:rPr>
        <w:footnoteReference w:id="1"/>
      </w:r>
      <w:r w:rsidR="00BA72C9" w:rsidRPr="00253946">
        <w:rPr>
          <w:rFonts w:ascii="David" w:hAnsi="David" w:cs="David"/>
          <w:sz w:val="18"/>
          <w:szCs w:val="18"/>
        </w:rPr>
        <w:t>.</w:t>
      </w:r>
    </w:p>
    <w:p w:rsidR="00986270" w:rsidRPr="00253946" w:rsidRDefault="00986270" w:rsidP="00986270">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0E0CF6" w:rsidP="000E0CF6">
      <w:pPr>
        <w:tabs>
          <w:tab w:val="center" w:pos="4156"/>
          <w:tab w:val="right" w:pos="8312"/>
        </w:tabs>
        <w:bidi w:val="0"/>
        <w:jc w:val="center"/>
        <w:rPr>
          <w:rFonts w:ascii="David" w:hAnsi="David" w:cs="David"/>
          <w:sz w:val="22"/>
          <w:szCs w:val="22"/>
        </w:rPr>
      </w:pPr>
    </w:p>
    <w:p w:rsidR="000E0CF6" w:rsidRPr="00253946" w:rsidRDefault="00253946" w:rsidP="000E0CF6">
      <w:pPr>
        <w:pStyle w:val="regpar"/>
        <w:spacing w:before="240"/>
        <w:ind w:firstLine="0"/>
        <w:jc w:val="left"/>
        <w:outlineLvl w:val="0"/>
        <w:rPr>
          <w:rFonts w:ascii="David" w:hAnsi="David" w:cs="David"/>
        </w:rPr>
      </w:pPr>
      <w:hyperlink r:id="rId16" w:history="1">
        <w:r w:rsidR="000E0CF6" w:rsidRPr="00253946">
          <w:rPr>
            <w:rStyle w:val="Hyperlink"/>
            <w:rFonts w:ascii="David" w:hAnsi="David" w:cs="David"/>
          </w:rPr>
          <w:t>For the complete data file, click here</w:t>
        </w:r>
      </w:hyperlink>
      <w:r w:rsidR="000E0CF6" w:rsidRPr="00253946">
        <w:rPr>
          <w:rFonts w:ascii="David" w:hAnsi="David" w:cs="David"/>
        </w:rPr>
        <w:t>.</w:t>
      </w:r>
    </w:p>
    <w:p w:rsidR="000E0CF6" w:rsidRPr="00253946" w:rsidRDefault="000E0CF6" w:rsidP="000E0CF6">
      <w:pPr>
        <w:tabs>
          <w:tab w:val="center" w:pos="4156"/>
          <w:tab w:val="right" w:pos="8312"/>
        </w:tabs>
        <w:bidi w:val="0"/>
        <w:jc w:val="center"/>
        <w:rPr>
          <w:rFonts w:ascii="David" w:hAnsi="David" w:cs="David"/>
          <w:sz w:val="22"/>
          <w:szCs w:val="22"/>
        </w:rPr>
      </w:pPr>
    </w:p>
    <w:sectPr w:rsidR="000E0CF6" w:rsidRPr="00253946" w:rsidSect="00494280">
      <w:footerReference w:type="default" r:id="rId17"/>
      <w:headerReference w:type="first" r:id="rId18"/>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8E" w:rsidRDefault="0032308E" w:rsidP="00E64B36">
      <w:r>
        <w:separator/>
      </w:r>
    </w:p>
  </w:endnote>
  <w:endnote w:type="continuationSeparator" w:id="0">
    <w:p w:rsidR="0032308E" w:rsidRDefault="0032308E"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D16998">
    <w:pPr>
      <w:bidi w:val="0"/>
      <w:ind w:right="-52"/>
      <w:rPr>
        <w:b/>
        <w:bCs/>
        <w:sz w:val="26"/>
        <w:szCs w:val="26"/>
        <w:u w:val="single"/>
        <w:rtl/>
        <w:cs/>
      </w:rPr>
    </w:pPr>
    <w:r w:rsidRPr="00986270">
      <w:rPr>
        <w:sz w:val="18"/>
        <w:szCs w:val="18"/>
      </w:rPr>
      <w:t>Bank of Israel</w:t>
    </w:r>
    <w:r w:rsidR="00FB0E69">
      <w:rPr>
        <w:sz w:val="18"/>
        <w:szCs w:val="18"/>
      </w:rPr>
      <w:t xml:space="preserve"> — Israel’s International Investment Position, </w:t>
    </w:r>
    <w:r w:rsidR="00D16998">
      <w:rPr>
        <w:sz w:val="18"/>
        <w:szCs w:val="18"/>
      </w:rPr>
      <w:t>third</w:t>
    </w:r>
    <w:r w:rsidR="00CE7059">
      <w:rPr>
        <w:sz w:val="18"/>
        <w:szCs w:val="18"/>
      </w:rPr>
      <w:t xml:space="preserve"> </w:t>
    </w:r>
    <w:r w:rsidR="005E0707">
      <w:rPr>
        <w:rFonts w:hint="cs"/>
        <w:sz w:val="18"/>
        <w:szCs w:val="18"/>
      </w:rPr>
      <w:t>quarter</w:t>
    </w:r>
    <w:r w:rsidR="00D2632C">
      <w:rPr>
        <w:sz w:val="18"/>
        <w:szCs w:val="18"/>
      </w:rPr>
      <w:t xml:space="preserve"> of </w:t>
    </w:r>
    <w:r w:rsidR="00CE7059">
      <w:rPr>
        <w:sz w:val="18"/>
        <w:szCs w:val="18"/>
      </w:rPr>
      <w:t>2023</w:t>
    </w:r>
    <w:r w:rsidR="0004083B">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537B7C" w:rsidRPr="00CD0A35">
      <w:rPr>
        <w:b/>
        <w:bCs/>
        <w:sz w:val="18"/>
        <w:szCs w:val="18"/>
      </w:rPr>
      <w:fldChar w:fldCharType="begin"/>
    </w:r>
    <w:r w:rsidR="00B96022" w:rsidRPr="00CD0A35">
      <w:rPr>
        <w:b/>
        <w:bCs/>
        <w:sz w:val="18"/>
        <w:szCs w:val="18"/>
        <w:rtl/>
        <w:cs/>
      </w:rPr>
      <w:instrText>PAGE</w:instrText>
    </w:r>
    <w:r w:rsidR="00537B7C" w:rsidRPr="00CD0A35">
      <w:rPr>
        <w:b/>
        <w:bCs/>
        <w:sz w:val="18"/>
        <w:szCs w:val="18"/>
      </w:rPr>
      <w:fldChar w:fldCharType="separate"/>
    </w:r>
    <w:r w:rsidR="00253946">
      <w:rPr>
        <w:b/>
        <w:bCs/>
        <w:noProof/>
        <w:sz w:val="18"/>
        <w:szCs w:val="18"/>
      </w:rPr>
      <w:t>5</w:t>
    </w:r>
    <w:r w:rsidR="00537B7C"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537B7C" w:rsidRPr="00CD0A35">
      <w:rPr>
        <w:b/>
        <w:bCs/>
        <w:sz w:val="18"/>
        <w:szCs w:val="18"/>
      </w:rPr>
      <w:fldChar w:fldCharType="begin"/>
    </w:r>
    <w:r w:rsidR="00B96022" w:rsidRPr="00CD0A35">
      <w:rPr>
        <w:b/>
        <w:bCs/>
        <w:sz w:val="18"/>
        <w:szCs w:val="18"/>
        <w:rtl/>
        <w:cs/>
      </w:rPr>
      <w:instrText>NUMPAGES</w:instrText>
    </w:r>
    <w:r w:rsidR="00537B7C" w:rsidRPr="00CD0A35">
      <w:rPr>
        <w:b/>
        <w:bCs/>
        <w:sz w:val="18"/>
        <w:szCs w:val="18"/>
      </w:rPr>
      <w:fldChar w:fldCharType="separate"/>
    </w:r>
    <w:r w:rsidR="00253946">
      <w:rPr>
        <w:b/>
        <w:bCs/>
        <w:noProof/>
        <w:sz w:val="18"/>
        <w:szCs w:val="18"/>
      </w:rPr>
      <w:t>5</w:t>
    </w:r>
    <w:r w:rsidR="00537B7C" w:rsidRPr="00CD0A3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8E" w:rsidRDefault="0032308E" w:rsidP="00E64B36">
      <w:r>
        <w:separator/>
      </w:r>
    </w:p>
  </w:footnote>
  <w:footnote w:type="continuationSeparator" w:id="0">
    <w:p w:rsidR="0032308E" w:rsidRDefault="0032308E" w:rsidP="00E64B36">
      <w:r>
        <w:continuationSeparator/>
      </w:r>
    </w:p>
  </w:footnote>
  <w:footnote w:id="1">
    <w:p w:rsidR="000135E2" w:rsidRPr="000135E2" w:rsidRDefault="000135E2" w:rsidP="00494280">
      <w:pPr>
        <w:tabs>
          <w:tab w:val="center" w:pos="4156"/>
          <w:tab w:val="right" w:pos="8312"/>
        </w:tabs>
        <w:bidi w:val="0"/>
        <w:jc w:val="both"/>
        <w:rPr>
          <w:rFonts w:cs="David"/>
          <w:sz w:val="18"/>
          <w:szCs w:val="18"/>
        </w:rPr>
      </w:pPr>
      <w:r w:rsidRPr="000135E2">
        <w:rPr>
          <w:rStyle w:val="ad"/>
          <w:sz w:val="20"/>
          <w:szCs w:val="20"/>
        </w:rPr>
        <w:footnoteRef/>
      </w:r>
      <w:r w:rsidRPr="000135E2">
        <w:rPr>
          <w:sz w:val="20"/>
          <w:szCs w:val="20"/>
        </w:rPr>
        <w:t xml:space="preserve"> Bank of Israel data</w:t>
      </w:r>
      <w:r w:rsidR="00494280">
        <w:rPr>
          <w:sz w:val="20"/>
          <w:szCs w:val="20"/>
        </w:rPr>
        <w:t xml:space="preserve"> and processing</w:t>
      </w:r>
      <w:r w:rsidRPr="000135E2">
        <w:rPr>
          <w:sz w:val="20"/>
          <w:szCs w:val="20"/>
        </w:rPr>
        <w:t xml:space="preserve">: The Bank of Israel’s Information and Statistics Department collects data from numerous varied sources. Most of the data on the economy’s activity vis-à-vis abroad </w:t>
      </w:r>
      <w:proofErr w:type="gramStart"/>
      <w:r w:rsidRPr="000135E2">
        <w:rPr>
          <w:sz w:val="20"/>
          <w:szCs w:val="20"/>
        </w:rPr>
        <w:t>are received</w:t>
      </w:r>
      <w:proofErr w:type="gramEnd"/>
      <w:r w:rsidRPr="000135E2">
        <w:rPr>
          <w:sz w:val="20"/>
          <w:szCs w:val="20"/>
        </w:rPr>
        <w:t xml:space="preserve"> by force of a Bank of Israel Order, from direct reports by corporations and individuals to the Bank of Israel. (See: </w:t>
      </w:r>
      <w:r w:rsidR="00494280">
        <w:rPr>
          <w:sz w:val="20"/>
          <w:szCs w:val="20"/>
        </w:rPr>
        <w:t>“</w:t>
      </w:r>
      <w:r w:rsidR="00BA72C9">
        <w:rPr>
          <w:sz w:val="20"/>
          <w:szCs w:val="20"/>
        </w:rPr>
        <w:t xml:space="preserve">Information </w:t>
      </w:r>
      <w:r w:rsidR="00494280">
        <w:rPr>
          <w:sz w:val="20"/>
          <w:szCs w:val="20"/>
        </w:rPr>
        <w:t>R</w:t>
      </w:r>
      <w:r w:rsidR="00BA72C9">
        <w:rPr>
          <w:sz w:val="20"/>
          <w:szCs w:val="20"/>
        </w:rPr>
        <w:t xml:space="preserve">egarding </w:t>
      </w:r>
      <w:r w:rsidR="00494280">
        <w:rPr>
          <w:sz w:val="20"/>
          <w:szCs w:val="20"/>
        </w:rPr>
        <w:t>F</w:t>
      </w:r>
      <w:r w:rsidR="00BA72C9">
        <w:rPr>
          <w:sz w:val="20"/>
          <w:szCs w:val="20"/>
        </w:rPr>
        <w:t xml:space="preserve">oreign </w:t>
      </w:r>
      <w:r w:rsidR="00494280">
        <w:rPr>
          <w:sz w:val="20"/>
          <w:szCs w:val="20"/>
        </w:rPr>
        <w:t>E</w:t>
      </w:r>
      <w:r w:rsidRPr="000135E2">
        <w:rPr>
          <w:sz w:val="20"/>
          <w:szCs w:val="20"/>
        </w:rPr>
        <w:t xml:space="preserve">xchange </w:t>
      </w:r>
      <w:r w:rsidR="00494280">
        <w:rPr>
          <w:sz w:val="20"/>
          <w:szCs w:val="20"/>
        </w:rPr>
        <w:t>M</w:t>
      </w:r>
      <w:r w:rsidRPr="000135E2">
        <w:rPr>
          <w:sz w:val="20"/>
          <w:szCs w:val="20"/>
        </w:rPr>
        <w:t xml:space="preserve">arket </w:t>
      </w:r>
      <w:r w:rsidR="00494280">
        <w:rPr>
          <w:sz w:val="20"/>
          <w:szCs w:val="20"/>
        </w:rPr>
        <w:t>D</w:t>
      </w:r>
      <w:r w:rsidRPr="000135E2">
        <w:rPr>
          <w:sz w:val="20"/>
          <w:szCs w:val="20"/>
        </w:rPr>
        <w:t>evelopments in Israel</w:t>
      </w:r>
      <w:r w:rsidR="00494280">
        <w:rPr>
          <w:sz w:val="20"/>
          <w:szCs w:val="20"/>
        </w:rPr>
        <w:t>”</w:t>
      </w:r>
      <w:r w:rsidRPr="000135E2">
        <w:rPr>
          <w:sz w:val="20"/>
          <w:szCs w:val="20"/>
        </w:rPr>
        <w:t>, 5770</w:t>
      </w:r>
      <w:r w:rsidR="00494280">
        <w:rPr>
          <w:sz w:val="20"/>
          <w:szCs w:val="20"/>
        </w:rPr>
        <w:t>–</w:t>
      </w:r>
      <w:r w:rsidRPr="000135E2">
        <w:rPr>
          <w:sz w:val="20"/>
          <w:szCs w:val="20"/>
        </w:rPr>
        <w:t>2010). Additional data used for measuring economic activity vis-à-vis abroad are received by reports from the Bank of Israel’s Accounting Division, the Ministry of Finance, the Central Bureau of Statistics, the Israel Securities Authority, domestic banks and other financial intermediaries, and institutional investors. The Department carries out estimations and processing on data received from the various sources.</w:t>
      </w:r>
    </w:p>
    <w:p w:rsidR="000135E2" w:rsidRDefault="000135E2">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24" w:rsidRDefault="00F36E24" w:rsidP="00F36E24">
    <w:pPr>
      <w:pStyle w:val="regpar"/>
      <w:spacing w:line="300" w:lineRule="atLeast"/>
      <w:ind w:firstLine="0"/>
      <w:jc w:val="center"/>
      <w:rPr>
        <w:b/>
        <w:rtl/>
      </w:rPr>
    </w:pPr>
  </w:p>
  <w:p w:rsidR="00F36E24" w:rsidRPr="00F36E24" w:rsidRDefault="00F36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4167"/>
    <w:multiLevelType w:val="hybridMultilevel"/>
    <w:tmpl w:val="B75A6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3030"/>
    <w:rsid w:val="0000462B"/>
    <w:rsid w:val="000135E2"/>
    <w:rsid w:val="0001385E"/>
    <w:rsid w:val="0001413F"/>
    <w:rsid w:val="0002004D"/>
    <w:rsid w:val="00020913"/>
    <w:rsid w:val="0002107D"/>
    <w:rsid w:val="00021454"/>
    <w:rsid w:val="00022DA8"/>
    <w:rsid w:val="0002419C"/>
    <w:rsid w:val="0003330C"/>
    <w:rsid w:val="00033569"/>
    <w:rsid w:val="00034591"/>
    <w:rsid w:val="0004083B"/>
    <w:rsid w:val="000442F9"/>
    <w:rsid w:val="00044332"/>
    <w:rsid w:val="00044C53"/>
    <w:rsid w:val="00050B80"/>
    <w:rsid w:val="00051247"/>
    <w:rsid w:val="00051756"/>
    <w:rsid w:val="000524A8"/>
    <w:rsid w:val="000526A0"/>
    <w:rsid w:val="0005434B"/>
    <w:rsid w:val="000546F8"/>
    <w:rsid w:val="0005496E"/>
    <w:rsid w:val="00054A1E"/>
    <w:rsid w:val="00055746"/>
    <w:rsid w:val="0005726E"/>
    <w:rsid w:val="0006167B"/>
    <w:rsid w:val="000669F8"/>
    <w:rsid w:val="0006724E"/>
    <w:rsid w:val="00070D66"/>
    <w:rsid w:val="000738C9"/>
    <w:rsid w:val="00073F06"/>
    <w:rsid w:val="00074C35"/>
    <w:rsid w:val="00075965"/>
    <w:rsid w:val="00077D5A"/>
    <w:rsid w:val="0008354E"/>
    <w:rsid w:val="00083750"/>
    <w:rsid w:val="0008700B"/>
    <w:rsid w:val="00095A6C"/>
    <w:rsid w:val="00096AA7"/>
    <w:rsid w:val="000A506C"/>
    <w:rsid w:val="000A520E"/>
    <w:rsid w:val="000A6AFC"/>
    <w:rsid w:val="000B1395"/>
    <w:rsid w:val="000B1CF7"/>
    <w:rsid w:val="000B7678"/>
    <w:rsid w:val="000B7C8E"/>
    <w:rsid w:val="000C46EA"/>
    <w:rsid w:val="000C5BBB"/>
    <w:rsid w:val="000C5FBA"/>
    <w:rsid w:val="000C6D17"/>
    <w:rsid w:val="000C6FE2"/>
    <w:rsid w:val="000C710C"/>
    <w:rsid w:val="000C7858"/>
    <w:rsid w:val="000D27BE"/>
    <w:rsid w:val="000D35BE"/>
    <w:rsid w:val="000D3B93"/>
    <w:rsid w:val="000D3F5C"/>
    <w:rsid w:val="000E048A"/>
    <w:rsid w:val="000E0CF6"/>
    <w:rsid w:val="000E3AAE"/>
    <w:rsid w:val="000F04B9"/>
    <w:rsid w:val="000F09BD"/>
    <w:rsid w:val="000F1789"/>
    <w:rsid w:val="000F37B6"/>
    <w:rsid w:val="000F48F6"/>
    <w:rsid w:val="000F4BF2"/>
    <w:rsid w:val="000F5931"/>
    <w:rsid w:val="000F6914"/>
    <w:rsid w:val="000F6B5F"/>
    <w:rsid w:val="001001A2"/>
    <w:rsid w:val="0010159F"/>
    <w:rsid w:val="00101B55"/>
    <w:rsid w:val="0011574D"/>
    <w:rsid w:val="0011709E"/>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E7A"/>
    <w:rsid w:val="00147F1B"/>
    <w:rsid w:val="001565E3"/>
    <w:rsid w:val="00160080"/>
    <w:rsid w:val="00160B25"/>
    <w:rsid w:val="001669B0"/>
    <w:rsid w:val="00166FB6"/>
    <w:rsid w:val="00171330"/>
    <w:rsid w:val="00173F17"/>
    <w:rsid w:val="00173FE4"/>
    <w:rsid w:val="001743E0"/>
    <w:rsid w:val="00174485"/>
    <w:rsid w:val="00176D2E"/>
    <w:rsid w:val="001815E1"/>
    <w:rsid w:val="00182CF0"/>
    <w:rsid w:val="001838A7"/>
    <w:rsid w:val="00186F87"/>
    <w:rsid w:val="00194670"/>
    <w:rsid w:val="00197419"/>
    <w:rsid w:val="001A6BB8"/>
    <w:rsid w:val="001A6C9A"/>
    <w:rsid w:val="001B385B"/>
    <w:rsid w:val="001B4E73"/>
    <w:rsid w:val="001B5B5C"/>
    <w:rsid w:val="001B63A6"/>
    <w:rsid w:val="001B64BF"/>
    <w:rsid w:val="001C0AFC"/>
    <w:rsid w:val="001C0D92"/>
    <w:rsid w:val="001C1BC1"/>
    <w:rsid w:val="001C233F"/>
    <w:rsid w:val="001C388F"/>
    <w:rsid w:val="001C40E9"/>
    <w:rsid w:val="001C46E5"/>
    <w:rsid w:val="001C5981"/>
    <w:rsid w:val="001C602B"/>
    <w:rsid w:val="001C71E8"/>
    <w:rsid w:val="001C7E52"/>
    <w:rsid w:val="001D2C88"/>
    <w:rsid w:val="001D381C"/>
    <w:rsid w:val="001D407E"/>
    <w:rsid w:val="001D4DF0"/>
    <w:rsid w:val="001D53BC"/>
    <w:rsid w:val="001E52D4"/>
    <w:rsid w:val="001E5FCA"/>
    <w:rsid w:val="001E6AAC"/>
    <w:rsid w:val="001F238F"/>
    <w:rsid w:val="001F3AA9"/>
    <w:rsid w:val="001F57DE"/>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BA7"/>
    <w:rsid w:val="002211DF"/>
    <w:rsid w:val="00224462"/>
    <w:rsid w:val="002330CC"/>
    <w:rsid w:val="00237CE5"/>
    <w:rsid w:val="0024277F"/>
    <w:rsid w:val="00243AAE"/>
    <w:rsid w:val="00247387"/>
    <w:rsid w:val="00250CFC"/>
    <w:rsid w:val="00252BB0"/>
    <w:rsid w:val="00252C62"/>
    <w:rsid w:val="00253946"/>
    <w:rsid w:val="00253CAA"/>
    <w:rsid w:val="002563E0"/>
    <w:rsid w:val="0026295C"/>
    <w:rsid w:val="00262DFE"/>
    <w:rsid w:val="0026680D"/>
    <w:rsid w:val="00266CE7"/>
    <w:rsid w:val="0027156F"/>
    <w:rsid w:val="0027195F"/>
    <w:rsid w:val="00272D24"/>
    <w:rsid w:val="002749E1"/>
    <w:rsid w:val="002752D6"/>
    <w:rsid w:val="0027777F"/>
    <w:rsid w:val="00280DD3"/>
    <w:rsid w:val="0028175F"/>
    <w:rsid w:val="00281C70"/>
    <w:rsid w:val="00281D82"/>
    <w:rsid w:val="00283FB7"/>
    <w:rsid w:val="00284C45"/>
    <w:rsid w:val="00287018"/>
    <w:rsid w:val="00287449"/>
    <w:rsid w:val="00291467"/>
    <w:rsid w:val="0029219A"/>
    <w:rsid w:val="002927C0"/>
    <w:rsid w:val="002928BA"/>
    <w:rsid w:val="00292927"/>
    <w:rsid w:val="00295790"/>
    <w:rsid w:val="00297100"/>
    <w:rsid w:val="00297C28"/>
    <w:rsid w:val="002A0D2A"/>
    <w:rsid w:val="002A1B95"/>
    <w:rsid w:val="002A4692"/>
    <w:rsid w:val="002A46AF"/>
    <w:rsid w:val="002A4BDF"/>
    <w:rsid w:val="002A6384"/>
    <w:rsid w:val="002A7522"/>
    <w:rsid w:val="002A7D3A"/>
    <w:rsid w:val="002B48CC"/>
    <w:rsid w:val="002C3A10"/>
    <w:rsid w:val="002C518C"/>
    <w:rsid w:val="002C67A2"/>
    <w:rsid w:val="002C7E33"/>
    <w:rsid w:val="002D0240"/>
    <w:rsid w:val="002D07A8"/>
    <w:rsid w:val="002D1DB5"/>
    <w:rsid w:val="002D4092"/>
    <w:rsid w:val="002D66E7"/>
    <w:rsid w:val="002E2872"/>
    <w:rsid w:val="002E2EF8"/>
    <w:rsid w:val="002E3D4B"/>
    <w:rsid w:val="002E4D6B"/>
    <w:rsid w:val="002F019E"/>
    <w:rsid w:val="002F131A"/>
    <w:rsid w:val="002F29B8"/>
    <w:rsid w:val="002F2DC3"/>
    <w:rsid w:val="002F3815"/>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2308E"/>
    <w:rsid w:val="003231EA"/>
    <w:rsid w:val="00323D74"/>
    <w:rsid w:val="00324E8F"/>
    <w:rsid w:val="00326B50"/>
    <w:rsid w:val="00330A83"/>
    <w:rsid w:val="00330FD9"/>
    <w:rsid w:val="00335059"/>
    <w:rsid w:val="0033513C"/>
    <w:rsid w:val="00335A9E"/>
    <w:rsid w:val="00335E45"/>
    <w:rsid w:val="00341343"/>
    <w:rsid w:val="003419DA"/>
    <w:rsid w:val="0034243B"/>
    <w:rsid w:val="00342468"/>
    <w:rsid w:val="003435B0"/>
    <w:rsid w:val="00344911"/>
    <w:rsid w:val="00344E60"/>
    <w:rsid w:val="00346978"/>
    <w:rsid w:val="00357FE9"/>
    <w:rsid w:val="00360B5C"/>
    <w:rsid w:val="00362CDB"/>
    <w:rsid w:val="00362E59"/>
    <w:rsid w:val="00364C08"/>
    <w:rsid w:val="003669C9"/>
    <w:rsid w:val="00367227"/>
    <w:rsid w:val="0037177F"/>
    <w:rsid w:val="003727EE"/>
    <w:rsid w:val="003770FA"/>
    <w:rsid w:val="003772AF"/>
    <w:rsid w:val="003842E9"/>
    <w:rsid w:val="00385CB3"/>
    <w:rsid w:val="00387365"/>
    <w:rsid w:val="00387840"/>
    <w:rsid w:val="0039059D"/>
    <w:rsid w:val="00390CA5"/>
    <w:rsid w:val="003947F4"/>
    <w:rsid w:val="0039482B"/>
    <w:rsid w:val="003A005A"/>
    <w:rsid w:val="003A2BAF"/>
    <w:rsid w:val="003A2DAE"/>
    <w:rsid w:val="003A335C"/>
    <w:rsid w:val="003A3813"/>
    <w:rsid w:val="003A4BE7"/>
    <w:rsid w:val="003A58FC"/>
    <w:rsid w:val="003B1481"/>
    <w:rsid w:val="003B488C"/>
    <w:rsid w:val="003B715F"/>
    <w:rsid w:val="003B7DC3"/>
    <w:rsid w:val="003C24B1"/>
    <w:rsid w:val="003C338A"/>
    <w:rsid w:val="003C4DB8"/>
    <w:rsid w:val="003C5ED4"/>
    <w:rsid w:val="003C6073"/>
    <w:rsid w:val="003C6203"/>
    <w:rsid w:val="003C63B2"/>
    <w:rsid w:val="003C7815"/>
    <w:rsid w:val="003D5EBD"/>
    <w:rsid w:val="003D6464"/>
    <w:rsid w:val="003D6F31"/>
    <w:rsid w:val="003D7860"/>
    <w:rsid w:val="003E3F4C"/>
    <w:rsid w:val="003E40E1"/>
    <w:rsid w:val="003E5179"/>
    <w:rsid w:val="003E726C"/>
    <w:rsid w:val="003F41A8"/>
    <w:rsid w:val="003F45CD"/>
    <w:rsid w:val="003F7DBF"/>
    <w:rsid w:val="00403674"/>
    <w:rsid w:val="00403D99"/>
    <w:rsid w:val="00404DAF"/>
    <w:rsid w:val="004052CA"/>
    <w:rsid w:val="00405EEE"/>
    <w:rsid w:val="00411BA4"/>
    <w:rsid w:val="00412846"/>
    <w:rsid w:val="00412EE1"/>
    <w:rsid w:val="00413006"/>
    <w:rsid w:val="004147FC"/>
    <w:rsid w:val="004159FA"/>
    <w:rsid w:val="004213D4"/>
    <w:rsid w:val="00422546"/>
    <w:rsid w:val="004228B0"/>
    <w:rsid w:val="00424984"/>
    <w:rsid w:val="0042520D"/>
    <w:rsid w:val="00425339"/>
    <w:rsid w:val="00426EA0"/>
    <w:rsid w:val="004274AD"/>
    <w:rsid w:val="004302F4"/>
    <w:rsid w:val="00430365"/>
    <w:rsid w:val="004342D0"/>
    <w:rsid w:val="004359B7"/>
    <w:rsid w:val="0043764C"/>
    <w:rsid w:val="00440F82"/>
    <w:rsid w:val="004456EC"/>
    <w:rsid w:val="00445B15"/>
    <w:rsid w:val="00445B51"/>
    <w:rsid w:val="00447E5A"/>
    <w:rsid w:val="00450993"/>
    <w:rsid w:val="00450BEC"/>
    <w:rsid w:val="00452111"/>
    <w:rsid w:val="00456A03"/>
    <w:rsid w:val="0046455D"/>
    <w:rsid w:val="0046604F"/>
    <w:rsid w:val="00471D8F"/>
    <w:rsid w:val="00473516"/>
    <w:rsid w:val="00474107"/>
    <w:rsid w:val="004751C1"/>
    <w:rsid w:val="00477DCC"/>
    <w:rsid w:val="004804AB"/>
    <w:rsid w:val="0048218A"/>
    <w:rsid w:val="00482E08"/>
    <w:rsid w:val="00484089"/>
    <w:rsid w:val="0048485C"/>
    <w:rsid w:val="0048596F"/>
    <w:rsid w:val="00485AA0"/>
    <w:rsid w:val="00486022"/>
    <w:rsid w:val="00486C74"/>
    <w:rsid w:val="00487293"/>
    <w:rsid w:val="00487361"/>
    <w:rsid w:val="0049111C"/>
    <w:rsid w:val="00492047"/>
    <w:rsid w:val="0049226B"/>
    <w:rsid w:val="00492391"/>
    <w:rsid w:val="004923E2"/>
    <w:rsid w:val="0049296F"/>
    <w:rsid w:val="00494280"/>
    <w:rsid w:val="00496B00"/>
    <w:rsid w:val="004A20A5"/>
    <w:rsid w:val="004A216E"/>
    <w:rsid w:val="004A53A2"/>
    <w:rsid w:val="004B3A7D"/>
    <w:rsid w:val="004B62EE"/>
    <w:rsid w:val="004B7C74"/>
    <w:rsid w:val="004C26F2"/>
    <w:rsid w:val="004C4ECA"/>
    <w:rsid w:val="004C7D99"/>
    <w:rsid w:val="004D0C3D"/>
    <w:rsid w:val="004D148A"/>
    <w:rsid w:val="004D15B6"/>
    <w:rsid w:val="004D1B1E"/>
    <w:rsid w:val="004D32A7"/>
    <w:rsid w:val="004D38A0"/>
    <w:rsid w:val="004D4A21"/>
    <w:rsid w:val="004D5D6F"/>
    <w:rsid w:val="004D6650"/>
    <w:rsid w:val="004E0F06"/>
    <w:rsid w:val="004E147C"/>
    <w:rsid w:val="004E25DD"/>
    <w:rsid w:val="004E316E"/>
    <w:rsid w:val="004E3268"/>
    <w:rsid w:val="004E4AEC"/>
    <w:rsid w:val="004E70EB"/>
    <w:rsid w:val="004E771E"/>
    <w:rsid w:val="004F0081"/>
    <w:rsid w:val="004F103A"/>
    <w:rsid w:val="004F12AF"/>
    <w:rsid w:val="004F7AFE"/>
    <w:rsid w:val="00501566"/>
    <w:rsid w:val="0050183E"/>
    <w:rsid w:val="00502E3C"/>
    <w:rsid w:val="00504BC5"/>
    <w:rsid w:val="005060D1"/>
    <w:rsid w:val="00510B33"/>
    <w:rsid w:val="0051122C"/>
    <w:rsid w:val="005132B2"/>
    <w:rsid w:val="00513CAA"/>
    <w:rsid w:val="00517C50"/>
    <w:rsid w:val="005221FC"/>
    <w:rsid w:val="00522501"/>
    <w:rsid w:val="00522E4E"/>
    <w:rsid w:val="00523DB3"/>
    <w:rsid w:val="00524D99"/>
    <w:rsid w:val="00526B66"/>
    <w:rsid w:val="0052733F"/>
    <w:rsid w:val="0053081A"/>
    <w:rsid w:val="00537752"/>
    <w:rsid w:val="00537B7C"/>
    <w:rsid w:val="005406F8"/>
    <w:rsid w:val="00540B03"/>
    <w:rsid w:val="00542CEF"/>
    <w:rsid w:val="0054314B"/>
    <w:rsid w:val="005462D0"/>
    <w:rsid w:val="005528B7"/>
    <w:rsid w:val="0055489D"/>
    <w:rsid w:val="00555C8A"/>
    <w:rsid w:val="00556DA5"/>
    <w:rsid w:val="005576E1"/>
    <w:rsid w:val="00557D99"/>
    <w:rsid w:val="00562444"/>
    <w:rsid w:val="00564A08"/>
    <w:rsid w:val="00565CBF"/>
    <w:rsid w:val="005713A8"/>
    <w:rsid w:val="00571B2D"/>
    <w:rsid w:val="00571E49"/>
    <w:rsid w:val="00572BC7"/>
    <w:rsid w:val="00572DFC"/>
    <w:rsid w:val="00573524"/>
    <w:rsid w:val="0057605C"/>
    <w:rsid w:val="005776B1"/>
    <w:rsid w:val="00581F51"/>
    <w:rsid w:val="00583DAD"/>
    <w:rsid w:val="005842D1"/>
    <w:rsid w:val="0059211B"/>
    <w:rsid w:val="0059277F"/>
    <w:rsid w:val="00592A92"/>
    <w:rsid w:val="0059571B"/>
    <w:rsid w:val="00596FB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6FC9"/>
    <w:rsid w:val="005E761E"/>
    <w:rsid w:val="005E7885"/>
    <w:rsid w:val="005F32E1"/>
    <w:rsid w:val="005F3E47"/>
    <w:rsid w:val="005F798D"/>
    <w:rsid w:val="005F7A2E"/>
    <w:rsid w:val="006004D5"/>
    <w:rsid w:val="00600A4D"/>
    <w:rsid w:val="0060215A"/>
    <w:rsid w:val="00603F1C"/>
    <w:rsid w:val="0060668A"/>
    <w:rsid w:val="006118DC"/>
    <w:rsid w:val="006126EF"/>
    <w:rsid w:val="00616381"/>
    <w:rsid w:val="0061692C"/>
    <w:rsid w:val="00617FB7"/>
    <w:rsid w:val="006216F9"/>
    <w:rsid w:val="00621BB5"/>
    <w:rsid w:val="00622B5B"/>
    <w:rsid w:val="006248C2"/>
    <w:rsid w:val="0062658F"/>
    <w:rsid w:val="00627282"/>
    <w:rsid w:val="006300F4"/>
    <w:rsid w:val="00630FFF"/>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2FB1"/>
    <w:rsid w:val="0066448E"/>
    <w:rsid w:val="006677F8"/>
    <w:rsid w:val="0067017F"/>
    <w:rsid w:val="00672616"/>
    <w:rsid w:val="00672EF0"/>
    <w:rsid w:val="00673C6A"/>
    <w:rsid w:val="0067516F"/>
    <w:rsid w:val="006832C4"/>
    <w:rsid w:val="00684DF3"/>
    <w:rsid w:val="00685643"/>
    <w:rsid w:val="006863C7"/>
    <w:rsid w:val="00691A26"/>
    <w:rsid w:val="00694AB4"/>
    <w:rsid w:val="00697226"/>
    <w:rsid w:val="006A01CC"/>
    <w:rsid w:val="006A15B1"/>
    <w:rsid w:val="006A60B9"/>
    <w:rsid w:val="006A66C5"/>
    <w:rsid w:val="006A72CA"/>
    <w:rsid w:val="006B0ACB"/>
    <w:rsid w:val="006B0ACE"/>
    <w:rsid w:val="006B0DAF"/>
    <w:rsid w:val="006B0FD9"/>
    <w:rsid w:val="006B4683"/>
    <w:rsid w:val="006B5385"/>
    <w:rsid w:val="006B679C"/>
    <w:rsid w:val="006C076D"/>
    <w:rsid w:val="006C0C06"/>
    <w:rsid w:val="006C138C"/>
    <w:rsid w:val="006C1428"/>
    <w:rsid w:val="006C3B85"/>
    <w:rsid w:val="006C5945"/>
    <w:rsid w:val="006D05D0"/>
    <w:rsid w:val="006D22A3"/>
    <w:rsid w:val="006D3582"/>
    <w:rsid w:val="006D7AB3"/>
    <w:rsid w:val="006D7FE6"/>
    <w:rsid w:val="006E1B6A"/>
    <w:rsid w:val="006E5D1A"/>
    <w:rsid w:val="006E7B71"/>
    <w:rsid w:val="006F0E35"/>
    <w:rsid w:val="006F1EEC"/>
    <w:rsid w:val="006F4074"/>
    <w:rsid w:val="006F61B6"/>
    <w:rsid w:val="006F68D2"/>
    <w:rsid w:val="0070010B"/>
    <w:rsid w:val="00701734"/>
    <w:rsid w:val="00705F5A"/>
    <w:rsid w:val="00707956"/>
    <w:rsid w:val="00710994"/>
    <w:rsid w:val="007130E1"/>
    <w:rsid w:val="00717397"/>
    <w:rsid w:val="007174D0"/>
    <w:rsid w:val="00717EA9"/>
    <w:rsid w:val="00721560"/>
    <w:rsid w:val="00726036"/>
    <w:rsid w:val="007270FC"/>
    <w:rsid w:val="007324D1"/>
    <w:rsid w:val="00733087"/>
    <w:rsid w:val="007332F1"/>
    <w:rsid w:val="007338D2"/>
    <w:rsid w:val="00734839"/>
    <w:rsid w:val="007377DD"/>
    <w:rsid w:val="007409AC"/>
    <w:rsid w:val="0074167B"/>
    <w:rsid w:val="0074341E"/>
    <w:rsid w:val="007514A6"/>
    <w:rsid w:val="00751F08"/>
    <w:rsid w:val="007523F6"/>
    <w:rsid w:val="007559F0"/>
    <w:rsid w:val="007561D4"/>
    <w:rsid w:val="00762A16"/>
    <w:rsid w:val="00763F37"/>
    <w:rsid w:val="007663DC"/>
    <w:rsid w:val="007666A8"/>
    <w:rsid w:val="00771C44"/>
    <w:rsid w:val="007735EE"/>
    <w:rsid w:val="00776D4B"/>
    <w:rsid w:val="0077752A"/>
    <w:rsid w:val="00781114"/>
    <w:rsid w:val="00783BF6"/>
    <w:rsid w:val="007861E2"/>
    <w:rsid w:val="007924EE"/>
    <w:rsid w:val="00792D02"/>
    <w:rsid w:val="00793279"/>
    <w:rsid w:val="00793399"/>
    <w:rsid w:val="0079583C"/>
    <w:rsid w:val="007975F1"/>
    <w:rsid w:val="007A0669"/>
    <w:rsid w:val="007A0FB9"/>
    <w:rsid w:val="007A1F22"/>
    <w:rsid w:val="007A2250"/>
    <w:rsid w:val="007A4E6D"/>
    <w:rsid w:val="007A60EB"/>
    <w:rsid w:val="007B2769"/>
    <w:rsid w:val="007B399E"/>
    <w:rsid w:val="007B4880"/>
    <w:rsid w:val="007C13F5"/>
    <w:rsid w:val="007C1496"/>
    <w:rsid w:val="007C413B"/>
    <w:rsid w:val="007C6400"/>
    <w:rsid w:val="007C66F7"/>
    <w:rsid w:val="007C7EAD"/>
    <w:rsid w:val="007D076E"/>
    <w:rsid w:val="007D0DFA"/>
    <w:rsid w:val="007D3F2A"/>
    <w:rsid w:val="007D57EE"/>
    <w:rsid w:val="007D7A6B"/>
    <w:rsid w:val="007E1CB3"/>
    <w:rsid w:val="007F3AB4"/>
    <w:rsid w:val="007F4876"/>
    <w:rsid w:val="007F72EA"/>
    <w:rsid w:val="007F7993"/>
    <w:rsid w:val="00801DBB"/>
    <w:rsid w:val="00802966"/>
    <w:rsid w:val="008051AE"/>
    <w:rsid w:val="008053E9"/>
    <w:rsid w:val="00806DA7"/>
    <w:rsid w:val="0081026B"/>
    <w:rsid w:val="00811E95"/>
    <w:rsid w:val="00811F54"/>
    <w:rsid w:val="00812508"/>
    <w:rsid w:val="0081387D"/>
    <w:rsid w:val="008202B9"/>
    <w:rsid w:val="00820AD6"/>
    <w:rsid w:val="008235BB"/>
    <w:rsid w:val="008317DA"/>
    <w:rsid w:val="00833AF3"/>
    <w:rsid w:val="008345D0"/>
    <w:rsid w:val="008360FF"/>
    <w:rsid w:val="008403F1"/>
    <w:rsid w:val="008407E0"/>
    <w:rsid w:val="00842057"/>
    <w:rsid w:val="0084264F"/>
    <w:rsid w:val="00842B70"/>
    <w:rsid w:val="00842BAF"/>
    <w:rsid w:val="0084338C"/>
    <w:rsid w:val="00845D4C"/>
    <w:rsid w:val="00846306"/>
    <w:rsid w:val="008505F3"/>
    <w:rsid w:val="00852D08"/>
    <w:rsid w:val="00853159"/>
    <w:rsid w:val="0085587E"/>
    <w:rsid w:val="00856F6E"/>
    <w:rsid w:val="0086005B"/>
    <w:rsid w:val="00862889"/>
    <w:rsid w:val="00864530"/>
    <w:rsid w:val="00864C55"/>
    <w:rsid w:val="008669C8"/>
    <w:rsid w:val="0087035A"/>
    <w:rsid w:val="00872910"/>
    <w:rsid w:val="008771F5"/>
    <w:rsid w:val="00877547"/>
    <w:rsid w:val="008807A4"/>
    <w:rsid w:val="00881BDB"/>
    <w:rsid w:val="008820ED"/>
    <w:rsid w:val="00883627"/>
    <w:rsid w:val="00884167"/>
    <w:rsid w:val="0088422B"/>
    <w:rsid w:val="00891A7E"/>
    <w:rsid w:val="00893614"/>
    <w:rsid w:val="00893A01"/>
    <w:rsid w:val="00893ED9"/>
    <w:rsid w:val="00895B15"/>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1304"/>
    <w:rsid w:val="008C360E"/>
    <w:rsid w:val="008C366C"/>
    <w:rsid w:val="008C57CA"/>
    <w:rsid w:val="008D1148"/>
    <w:rsid w:val="008D129C"/>
    <w:rsid w:val="008D390B"/>
    <w:rsid w:val="008D4843"/>
    <w:rsid w:val="008D6FB6"/>
    <w:rsid w:val="008E2D69"/>
    <w:rsid w:val="008E4D8E"/>
    <w:rsid w:val="008E53C2"/>
    <w:rsid w:val="008E652D"/>
    <w:rsid w:val="008F0C93"/>
    <w:rsid w:val="008F1FCF"/>
    <w:rsid w:val="008F2AD7"/>
    <w:rsid w:val="008F2F3B"/>
    <w:rsid w:val="008F5562"/>
    <w:rsid w:val="008F5ADA"/>
    <w:rsid w:val="008F6C2C"/>
    <w:rsid w:val="00903E7A"/>
    <w:rsid w:val="00904EF2"/>
    <w:rsid w:val="00905463"/>
    <w:rsid w:val="00906E8D"/>
    <w:rsid w:val="0091307F"/>
    <w:rsid w:val="0091462E"/>
    <w:rsid w:val="00914FE3"/>
    <w:rsid w:val="00920B56"/>
    <w:rsid w:val="00926D84"/>
    <w:rsid w:val="009277E3"/>
    <w:rsid w:val="0093019F"/>
    <w:rsid w:val="00930CB3"/>
    <w:rsid w:val="00933EF4"/>
    <w:rsid w:val="0093574D"/>
    <w:rsid w:val="0093786E"/>
    <w:rsid w:val="00941607"/>
    <w:rsid w:val="00941676"/>
    <w:rsid w:val="00946FB3"/>
    <w:rsid w:val="00947193"/>
    <w:rsid w:val="0094738B"/>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90CAE"/>
    <w:rsid w:val="009927EA"/>
    <w:rsid w:val="0099493D"/>
    <w:rsid w:val="00995284"/>
    <w:rsid w:val="00997C50"/>
    <w:rsid w:val="009A3450"/>
    <w:rsid w:val="009A4904"/>
    <w:rsid w:val="009A4E8E"/>
    <w:rsid w:val="009B0135"/>
    <w:rsid w:val="009B0743"/>
    <w:rsid w:val="009B0977"/>
    <w:rsid w:val="009B60DA"/>
    <w:rsid w:val="009B66C8"/>
    <w:rsid w:val="009B6779"/>
    <w:rsid w:val="009C0635"/>
    <w:rsid w:val="009C21B3"/>
    <w:rsid w:val="009C2C42"/>
    <w:rsid w:val="009C3057"/>
    <w:rsid w:val="009C46D2"/>
    <w:rsid w:val="009C4928"/>
    <w:rsid w:val="009D2FAE"/>
    <w:rsid w:val="009D685D"/>
    <w:rsid w:val="009D7E16"/>
    <w:rsid w:val="009E0EE9"/>
    <w:rsid w:val="009E3239"/>
    <w:rsid w:val="009E3D4E"/>
    <w:rsid w:val="009E57F9"/>
    <w:rsid w:val="009E6A28"/>
    <w:rsid w:val="009F1B3F"/>
    <w:rsid w:val="009F1C5E"/>
    <w:rsid w:val="009F220E"/>
    <w:rsid w:val="009F47A0"/>
    <w:rsid w:val="009F4A0E"/>
    <w:rsid w:val="009F6D1F"/>
    <w:rsid w:val="00A000A0"/>
    <w:rsid w:val="00A042FB"/>
    <w:rsid w:val="00A046BA"/>
    <w:rsid w:val="00A052A4"/>
    <w:rsid w:val="00A05787"/>
    <w:rsid w:val="00A117D2"/>
    <w:rsid w:val="00A12A93"/>
    <w:rsid w:val="00A13540"/>
    <w:rsid w:val="00A17D86"/>
    <w:rsid w:val="00A23107"/>
    <w:rsid w:val="00A239A7"/>
    <w:rsid w:val="00A25B31"/>
    <w:rsid w:val="00A310E6"/>
    <w:rsid w:val="00A36B64"/>
    <w:rsid w:val="00A37869"/>
    <w:rsid w:val="00A43A9B"/>
    <w:rsid w:val="00A443AE"/>
    <w:rsid w:val="00A449C7"/>
    <w:rsid w:val="00A44A88"/>
    <w:rsid w:val="00A502F9"/>
    <w:rsid w:val="00A517D0"/>
    <w:rsid w:val="00A53A8A"/>
    <w:rsid w:val="00A53AC9"/>
    <w:rsid w:val="00A5427A"/>
    <w:rsid w:val="00A61582"/>
    <w:rsid w:val="00A6452F"/>
    <w:rsid w:val="00A67B02"/>
    <w:rsid w:val="00A7199E"/>
    <w:rsid w:val="00A72122"/>
    <w:rsid w:val="00A74259"/>
    <w:rsid w:val="00A74752"/>
    <w:rsid w:val="00A7486A"/>
    <w:rsid w:val="00A749E1"/>
    <w:rsid w:val="00A8045D"/>
    <w:rsid w:val="00A80997"/>
    <w:rsid w:val="00A81465"/>
    <w:rsid w:val="00A81B6C"/>
    <w:rsid w:val="00A824A3"/>
    <w:rsid w:val="00A82D15"/>
    <w:rsid w:val="00A85340"/>
    <w:rsid w:val="00A85A35"/>
    <w:rsid w:val="00A914CA"/>
    <w:rsid w:val="00A91CCF"/>
    <w:rsid w:val="00A936C6"/>
    <w:rsid w:val="00A94775"/>
    <w:rsid w:val="00A96DDE"/>
    <w:rsid w:val="00A96E16"/>
    <w:rsid w:val="00AA083A"/>
    <w:rsid w:val="00AA088E"/>
    <w:rsid w:val="00AA2392"/>
    <w:rsid w:val="00AA351A"/>
    <w:rsid w:val="00AA5771"/>
    <w:rsid w:val="00AA5E58"/>
    <w:rsid w:val="00AA63FF"/>
    <w:rsid w:val="00AB443F"/>
    <w:rsid w:val="00AB5C82"/>
    <w:rsid w:val="00AB5E84"/>
    <w:rsid w:val="00AB75B4"/>
    <w:rsid w:val="00AC0A8C"/>
    <w:rsid w:val="00AC3715"/>
    <w:rsid w:val="00AC41E8"/>
    <w:rsid w:val="00AC6CBB"/>
    <w:rsid w:val="00AC7F43"/>
    <w:rsid w:val="00AD0477"/>
    <w:rsid w:val="00AD1A79"/>
    <w:rsid w:val="00AD22D4"/>
    <w:rsid w:val="00AD2E68"/>
    <w:rsid w:val="00AD3BD7"/>
    <w:rsid w:val="00AD3C29"/>
    <w:rsid w:val="00AD7CC8"/>
    <w:rsid w:val="00AE0B88"/>
    <w:rsid w:val="00AE2D8D"/>
    <w:rsid w:val="00AE355C"/>
    <w:rsid w:val="00AE3E4C"/>
    <w:rsid w:val="00AE6E25"/>
    <w:rsid w:val="00AF026D"/>
    <w:rsid w:val="00AF1CF8"/>
    <w:rsid w:val="00AF2293"/>
    <w:rsid w:val="00AF404A"/>
    <w:rsid w:val="00AF4B99"/>
    <w:rsid w:val="00AF55F1"/>
    <w:rsid w:val="00AF5646"/>
    <w:rsid w:val="00AF5CF3"/>
    <w:rsid w:val="00AF6B3A"/>
    <w:rsid w:val="00AF7739"/>
    <w:rsid w:val="00AF7AC8"/>
    <w:rsid w:val="00AF7B17"/>
    <w:rsid w:val="00B0045C"/>
    <w:rsid w:val="00B005AE"/>
    <w:rsid w:val="00B00D03"/>
    <w:rsid w:val="00B055B1"/>
    <w:rsid w:val="00B05735"/>
    <w:rsid w:val="00B0578C"/>
    <w:rsid w:val="00B05A9E"/>
    <w:rsid w:val="00B06940"/>
    <w:rsid w:val="00B108AE"/>
    <w:rsid w:val="00B1092F"/>
    <w:rsid w:val="00B119F0"/>
    <w:rsid w:val="00B13C9D"/>
    <w:rsid w:val="00B15303"/>
    <w:rsid w:val="00B15E6B"/>
    <w:rsid w:val="00B16BBB"/>
    <w:rsid w:val="00B23B66"/>
    <w:rsid w:val="00B2426C"/>
    <w:rsid w:val="00B24433"/>
    <w:rsid w:val="00B247C3"/>
    <w:rsid w:val="00B26262"/>
    <w:rsid w:val="00B264C2"/>
    <w:rsid w:val="00B267F4"/>
    <w:rsid w:val="00B272DF"/>
    <w:rsid w:val="00B30014"/>
    <w:rsid w:val="00B33A39"/>
    <w:rsid w:val="00B33B40"/>
    <w:rsid w:val="00B34532"/>
    <w:rsid w:val="00B40E49"/>
    <w:rsid w:val="00B447B5"/>
    <w:rsid w:val="00B45CBD"/>
    <w:rsid w:val="00B460B0"/>
    <w:rsid w:val="00B50D60"/>
    <w:rsid w:val="00B5154C"/>
    <w:rsid w:val="00B52A01"/>
    <w:rsid w:val="00B54754"/>
    <w:rsid w:val="00B549E7"/>
    <w:rsid w:val="00B54A7F"/>
    <w:rsid w:val="00B56528"/>
    <w:rsid w:val="00B578BA"/>
    <w:rsid w:val="00B602B8"/>
    <w:rsid w:val="00B62FB1"/>
    <w:rsid w:val="00B6309A"/>
    <w:rsid w:val="00B66BFF"/>
    <w:rsid w:val="00B71430"/>
    <w:rsid w:val="00B732F9"/>
    <w:rsid w:val="00B7540C"/>
    <w:rsid w:val="00B759E8"/>
    <w:rsid w:val="00B7695F"/>
    <w:rsid w:val="00B7717D"/>
    <w:rsid w:val="00B77DB0"/>
    <w:rsid w:val="00B83285"/>
    <w:rsid w:val="00B83BD1"/>
    <w:rsid w:val="00B84789"/>
    <w:rsid w:val="00B85769"/>
    <w:rsid w:val="00B85E69"/>
    <w:rsid w:val="00B861F7"/>
    <w:rsid w:val="00B87F00"/>
    <w:rsid w:val="00B91EEF"/>
    <w:rsid w:val="00B93318"/>
    <w:rsid w:val="00B96022"/>
    <w:rsid w:val="00BA00C5"/>
    <w:rsid w:val="00BA1EEC"/>
    <w:rsid w:val="00BA2CAD"/>
    <w:rsid w:val="00BA3245"/>
    <w:rsid w:val="00BA4119"/>
    <w:rsid w:val="00BA72C9"/>
    <w:rsid w:val="00BB001C"/>
    <w:rsid w:val="00BB24F3"/>
    <w:rsid w:val="00BB4475"/>
    <w:rsid w:val="00BB58D8"/>
    <w:rsid w:val="00BB6B61"/>
    <w:rsid w:val="00BB7330"/>
    <w:rsid w:val="00BB73FA"/>
    <w:rsid w:val="00BC476A"/>
    <w:rsid w:val="00BC4AF5"/>
    <w:rsid w:val="00BC71FF"/>
    <w:rsid w:val="00BD0FFD"/>
    <w:rsid w:val="00BD4162"/>
    <w:rsid w:val="00BD6A03"/>
    <w:rsid w:val="00BE1B4A"/>
    <w:rsid w:val="00BE1BAC"/>
    <w:rsid w:val="00BE273D"/>
    <w:rsid w:val="00BE27B4"/>
    <w:rsid w:val="00BE3BBC"/>
    <w:rsid w:val="00BE4CAF"/>
    <w:rsid w:val="00BE52BF"/>
    <w:rsid w:val="00BE6A22"/>
    <w:rsid w:val="00BF2054"/>
    <w:rsid w:val="00C00BB8"/>
    <w:rsid w:val="00C01B01"/>
    <w:rsid w:val="00C02233"/>
    <w:rsid w:val="00C03E78"/>
    <w:rsid w:val="00C05BED"/>
    <w:rsid w:val="00C06191"/>
    <w:rsid w:val="00C106C2"/>
    <w:rsid w:val="00C12D14"/>
    <w:rsid w:val="00C15121"/>
    <w:rsid w:val="00C171FF"/>
    <w:rsid w:val="00C21009"/>
    <w:rsid w:val="00C21363"/>
    <w:rsid w:val="00C235A2"/>
    <w:rsid w:val="00C2366E"/>
    <w:rsid w:val="00C2460C"/>
    <w:rsid w:val="00C25E90"/>
    <w:rsid w:val="00C273E7"/>
    <w:rsid w:val="00C274BB"/>
    <w:rsid w:val="00C33A74"/>
    <w:rsid w:val="00C33F8B"/>
    <w:rsid w:val="00C3441F"/>
    <w:rsid w:val="00C35D7F"/>
    <w:rsid w:val="00C37129"/>
    <w:rsid w:val="00C403E4"/>
    <w:rsid w:val="00C444C3"/>
    <w:rsid w:val="00C448FA"/>
    <w:rsid w:val="00C44D27"/>
    <w:rsid w:val="00C45BD6"/>
    <w:rsid w:val="00C477B0"/>
    <w:rsid w:val="00C47A56"/>
    <w:rsid w:val="00C52FC2"/>
    <w:rsid w:val="00C56C59"/>
    <w:rsid w:val="00C56D47"/>
    <w:rsid w:val="00C60E39"/>
    <w:rsid w:val="00C63F8A"/>
    <w:rsid w:val="00C6413C"/>
    <w:rsid w:val="00C67CE0"/>
    <w:rsid w:val="00C70CDB"/>
    <w:rsid w:val="00C71834"/>
    <w:rsid w:val="00C73EC2"/>
    <w:rsid w:val="00C74F11"/>
    <w:rsid w:val="00C76E10"/>
    <w:rsid w:val="00C77125"/>
    <w:rsid w:val="00C80B77"/>
    <w:rsid w:val="00C82891"/>
    <w:rsid w:val="00C84232"/>
    <w:rsid w:val="00C848BB"/>
    <w:rsid w:val="00C86369"/>
    <w:rsid w:val="00C86E14"/>
    <w:rsid w:val="00C945B7"/>
    <w:rsid w:val="00C95E5D"/>
    <w:rsid w:val="00CA1AFA"/>
    <w:rsid w:val="00CA1CC1"/>
    <w:rsid w:val="00CA37BA"/>
    <w:rsid w:val="00CA56A4"/>
    <w:rsid w:val="00CA58AD"/>
    <w:rsid w:val="00CA67B3"/>
    <w:rsid w:val="00CA680C"/>
    <w:rsid w:val="00CA70DE"/>
    <w:rsid w:val="00CB3724"/>
    <w:rsid w:val="00CB524F"/>
    <w:rsid w:val="00CB5D78"/>
    <w:rsid w:val="00CB6B43"/>
    <w:rsid w:val="00CB6B4A"/>
    <w:rsid w:val="00CB6EBD"/>
    <w:rsid w:val="00CC1EDE"/>
    <w:rsid w:val="00CC52D4"/>
    <w:rsid w:val="00CC5434"/>
    <w:rsid w:val="00CC58F8"/>
    <w:rsid w:val="00CC64C5"/>
    <w:rsid w:val="00CC7C30"/>
    <w:rsid w:val="00CD0A35"/>
    <w:rsid w:val="00CD2205"/>
    <w:rsid w:val="00CD3265"/>
    <w:rsid w:val="00CD430A"/>
    <w:rsid w:val="00CD5F91"/>
    <w:rsid w:val="00CE0B40"/>
    <w:rsid w:val="00CE19E5"/>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16998"/>
    <w:rsid w:val="00D204CA"/>
    <w:rsid w:val="00D20B00"/>
    <w:rsid w:val="00D21499"/>
    <w:rsid w:val="00D21685"/>
    <w:rsid w:val="00D2632C"/>
    <w:rsid w:val="00D2734D"/>
    <w:rsid w:val="00D27D8F"/>
    <w:rsid w:val="00D326DC"/>
    <w:rsid w:val="00D34C57"/>
    <w:rsid w:val="00D354E8"/>
    <w:rsid w:val="00D4125F"/>
    <w:rsid w:val="00D41724"/>
    <w:rsid w:val="00D41FC5"/>
    <w:rsid w:val="00D43CD8"/>
    <w:rsid w:val="00D44122"/>
    <w:rsid w:val="00D50411"/>
    <w:rsid w:val="00D50B12"/>
    <w:rsid w:val="00D53A7A"/>
    <w:rsid w:val="00D55086"/>
    <w:rsid w:val="00D554DA"/>
    <w:rsid w:val="00D560A1"/>
    <w:rsid w:val="00D60504"/>
    <w:rsid w:val="00D60BFC"/>
    <w:rsid w:val="00D60FF3"/>
    <w:rsid w:val="00D61BA7"/>
    <w:rsid w:val="00D62066"/>
    <w:rsid w:val="00D62774"/>
    <w:rsid w:val="00D62A94"/>
    <w:rsid w:val="00D63317"/>
    <w:rsid w:val="00D63EFA"/>
    <w:rsid w:val="00D65323"/>
    <w:rsid w:val="00D655F5"/>
    <w:rsid w:val="00D67C46"/>
    <w:rsid w:val="00D70591"/>
    <w:rsid w:val="00D72751"/>
    <w:rsid w:val="00D75029"/>
    <w:rsid w:val="00D75A79"/>
    <w:rsid w:val="00D8098F"/>
    <w:rsid w:val="00D814D9"/>
    <w:rsid w:val="00D81B02"/>
    <w:rsid w:val="00D8399D"/>
    <w:rsid w:val="00D845C7"/>
    <w:rsid w:val="00D8726C"/>
    <w:rsid w:val="00D875D8"/>
    <w:rsid w:val="00D907A2"/>
    <w:rsid w:val="00D922F9"/>
    <w:rsid w:val="00D92F44"/>
    <w:rsid w:val="00D93474"/>
    <w:rsid w:val="00D93ECA"/>
    <w:rsid w:val="00D94969"/>
    <w:rsid w:val="00D9560C"/>
    <w:rsid w:val="00DA1424"/>
    <w:rsid w:val="00DA145B"/>
    <w:rsid w:val="00DA4066"/>
    <w:rsid w:val="00DA6116"/>
    <w:rsid w:val="00DA7E3C"/>
    <w:rsid w:val="00DB07E6"/>
    <w:rsid w:val="00DB17C0"/>
    <w:rsid w:val="00DB1C84"/>
    <w:rsid w:val="00DB37DE"/>
    <w:rsid w:val="00DB5757"/>
    <w:rsid w:val="00DB7B6F"/>
    <w:rsid w:val="00DC27FD"/>
    <w:rsid w:val="00DC480F"/>
    <w:rsid w:val="00DC598D"/>
    <w:rsid w:val="00DC5C52"/>
    <w:rsid w:val="00DC727C"/>
    <w:rsid w:val="00DD15DC"/>
    <w:rsid w:val="00DD25D0"/>
    <w:rsid w:val="00DD4BB7"/>
    <w:rsid w:val="00DE01A0"/>
    <w:rsid w:val="00DE0699"/>
    <w:rsid w:val="00DE0896"/>
    <w:rsid w:val="00DE255D"/>
    <w:rsid w:val="00DE4B88"/>
    <w:rsid w:val="00DE4C60"/>
    <w:rsid w:val="00DF21DF"/>
    <w:rsid w:val="00DF4CC2"/>
    <w:rsid w:val="00DF648D"/>
    <w:rsid w:val="00DF6966"/>
    <w:rsid w:val="00E0216F"/>
    <w:rsid w:val="00E04222"/>
    <w:rsid w:val="00E05C9A"/>
    <w:rsid w:val="00E074A9"/>
    <w:rsid w:val="00E07820"/>
    <w:rsid w:val="00E07B06"/>
    <w:rsid w:val="00E1281F"/>
    <w:rsid w:val="00E13CEF"/>
    <w:rsid w:val="00E14E13"/>
    <w:rsid w:val="00E203ED"/>
    <w:rsid w:val="00E21F4E"/>
    <w:rsid w:val="00E24777"/>
    <w:rsid w:val="00E2493A"/>
    <w:rsid w:val="00E26075"/>
    <w:rsid w:val="00E262B2"/>
    <w:rsid w:val="00E2644D"/>
    <w:rsid w:val="00E307C4"/>
    <w:rsid w:val="00E35A04"/>
    <w:rsid w:val="00E35FB0"/>
    <w:rsid w:val="00E369B9"/>
    <w:rsid w:val="00E373BF"/>
    <w:rsid w:val="00E43975"/>
    <w:rsid w:val="00E44747"/>
    <w:rsid w:val="00E4556A"/>
    <w:rsid w:val="00E4561A"/>
    <w:rsid w:val="00E4755C"/>
    <w:rsid w:val="00E51CCC"/>
    <w:rsid w:val="00E53BE7"/>
    <w:rsid w:val="00E54FD9"/>
    <w:rsid w:val="00E60282"/>
    <w:rsid w:val="00E61CD8"/>
    <w:rsid w:val="00E64B36"/>
    <w:rsid w:val="00E65333"/>
    <w:rsid w:val="00E660F1"/>
    <w:rsid w:val="00E66E08"/>
    <w:rsid w:val="00E67515"/>
    <w:rsid w:val="00E70661"/>
    <w:rsid w:val="00E71992"/>
    <w:rsid w:val="00E7204F"/>
    <w:rsid w:val="00E73A67"/>
    <w:rsid w:val="00E74CC5"/>
    <w:rsid w:val="00E7533D"/>
    <w:rsid w:val="00E76B00"/>
    <w:rsid w:val="00E8008F"/>
    <w:rsid w:val="00E80BB8"/>
    <w:rsid w:val="00E82C8A"/>
    <w:rsid w:val="00E8367D"/>
    <w:rsid w:val="00E85DB1"/>
    <w:rsid w:val="00E87E49"/>
    <w:rsid w:val="00E905C4"/>
    <w:rsid w:val="00EA0E11"/>
    <w:rsid w:val="00EA434B"/>
    <w:rsid w:val="00EA6323"/>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7931"/>
    <w:rsid w:val="00EC79F3"/>
    <w:rsid w:val="00EC7C36"/>
    <w:rsid w:val="00ED3422"/>
    <w:rsid w:val="00ED4556"/>
    <w:rsid w:val="00ED5226"/>
    <w:rsid w:val="00EE0F1A"/>
    <w:rsid w:val="00EE2AA0"/>
    <w:rsid w:val="00EE3596"/>
    <w:rsid w:val="00EE3DD8"/>
    <w:rsid w:val="00EE4B30"/>
    <w:rsid w:val="00EE6713"/>
    <w:rsid w:val="00EF1554"/>
    <w:rsid w:val="00EF1AC2"/>
    <w:rsid w:val="00EF2B54"/>
    <w:rsid w:val="00EF305D"/>
    <w:rsid w:val="00EF4238"/>
    <w:rsid w:val="00EF68ED"/>
    <w:rsid w:val="00EF6A36"/>
    <w:rsid w:val="00F05594"/>
    <w:rsid w:val="00F0724E"/>
    <w:rsid w:val="00F101AD"/>
    <w:rsid w:val="00F11DD5"/>
    <w:rsid w:val="00F15E93"/>
    <w:rsid w:val="00F16513"/>
    <w:rsid w:val="00F17B5F"/>
    <w:rsid w:val="00F20A0C"/>
    <w:rsid w:val="00F273FA"/>
    <w:rsid w:val="00F308B7"/>
    <w:rsid w:val="00F35B79"/>
    <w:rsid w:val="00F362C7"/>
    <w:rsid w:val="00F36E24"/>
    <w:rsid w:val="00F4193B"/>
    <w:rsid w:val="00F45181"/>
    <w:rsid w:val="00F45972"/>
    <w:rsid w:val="00F52126"/>
    <w:rsid w:val="00F52AD0"/>
    <w:rsid w:val="00F53236"/>
    <w:rsid w:val="00F53574"/>
    <w:rsid w:val="00F5386B"/>
    <w:rsid w:val="00F55A6A"/>
    <w:rsid w:val="00F56917"/>
    <w:rsid w:val="00F56A33"/>
    <w:rsid w:val="00F576F6"/>
    <w:rsid w:val="00F61E46"/>
    <w:rsid w:val="00F62E0C"/>
    <w:rsid w:val="00F63070"/>
    <w:rsid w:val="00F65A00"/>
    <w:rsid w:val="00F66AD6"/>
    <w:rsid w:val="00F70314"/>
    <w:rsid w:val="00F705BC"/>
    <w:rsid w:val="00F7582B"/>
    <w:rsid w:val="00F77333"/>
    <w:rsid w:val="00F806F6"/>
    <w:rsid w:val="00F815E5"/>
    <w:rsid w:val="00F8347C"/>
    <w:rsid w:val="00F879AC"/>
    <w:rsid w:val="00F9554B"/>
    <w:rsid w:val="00F963D4"/>
    <w:rsid w:val="00FA13BA"/>
    <w:rsid w:val="00FA2007"/>
    <w:rsid w:val="00FA4548"/>
    <w:rsid w:val="00FA56EC"/>
    <w:rsid w:val="00FA5B02"/>
    <w:rsid w:val="00FB0CC2"/>
    <w:rsid w:val="00FB0E69"/>
    <w:rsid w:val="00FB5C21"/>
    <w:rsid w:val="00FB674C"/>
    <w:rsid w:val="00FC1EC2"/>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4BDF"/>
    <w:rsid w:val="00FE4D76"/>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70EF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833AF3"/>
    <w:rPr>
      <w:sz w:val="16"/>
      <w:szCs w:val="16"/>
    </w:rPr>
  </w:style>
  <w:style w:type="paragraph" w:styleId="af">
    <w:name w:val="annotation text"/>
    <w:basedOn w:val="a"/>
    <w:link w:val="af0"/>
    <w:rsid w:val="00833AF3"/>
    <w:rPr>
      <w:sz w:val="20"/>
      <w:szCs w:val="20"/>
    </w:rPr>
  </w:style>
  <w:style w:type="character" w:customStyle="1" w:styleId="af0">
    <w:name w:val="טקסט הערה תו"/>
    <w:basedOn w:val="a0"/>
    <w:link w:val="af"/>
    <w:rsid w:val="00833AF3"/>
  </w:style>
  <w:style w:type="paragraph" w:styleId="af1">
    <w:name w:val="annotation subject"/>
    <w:basedOn w:val="af"/>
    <w:next w:val="af"/>
    <w:link w:val="af2"/>
    <w:rsid w:val="00833AF3"/>
    <w:rPr>
      <w:b/>
      <w:bCs/>
    </w:rPr>
  </w:style>
  <w:style w:type="character" w:customStyle="1" w:styleId="af2">
    <w:name w:val="נושא הערה תו"/>
    <w:basedOn w:val="af0"/>
    <w:link w:val="af1"/>
    <w:rsid w:val="00833AF3"/>
    <w:rPr>
      <w:b/>
      <w:bCs/>
    </w:rPr>
  </w:style>
  <w:style w:type="paragraph" w:customStyle="1" w:styleId="af3">
    <w:name w:val="כותרת לוח"/>
    <w:basedOn w:val="af4"/>
    <w:link w:val="af5"/>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f5">
    <w:name w:val="כותרת לוח תו"/>
    <w:basedOn w:val="af6"/>
    <w:link w:val="af3"/>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af4">
    <w:name w:val="Title"/>
    <w:basedOn w:val="a"/>
    <w:next w:val="a"/>
    <w:link w:val="af6"/>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f4"/>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nkisrael.gov.il/deptdata/pik_mth/pikmth_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A81D-3D99-4A2A-BCCE-288F76DE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5590</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6604</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2023-12-20T08:26:00Z</dcterms:created>
  <dcterms:modified xsi:type="dcterms:W3CDTF">2023-12-20T09:02:00Z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