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D921A2" w:rsidRPr="00DB1CBC" w:rsidTr="0099709A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1A2" w:rsidRDefault="00D921A2" w:rsidP="0099709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9709A">
            <w:pPr>
              <w:spacing w:line="360" w:lineRule="auto"/>
              <w:ind w:right="-101"/>
              <w:jc w:val="center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921A2" w:rsidRDefault="00C5077B" w:rsidP="0099709A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2F722AC" wp14:editId="6DFA13D6">
                  <wp:extent cx="1200150" cy="666750"/>
                  <wp:effectExtent l="0" t="0" r="0" b="0"/>
                  <wp:docPr id="15" name="תמונה 15" descr="60Y+bank_Color_RGB_300DPI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1A2" w:rsidRPr="00F30DEA" w:rsidRDefault="00D921A2" w:rsidP="00797E9F">
            <w:pPr>
              <w:spacing w:line="480" w:lineRule="auto"/>
              <w:jc w:val="right"/>
            </w:pPr>
            <w:r>
              <w:rPr>
                <w:rFonts w:hint="eastAsia"/>
                <w:rtl/>
              </w:rPr>
              <w:t>‏</w:t>
            </w:r>
            <w:r w:rsidRPr="00F30DEA">
              <w:rPr>
                <w:rFonts w:hint="cs"/>
                <w:rtl/>
              </w:rPr>
              <w:t>ירושלים</w:t>
            </w:r>
            <w:r w:rsidR="002F0DC3">
              <w:rPr>
                <w:rFonts w:hint="cs"/>
                <w:rtl/>
              </w:rPr>
              <w:t>, כ"</w:t>
            </w:r>
            <w:r w:rsidR="00797E9F">
              <w:rPr>
                <w:rFonts w:hint="cs"/>
                <w:rtl/>
              </w:rPr>
              <w:t>ה באלול</w:t>
            </w:r>
            <w:r w:rsidRPr="00F30DEA">
              <w:rPr>
                <w:rtl/>
              </w:rPr>
              <w:t xml:space="preserve"> </w:t>
            </w:r>
            <w:r w:rsidRPr="00F30DEA">
              <w:rPr>
                <w:rFonts w:hint="cs"/>
                <w:rtl/>
              </w:rPr>
              <w:t>ה</w:t>
            </w:r>
            <w:r w:rsidRPr="00F30DEA">
              <w:rPr>
                <w:rtl/>
              </w:rPr>
              <w:t>תשע"</w:t>
            </w:r>
            <w:r w:rsidR="004A75C5" w:rsidRPr="00F30DEA">
              <w:rPr>
                <w:rFonts w:hint="cs"/>
                <w:rtl/>
              </w:rPr>
              <w:t>ה</w:t>
            </w:r>
          </w:p>
          <w:p w:rsidR="00D921A2" w:rsidRPr="00DF107C" w:rsidRDefault="00B81428" w:rsidP="00B81428">
            <w:pPr>
              <w:spacing w:line="480" w:lineRule="auto"/>
              <w:jc w:val="right"/>
            </w:pPr>
            <w:r>
              <w:rPr>
                <w:rFonts w:hint="cs"/>
                <w:rtl/>
              </w:rPr>
              <w:t>09</w:t>
            </w:r>
            <w:r w:rsidR="0044471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בספטמבר</w:t>
            </w:r>
            <w:r w:rsidR="00444713">
              <w:rPr>
                <w:rFonts w:hint="cs"/>
                <w:rtl/>
              </w:rPr>
              <w:t xml:space="preserve"> 2015 </w:t>
            </w:r>
          </w:p>
        </w:tc>
      </w:tr>
    </w:tbl>
    <w:p w:rsidR="00D921A2" w:rsidRDefault="00D921A2" w:rsidP="00D921A2">
      <w:pPr>
        <w:spacing w:line="360" w:lineRule="auto"/>
        <w:ind w:right="-101"/>
        <w:rPr>
          <w:rtl/>
        </w:rPr>
      </w:pPr>
    </w:p>
    <w:p w:rsidR="00D921A2" w:rsidRDefault="00D921A2" w:rsidP="00D921A2">
      <w:pPr>
        <w:spacing w:line="360" w:lineRule="auto"/>
        <w:ind w:right="-101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C5077B" w:rsidRDefault="00C5077B" w:rsidP="009F28D1">
      <w:pPr>
        <w:spacing w:line="360" w:lineRule="auto"/>
        <w:jc w:val="center"/>
        <w:rPr>
          <w:sz w:val="28"/>
          <w:szCs w:val="28"/>
          <w:u w:val="single"/>
          <w:rtl/>
        </w:rPr>
      </w:pPr>
    </w:p>
    <w:p w:rsidR="00E724A2" w:rsidRDefault="0078645B" w:rsidP="004D6685">
      <w:pPr>
        <w:spacing w:line="360" w:lineRule="auto"/>
        <w:jc w:val="center"/>
        <w:rPr>
          <w:sz w:val="28"/>
          <w:szCs w:val="28"/>
          <w:u w:val="single"/>
          <w:rtl/>
        </w:rPr>
      </w:pPr>
      <w:r w:rsidRPr="00CA017A">
        <w:rPr>
          <w:rFonts w:hint="cs"/>
          <w:sz w:val="28"/>
          <w:szCs w:val="28"/>
          <w:u w:val="single"/>
          <w:rtl/>
        </w:rPr>
        <w:t xml:space="preserve">התפתחויות </w:t>
      </w:r>
      <w:r w:rsidR="00E724A2" w:rsidRPr="00CA017A">
        <w:rPr>
          <w:rFonts w:hint="cs"/>
          <w:sz w:val="28"/>
          <w:szCs w:val="28"/>
          <w:u w:val="single"/>
          <w:rtl/>
        </w:rPr>
        <w:t>בתיק הנכסים</w:t>
      </w:r>
      <w:r w:rsidR="00883782" w:rsidRPr="00CA017A">
        <w:rPr>
          <w:rFonts w:hint="cs"/>
          <w:sz w:val="28"/>
          <w:szCs w:val="28"/>
          <w:u w:val="single"/>
          <w:rtl/>
        </w:rPr>
        <w:t xml:space="preserve"> הפיננסיים</w:t>
      </w:r>
      <w:r w:rsidR="00B35B70" w:rsidRPr="00CA017A">
        <w:rPr>
          <w:rFonts w:hint="cs"/>
          <w:sz w:val="28"/>
          <w:szCs w:val="28"/>
          <w:u w:val="single"/>
          <w:rtl/>
        </w:rPr>
        <w:t xml:space="preserve"> של הציבור</w:t>
      </w:r>
      <w:r w:rsidR="003B437B">
        <w:rPr>
          <w:rFonts w:hint="cs"/>
          <w:sz w:val="28"/>
          <w:szCs w:val="28"/>
          <w:u w:val="single"/>
          <w:rtl/>
        </w:rPr>
        <w:t xml:space="preserve"> ברביע </w:t>
      </w:r>
      <w:r w:rsidR="004D6685">
        <w:rPr>
          <w:rFonts w:hint="cs"/>
          <w:sz w:val="28"/>
          <w:szCs w:val="28"/>
          <w:u w:val="single"/>
          <w:rtl/>
        </w:rPr>
        <w:t>השני</w:t>
      </w:r>
      <w:r w:rsidR="009530C6">
        <w:rPr>
          <w:rFonts w:hint="cs"/>
          <w:sz w:val="28"/>
          <w:szCs w:val="28"/>
          <w:u w:val="single"/>
          <w:rtl/>
        </w:rPr>
        <w:t xml:space="preserve"> </w:t>
      </w:r>
      <w:r w:rsidR="009F3982">
        <w:rPr>
          <w:rFonts w:hint="cs"/>
          <w:sz w:val="28"/>
          <w:szCs w:val="28"/>
          <w:u w:val="single"/>
          <w:rtl/>
        </w:rPr>
        <w:t xml:space="preserve">של </w:t>
      </w:r>
      <w:r w:rsidR="009530C6">
        <w:rPr>
          <w:rFonts w:hint="cs"/>
          <w:sz w:val="28"/>
          <w:szCs w:val="28"/>
          <w:u w:val="single"/>
          <w:rtl/>
        </w:rPr>
        <w:t xml:space="preserve">שנת </w:t>
      </w:r>
      <w:r w:rsidR="009F3982">
        <w:rPr>
          <w:rFonts w:hint="cs"/>
          <w:sz w:val="28"/>
          <w:szCs w:val="28"/>
          <w:u w:val="single"/>
          <w:rtl/>
        </w:rPr>
        <w:t>2015</w:t>
      </w:r>
    </w:p>
    <w:p w:rsidR="00091F3F" w:rsidRPr="00FA3EEF" w:rsidRDefault="00ED7FDF" w:rsidP="00CB5476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  <w:rtl/>
        </w:rPr>
      </w:pPr>
      <w:r w:rsidRPr="00091F3F">
        <w:rPr>
          <w:rFonts w:hint="cs"/>
          <w:b/>
          <w:bCs/>
          <w:rtl/>
        </w:rPr>
        <w:t xml:space="preserve">ברביע </w:t>
      </w:r>
      <w:r w:rsidR="004D6685" w:rsidRPr="004D6685">
        <w:rPr>
          <w:rFonts w:hint="cs"/>
          <w:b/>
          <w:bCs/>
          <w:rtl/>
        </w:rPr>
        <w:t>השני</w:t>
      </w:r>
      <w:r w:rsidRPr="004D6685">
        <w:rPr>
          <w:rFonts w:hint="cs"/>
          <w:b/>
          <w:bCs/>
          <w:rtl/>
        </w:rPr>
        <w:t xml:space="preserve"> של שנת</w:t>
      </w:r>
      <w:r w:rsidR="004D6685">
        <w:rPr>
          <w:rFonts w:hint="cs"/>
          <w:b/>
          <w:bCs/>
          <w:rtl/>
        </w:rPr>
        <w:t xml:space="preserve"> 2015</w:t>
      </w:r>
      <w:r w:rsidRPr="004D6685">
        <w:rPr>
          <w:rFonts w:hint="cs"/>
          <w:b/>
          <w:bCs/>
          <w:rtl/>
        </w:rPr>
        <w:t xml:space="preserve"> </w:t>
      </w:r>
      <w:r w:rsidR="004D6685" w:rsidRPr="004D6685">
        <w:rPr>
          <w:rFonts w:hint="cs"/>
          <w:b/>
          <w:bCs/>
          <w:rtl/>
        </w:rPr>
        <w:t>ירד שווי תיק הנכסים בכ-48 מיליארדי ש</w:t>
      </w:r>
      <w:r w:rsidR="004D6685" w:rsidRPr="004D6685">
        <w:rPr>
          <w:b/>
          <w:bCs/>
          <w:rtl/>
        </w:rPr>
        <w:t>"</w:t>
      </w:r>
      <w:r w:rsidR="004D6685" w:rsidRPr="004D6685">
        <w:rPr>
          <w:rFonts w:hint="cs"/>
          <w:b/>
          <w:bCs/>
          <w:rtl/>
        </w:rPr>
        <w:t>ח (1.5%</w:t>
      </w:r>
      <w:r w:rsidR="00DD70A6">
        <w:rPr>
          <w:rFonts w:hint="cs"/>
          <w:b/>
          <w:bCs/>
          <w:rtl/>
        </w:rPr>
        <w:t>-</w:t>
      </w:r>
      <w:r w:rsidR="00CB5476">
        <w:rPr>
          <w:rFonts w:hint="cs"/>
          <w:b/>
          <w:bCs/>
          <w:rtl/>
        </w:rPr>
        <w:t xml:space="preserve"> לעומת היתרה בסוף הרביע הראשון</w:t>
      </w:r>
      <w:r w:rsidR="004D6685" w:rsidRPr="004D6685">
        <w:rPr>
          <w:rFonts w:hint="cs"/>
          <w:b/>
          <w:bCs/>
          <w:rtl/>
        </w:rPr>
        <w:t xml:space="preserve">) ועמד בסוף יוני על כ- 3.28 טריליוני </w:t>
      </w:r>
      <w:r w:rsidR="004D6685">
        <w:rPr>
          <w:rFonts w:hint="cs"/>
          <w:b/>
          <w:bCs/>
          <w:rtl/>
        </w:rPr>
        <w:t>ש"ח.</w:t>
      </w:r>
      <w:r w:rsidR="00091F3F" w:rsidRPr="009F776D">
        <w:rPr>
          <w:rFonts w:hint="cs"/>
          <w:b/>
          <w:bCs/>
          <w:rtl/>
        </w:rPr>
        <w:t xml:space="preserve"> </w:t>
      </w:r>
    </w:p>
    <w:p w:rsidR="009069AE" w:rsidRPr="00091F3F" w:rsidRDefault="004D6685" w:rsidP="00DD70A6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rPr>
          <w:rFonts w:hint="cs"/>
          <w:b/>
          <w:bCs/>
          <w:rtl/>
        </w:rPr>
        <w:t>הירידה</w:t>
      </w:r>
      <w:r w:rsidR="009069AE" w:rsidRPr="00091F3F">
        <w:rPr>
          <w:rFonts w:hint="cs"/>
          <w:b/>
          <w:bCs/>
          <w:rtl/>
        </w:rPr>
        <w:t xml:space="preserve"> בשווי התיק ברביע </w:t>
      </w:r>
      <w:r>
        <w:rPr>
          <w:rFonts w:hint="cs"/>
          <w:b/>
          <w:bCs/>
          <w:rtl/>
        </w:rPr>
        <w:t>השני</w:t>
      </w:r>
      <w:r w:rsidR="009069AE" w:rsidRPr="00091F3F">
        <w:rPr>
          <w:rFonts w:hint="cs"/>
          <w:b/>
          <w:bCs/>
          <w:rtl/>
        </w:rPr>
        <w:t xml:space="preserve"> נבע</w:t>
      </w:r>
      <w:r>
        <w:rPr>
          <w:rFonts w:hint="cs"/>
          <w:b/>
          <w:bCs/>
          <w:rtl/>
        </w:rPr>
        <w:t>ה</w:t>
      </w:r>
      <w:r w:rsidRPr="004D6685">
        <w:rPr>
          <w:rFonts w:hint="cs"/>
          <w:b/>
          <w:bCs/>
          <w:rtl/>
        </w:rPr>
        <w:t xml:space="preserve"> ברובה</w:t>
      </w:r>
      <w:r w:rsidR="009069AE" w:rsidRPr="004D6685">
        <w:rPr>
          <w:rFonts w:hint="cs"/>
          <w:b/>
          <w:bCs/>
          <w:rtl/>
        </w:rPr>
        <w:t xml:space="preserve"> </w:t>
      </w:r>
      <w:r w:rsidRPr="004D6685">
        <w:rPr>
          <w:rFonts w:hint="cs"/>
          <w:b/>
          <w:bCs/>
          <w:rtl/>
        </w:rPr>
        <w:t>מהירידה בשווי אג"ח הממשלתיות והמק"מ (כ-47 מיליארדי ש</w:t>
      </w:r>
      <w:r w:rsidRPr="004D6685">
        <w:rPr>
          <w:b/>
          <w:bCs/>
          <w:rtl/>
        </w:rPr>
        <w:t>"</w:t>
      </w:r>
      <w:r w:rsidRPr="004D6685">
        <w:rPr>
          <w:rFonts w:hint="cs"/>
          <w:b/>
          <w:bCs/>
          <w:rtl/>
        </w:rPr>
        <w:t>ח, 5.6%</w:t>
      </w:r>
      <w:r w:rsidR="00DD70A6">
        <w:rPr>
          <w:rFonts w:hint="cs"/>
          <w:b/>
          <w:bCs/>
          <w:rtl/>
        </w:rPr>
        <w:t>-</w:t>
      </w:r>
      <w:r w:rsidRPr="004D6685">
        <w:rPr>
          <w:rFonts w:hint="cs"/>
          <w:b/>
          <w:bCs/>
          <w:rtl/>
        </w:rPr>
        <w:t>)</w:t>
      </w:r>
      <w:r>
        <w:rPr>
          <w:rFonts w:hint="cs"/>
          <w:b/>
          <w:bCs/>
          <w:rtl/>
        </w:rPr>
        <w:t xml:space="preserve"> ומירידת שווי התיק המנוהל בחו"ל (13.4 מיליארדי ש"ח, 2.8%</w:t>
      </w:r>
      <w:r w:rsidR="00DD70A6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).</w:t>
      </w:r>
    </w:p>
    <w:p w:rsidR="000020FA" w:rsidRDefault="00AE1E98" w:rsidP="00227572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AE1E98">
        <w:rPr>
          <w:rFonts w:hint="cs"/>
          <w:b/>
          <w:bCs/>
          <w:rtl/>
        </w:rPr>
        <w:t xml:space="preserve">שווי יתרת תיק הנכסים המנוהל ע"י כלל הגופים המוסדיים (ללא קרנות נאמנות) </w:t>
      </w:r>
      <w:r w:rsidR="004D6685">
        <w:rPr>
          <w:rFonts w:hint="cs"/>
          <w:b/>
          <w:bCs/>
          <w:rtl/>
        </w:rPr>
        <w:t>ירד</w:t>
      </w:r>
      <w:r w:rsidRPr="00AE1E98">
        <w:rPr>
          <w:rFonts w:hint="cs"/>
          <w:b/>
          <w:bCs/>
          <w:rtl/>
        </w:rPr>
        <w:t xml:space="preserve"> ברביע </w:t>
      </w:r>
      <w:r w:rsidR="004D6685">
        <w:rPr>
          <w:rFonts w:hint="cs"/>
          <w:b/>
          <w:bCs/>
          <w:rtl/>
        </w:rPr>
        <w:t>השני</w:t>
      </w:r>
      <w:r w:rsidRPr="00AE1E98">
        <w:rPr>
          <w:rFonts w:hint="cs"/>
          <w:b/>
          <w:bCs/>
          <w:rtl/>
        </w:rPr>
        <w:t xml:space="preserve"> של שנת </w:t>
      </w:r>
      <w:r w:rsidR="00091F3F">
        <w:rPr>
          <w:rFonts w:hint="cs"/>
          <w:b/>
          <w:bCs/>
          <w:rtl/>
        </w:rPr>
        <w:t>2015</w:t>
      </w:r>
      <w:r w:rsidRPr="00AE1E98">
        <w:rPr>
          <w:rFonts w:hint="cs"/>
          <w:b/>
          <w:bCs/>
          <w:rtl/>
        </w:rPr>
        <w:t xml:space="preserve"> בכ-</w:t>
      </w:r>
      <w:r w:rsidR="004D6685">
        <w:rPr>
          <w:rFonts w:hint="cs"/>
          <w:b/>
          <w:bCs/>
          <w:rtl/>
        </w:rPr>
        <w:t>30</w:t>
      </w:r>
      <w:r w:rsidR="00E317EA">
        <w:rPr>
          <w:rFonts w:hint="cs"/>
          <w:b/>
          <w:bCs/>
          <w:rtl/>
        </w:rPr>
        <w:t xml:space="preserve"> </w:t>
      </w:r>
      <w:r w:rsidRPr="00AE1E98">
        <w:rPr>
          <w:rFonts w:hint="cs"/>
          <w:b/>
          <w:bCs/>
          <w:rtl/>
        </w:rPr>
        <w:t>מיליארדי ש"ח (</w:t>
      </w:r>
      <w:r w:rsidR="004D6685">
        <w:rPr>
          <w:rFonts w:hint="cs"/>
          <w:b/>
          <w:bCs/>
          <w:rtl/>
        </w:rPr>
        <w:t>2.3</w:t>
      </w:r>
      <w:r w:rsidRPr="00AE1E98">
        <w:rPr>
          <w:rFonts w:hint="cs"/>
          <w:b/>
          <w:bCs/>
          <w:rtl/>
        </w:rPr>
        <w:t>%</w:t>
      </w:r>
      <w:r w:rsidR="00DD70A6">
        <w:rPr>
          <w:rFonts w:hint="cs"/>
          <w:b/>
          <w:bCs/>
          <w:rtl/>
        </w:rPr>
        <w:t>-</w:t>
      </w:r>
      <w:r w:rsidRPr="00AE1E98">
        <w:rPr>
          <w:rFonts w:hint="cs"/>
          <w:b/>
          <w:bCs/>
          <w:rtl/>
        </w:rPr>
        <w:t xml:space="preserve">) ועמד בסוף </w:t>
      </w:r>
      <w:r w:rsidR="004D6685">
        <w:rPr>
          <w:rFonts w:hint="cs"/>
          <w:b/>
          <w:bCs/>
          <w:rtl/>
        </w:rPr>
        <w:t>יוני</w:t>
      </w:r>
      <w:r w:rsidRPr="00AE1E98">
        <w:rPr>
          <w:rFonts w:hint="cs"/>
          <w:b/>
          <w:bCs/>
          <w:rtl/>
        </w:rPr>
        <w:t xml:space="preserve"> על כ-1.</w:t>
      </w:r>
      <w:r w:rsidR="004D6685">
        <w:rPr>
          <w:rFonts w:hint="cs"/>
          <w:b/>
          <w:bCs/>
          <w:rtl/>
        </w:rPr>
        <w:t>32</w:t>
      </w:r>
      <w:r w:rsidRPr="00AE1E98">
        <w:rPr>
          <w:rFonts w:hint="cs"/>
          <w:b/>
          <w:bCs/>
          <w:rtl/>
        </w:rPr>
        <w:t xml:space="preserve"> טריליוני </w:t>
      </w:r>
      <w:r w:rsidR="00FD22C6">
        <w:rPr>
          <w:rFonts w:hint="cs"/>
          <w:b/>
          <w:bCs/>
          <w:rtl/>
        </w:rPr>
        <w:t>ש</w:t>
      </w:r>
      <w:r w:rsidR="00FD22C6">
        <w:rPr>
          <w:b/>
          <w:bCs/>
          <w:rtl/>
        </w:rPr>
        <w:t>"</w:t>
      </w:r>
      <w:r w:rsidR="00FD22C6">
        <w:rPr>
          <w:rFonts w:hint="cs"/>
          <w:b/>
          <w:bCs/>
          <w:rtl/>
        </w:rPr>
        <w:t>ח</w:t>
      </w:r>
      <w:r w:rsidRPr="004D6685">
        <w:rPr>
          <w:rFonts w:hint="cs"/>
          <w:b/>
          <w:bCs/>
          <w:rtl/>
        </w:rPr>
        <w:t xml:space="preserve">. </w:t>
      </w:r>
      <w:r w:rsidR="004D6685" w:rsidRPr="004D6685">
        <w:rPr>
          <w:rFonts w:hint="cs"/>
          <w:b/>
          <w:bCs/>
          <w:rtl/>
        </w:rPr>
        <w:t xml:space="preserve">עיקר הירידה נרשמה בשווי האג"ח הממשלתיות הלא סחירות בקרנות הפנסיה הוותיקות - עדכון כלפי מטה של השווי ההוגן של כספי הסיוע של הממשלה, כתוצאה </w:t>
      </w:r>
      <w:r w:rsidR="00227572">
        <w:rPr>
          <w:rFonts w:hint="cs"/>
          <w:b/>
          <w:bCs/>
          <w:rtl/>
        </w:rPr>
        <w:t>מעלייה</w:t>
      </w:r>
      <w:r w:rsidR="004D6685" w:rsidRPr="004D6685">
        <w:rPr>
          <w:rFonts w:hint="cs"/>
          <w:b/>
          <w:bCs/>
          <w:rtl/>
        </w:rPr>
        <w:t xml:space="preserve"> </w:t>
      </w:r>
      <w:r w:rsidR="00227572">
        <w:rPr>
          <w:rFonts w:hint="cs"/>
          <w:b/>
          <w:bCs/>
          <w:rtl/>
        </w:rPr>
        <w:t>בווקטור הריביות.</w:t>
      </w:r>
    </w:p>
    <w:p w:rsidR="00F03CB5" w:rsidRPr="00E317EA" w:rsidRDefault="00F03CB5" w:rsidP="00CB5476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rPr>
          <w:rFonts w:hint="cs"/>
          <w:b/>
          <w:bCs/>
          <w:rtl/>
        </w:rPr>
        <w:t>בר</w:t>
      </w:r>
      <w:r w:rsidRPr="00F03CB5">
        <w:rPr>
          <w:rFonts w:hint="cs"/>
          <w:b/>
          <w:bCs/>
          <w:rtl/>
        </w:rPr>
        <w:t xml:space="preserve">ביע </w:t>
      </w:r>
      <w:r w:rsidR="004D6685">
        <w:rPr>
          <w:rFonts w:hint="cs"/>
          <w:b/>
          <w:bCs/>
          <w:rtl/>
        </w:rPr>
        <w:t>השני</w:t>
      </w:r>
      <w:r w:rsidRPr="00F03CB5">
        <w:rPr>
          <w:rFonts w:hint="cs"/>
          <w:b/>
          <w:bCs/>
          <w:rtl/>
        </w:rPr>
        <w:t xml:space="preserve"> של שנת 2015, </w:t>
      </w:r>
      <w:r w:rsidR="004D6685">
        <w:rPr>
          <w:rFonts w:hint="cs"/>
          <w:b/>
          <w:bCs/>
          <w:rtl/>
        </w:rPr>
        <w:t>נמשכה</w:t>
      </w:r>
      <w:r w:rsidRPr="00F03CB5">
        <w:rPr>
          <w:rFonts w:hint="cs"/>
          <w:b/>
          <w:bCs/>
          <w:rtl/>
        </w:rPr>
        <w:t xml:space="preserve"> מגמת הפדיונות נטו </w:t>
      </w:r>
      <w:r w:rsidR="006726B2">
        <w:rPr>
          <w:rFonts w:hint="cs"/>
          <w:b/>
          <w:bCs/>
          <w:rtl/>
        </w:rPr>
        <w:t>ב</w:t>
      </w:r>
      <w:r w:rsidRPr="00F03CB5">
        <w:rPr>
          <w:rFonts w:hint="cs"/>
          <w:b/>
          <w:bCs/>
          <w:rtl/>
        </w:rPr>
        <w:t>קרנות הכספיות (</w:t>
      </w:r>
      <w:r w:rsidR="00CB5476">
        <w:rPr>
          <w:rFonts w:hint="cs"/>
          <w:b/>
          <w:bCs/>
          <w:rtl/>
        </w:rPr>
        <w:t>פדיון בסך</w:t>
      </w:r>
      <w:r w:rsidRPr="00F03CB5">
        <w:rPr>
          <w:rFonts w:hint="cs"/>
          <w:b/>
          <w:bCs/>
          <w:rtl/>
        </w:rPr>
        <w:t xml:space="preserve"> </w:t>
      </w:r>
      <w:r w:rsidR="00DD70A6">
        <w:rPr>
          <w:rFonts w:hint="cs"/>
          <w:b/>
          <w:bCs/>
          <w:rtl/>
        </w:rPr>
        <w:t>6.4</w:t>
      </w:r>
      <w:r w:rsidRPr="00F03CB5">
        <w:rPr>
          <w:rFonts w:hint="cs"/>
          <w:b/>
          <w:bCs/>
          <w:rtl/>
        </w:rPr>
        <w:t xml:space="preserve"> מיליארדי </w:t>
      </w:r>
      <w:r w:rsidR="00FD22C6">
        <w:rPr>
          <w:rFonts w:hint="cs"/>
          <w:b/>
          <w:bCs/>
          <w:rtl/>
        </w:rPr>
        <w:t>ש</w:t>
      </w:r>
      <w:r w:rsidR="00FD22C6">
        <w:rPr>
          <w:b/>
          <w:bCs/>
          <w:rtl/>
        </w:rPr>
        <w:t>"</w:t>
      </w:r>
      <w:r w:rsidR="00FD22C6">
        <w:rPr>
          <w:rFonts w:hint="cs"/>
          <w:b/>
          <w:bCs/>
          <w:rtl/>
        </w:rPr>
        <w:t>ח</w:t>
      </w:r>
      <w:r w:rsidR="00DD70A6">
        <w:rPr>
          <w:rFonts w:hint="cs"/>
          <w:b/>
          <w:bCs/>
          <w:rtl/>
        </w:rPr>
        <w:t>, 17.2%-).</w:t>
      </w:r>
    </w:p>
    <w:p w:rsidR="00AD1F1B" w:rsidRPr="00AD1F1B" w:rsidRDefault="00AD1F1B" w:rsidP="00AD1F1B">
      <w:pPr>
        <w:pStyle w:val="ae"/>
        <w:spacing w:line="360" w:lineRule="auto"/>
        <w:jc w:val="both"/>
        <w:rPr>
          <w:b/>
          <w:bCs/>
          <w:rtl/>
        </w:rPr>
      </w:pPr>
    </w:p>
    <w:p w:rsidR="002A7E7B" w:rsidRPr="002A7E7B" w:rsidRDefault="002A7E7B" w:rsidP="002A7E7B">
      <w:pPr>
        <w:spacing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1. </w:t>
      </w:r>
      <w:r w:rsidRPr="009530C6">
        <w:rPr>
          <w:rFonts w:hint="cs"/>
          <w:b/>
          <w:bCs/>
          <w:u w:val="single"/>
          <w:rtl/>
        </w:rPr>
        <w:t>סך תיק הנכסים</w:t>
      </w:r>
    </w:p>
    <w:p w:rsidR="001F3A15" w:rsidRDefault="0027468F" w:rsidP="00502607">
      <w:pPr>
        <w:spacing w:line="360" w:lineRule="auto"/>
        <w:jc w:val="both"/>
        <w:rPr>
          <w:b/>
          <w:bCs/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 w:rsidR="00E5543B">
        <w:rPr>
          <w:rFonts w:hint="cs"/>
          <w:b/>
          <w:bCs/>
          <w:rtl/>
        </w:rPr>
        <w:t>השני</w:t>
      </w:r>
      <w:r w:rsidR="008F4C5E">
        <w:rPr>
          <w:rFonts w:hint="cs"/>
          <w:b/>
          <w:bCs/>
          <w:rtl/>
        </w:rPr>
        <w:t xml:space="preserve"> של שנת</w:t>
      </w:r>
      <w:r w:rsidR="0049743C" w:rsidRPr="009F776D">
        <w:rPr>
          <w:rFonts w:hint="cs"/>
          <w:b/>
          <w:bCs/>
          <w:rtl/>
        </w:rPr>
        <w:t xml:space="preserve"> </w:t>
      </w:r>
      <w:r w:rsidR="009F3982">
        <w:rPr>
          <w:rFonts w:hint="cs"/>
          <w:b/>
          <w:bCs/>
          <w:rtl/>
        </w:rPr>
        <w:t>2015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E5543B">
        <w:rPr>
          <w:rFonts w:hint="cs"/>
          <w:rtl/>
        </w:rPr>
        <w:t>ירד</w:t>
      </w:r>
      <w:r w:rsidR="0049743C" w:rsidRPr="00C75BF9">
        <w:rPr>
          <w:rFonts w:hint="cs"/>
          <w:rtl/>
        </w:rPr>
        <w:t xml:space="preserve"> שווי תיק הנכסים בכ-</w:t>
      </w:r>
      <w:r w:rsidR="00E5543B">
        <w:rPr>
          <w:rFonts w:hint="cs"/>
          <w:rtl/>
        </w:rPr>
        <w:t>48</w:t>
      </w:r>
      <w:r w:rsidR="0049743C" w:rsidRPr="00C75BF9">
        <w:rPr>
          <w:rFonts w:hint="cs"/>
          <w:rtl/>
        </w:rPr>
        <w:t xml:space="preserve"> </w:t>
      </w:r>
      <w:r w:rsidR="0049743C" w:rsidRPr="00FD22C6">
        <w:rPr>
          <w:rFonts w:hint="cs"/>
          <w:rtl/>
        </w:rPr>
        <w:t xml:space="preserve">מיליארדי </w:t>
      </w:r>
      <w:r w:rsidR="00FD22C6" w:rsidRPr="00FD22C6">
        <w:rPr>
          <w:rFonts w:hint="cs"/>
          <w:rtl/>
        </w:rPr>
        <w:t>ש</w:t>
      </w:r>
      <w:r w:rsidR="00FD22C6" w:rsidRPr="00FD22C6">
        <w:rPr>
          <w:rtl/>
        </w:rPr>
        <w:t>"</w:t>
      </w:r>
      <w:r w:rsidR="00FD22C6" w:rsidRPr="00FD22C6">
        <w:rPr>
          <w:rFonts w:hint="cs"/>
          <w:rtl/>
        </w:rPr>
        <w:t>ח</w:t>
      </w:r>
      <w:r w:rsidR="00313272">
        <w:rPr>
          <w:rFonts w:hint="cs"/>
          <w:rtl/>
        </w:rPr>
        <w:t xml:space="preserve"> (</w:t>
      </w:r>
      <w:r w:rsidR="00E5543B">
        <w:rPr>
          <w:rFonts w:hint="cs"/>
          <w:rtl/>
        </w:rPr>
        <w:t>1.5</w:t>
      </w:r>
      <w:r w:rsidR="00313272">
        <w:rPr>
          <w:rFonts w:hint="cs"/>
          <w:rtl/>
        </w:rPr>
        <w:t>%</w:t>
      </w:r>
      <w:r w:rsidR="00CB5476">
        <w:rPr>
          <w:rFonts w:hint="cs"/>
          <w:rtl/>
        </w:rPr>
        <w:t>-)</w:t>
      </w:r>
      <w:r w:rsidR="0049743C" w:rsidRPr="009F776D">
        <w:rPr>
          <w:rFonts w:hint="cs"/>
          <w:b/>
          <w:bCs/>
          <w:rtl/>
        </w:rPr>
        <w:t xml:space="preserve"> </w:t>
      </w:r>
      <w:r w:rsidR="0049743C">
        <w:rPr>
          <w:rFonts w:hint="cs"/>
          <w:rtl/>
        </w:rPr>
        <w:t xml:space="preserve">ועמד בסוף </w:t>
      </w:r>
      <w:r w:rsidR="00E5543B">
        <w:rPr>
          <w:rFonts w:hint="cs"/>
          <w:rtl/>
        </w:rPr>
        <w:t>יוני</w:t>
      </w:r>
      <w:r w:rsidR="0049743C">
        <w:rPr>
          <w:rFonts w:hint="cs"/>
          <w:rtl/>
        </w:rPr>
        <w:t xml:space="preserve"> על כ- </w:t>
      </w:r>
      <w:r w:rsidR="008F4C5E">
        <w:rPr>
          <w:rFonts w:hint="cs"/>
          <w:rtl/>
        </w:rPr>
        <w:t>3.</w:t>
      </w:r>
      <w:r w:rsidR="00E5543B">
        <w:rPr>
          <w:rFonts w:hint="cs"/>
          <w:rtl/>
        </w:rPr>
        <w:t>28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9F3982">
        <w:rPr>
          <w:rFonts w:hint="cs"/>
          <w:rtl/>
        </w:rPr>
        <w:t>.</w:t>
      </w:r>
      <w:r w:rsidR="00313272">
        <w:rPr>
          <w:rFonts w:hint="cs"/>
          <w:b/>
          <w:bCs/>
          <w:rtl/>
        </w:rPr>
        <w:t xml:space="preserve"> </w:t>
      </w:r>
    </w:p>
    <w:p w:rsidR="00E5543B" w:rsidRDefault="008C152B" w:rsidP="00CB5476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עיקר </w:t>
      </w:r>
      <w:r w:rsidR="00E5543B">
        <w:rPr>
          <w:rFonts w:hint="cs"/>
          <w:rtl/>
        </w:rPr>
        <w:t>הירידה</w:t>
      </w:r>
      <w:r>
        <w:rPr>
          <w:rFonts w:hint="cs"/>
          <w:rtl/>
        </w:rPr>
        <w:t xml:space="preserve"> בתיק הנכסים, ברביע זה</w:t>
      </w:r>
      <w:r w:rsidR="00256235" w:rsidRPr="00C75BF9">
        <w:rPr>
          <w:rFonts w:hint="cs"/>
          <w:rtl/>
        </w:rPr>
        <w:t xml:space="preserve">, </w:t>
      </w:r>
      <w:r w:rsidR="00BE1545">
        <w:rPr>
          <w:rFonts w:hint="cs"/>
          <w:rtl/>
        </w:rPr>
        <w:t xml:space="preserve">נבעה </w:t>
      </w:r>
      <w:r w:rsidR="00E5543B">
        <w:rPr>
          <w:rFonts w:hint="cs"/>
          <w:rtl/>
        </w:rPr>
        <w:t xml:space="preserve">מהירידה </w:t>
      </w:r>
      <w:r w:rsidR="00894FBB">
        <w:rPr>
          <w:rFonts w:hint="cs"/>
          <w:rtl/>
        </w:rPr>
        <w:t xml:space="preserve">בשווי </w:t>
      </w:r>
      <w:r w:rsidR="00CB5476">
        <w:rPr>
          <w:rFonts w:hint="cs"/>
          <w:rtl/>
        </w:rPr>
        <w:t>ה</w:t>
      </w:r>
      <w:r w:rsidR="00894FBB">
        <w:rPr>
          <w:rFonts w:hint="cs"/>
          <w:rtl/>
        </w:rPr>
        <w:t>אג"ח הממשלתיות הסחירות והמק"מ (כ-34 מיליארדי ש</w:t>
      </w:r>
      <w:r w:rsidR="00894FBB">
        <w:rPr>
          <w:rtl/>
        </w:rPr>
        <w:t>"</w:t>
      </w:r>
      <w:r w:rsidR="00894FBB">
        <w:rPr>
          <w:rFonts w:hint="cs"/>
          <w:rtl/>
        </w:rPr>
        <w:t>ח, 6.8%</w:t>
      </w:r>
      <w:r w:rsidR="00CB5476">
        <w:rPr>
          <w:rFonts w:hint="cs"/>
          <w:rtl/>
        </w:rPr>
        <w:t>-)</w:t>
      </w:r>
      <w:r w:rsidR="00894FBB">
        <w:rPr>
          <w:rFonts w:hint="cs"/>
          <w:rtl/>
        </w:rPr>
        <w:t xml:space="preserve"> ו</w:t>
      </w:r>
      <w:r w:rsidR="00E5543B" w:rsidRPr="00282ABD">
        <w:rPr>
          <w:rFonts w:hint="cs"/>
          <w:rtl/>
        </w:rPr>
        <w:t xml:space="preserve">בשווי </w:t>
      </w:r>
      <w:r w:rsidR="00894FBB">
        <w:rPr>
          <w:rFonts w:hint="cs"/>
          <w:rtl/>
        </w:rPr>
        <w:t>ה</w:t>
      </w:r>
      <w:r w:rsidR="00894FBB" w:rsidRPr="0032478B">
        <w:rPr>
          <w:rFonts w:hint="cs"/>
          <w:rtl/>
        </w:rPr>
        <w:t>אג"ח הממשלתיות</w:t>
      </w:r>
      <w:r w:rsidR="00894FBB">
        <w:rPr>
          <w:rFonts w:hint="cs"/>
          <w:rtl/>
        </w:rPr>
        <w:t xml:space="preserve"> הלא סחירות</w:t>
      </w:r>
      <w:r w:rsidR="000E7C1F">
        <w:rPr>
          <w:rFonts w:hint="cs"/>
          <w:rtl/>
        </w:rPr>
        <w:t xml:space="preserve"> המנוהלות ע"י </w:t>
      </w:r>
      <w:r w:rsidR="00894FBB">
        <w:rPr>
          <w:rFonts w:hint="cs"/>
          <w:rtl/>
        </w:rPr>
        <w:t>קרנות הפנסיה הוותיקות</w:t>
      </w:r>
      <w:r w:rsidR="004420AD">
        <w:rPr>
          <w:rFonts w:hint="cs"/>
          <w:rtl/>
        </w:rPr>
        <w:t xml:space="preserve"> </w:t>
      </w:r>
      <w:r w:rsidR="00894FBB" w:rsidRPr="00B81428">
        <w:rPr>
          <w:rFonts w:hint="cs"/>
          <w:rtl/>
        </w:rPr>
        <w:t>(</w:t>
      </w:r>
      <w:r w:rsidR="000E7C1F" w:rsidRPr="00B81428">
        <w:rPr>
          <w:rFonts w:hint="cs"/>
          <w:rtl/>
        </w:rPr>
        <w:t>13</w:t>
      </w:r>
      <w:r w:rsidR="00894FBB" w:rsidRPr="00B81428">
        <w:rPr>
          <w:rFonts w:hint="cs"/>
          <w:rtl/>
        </w:rPr>
        <w:t xml:space="preserve"> מיליארדי </w:t>
      </w:r>
      <w:r w:rsidR="00870A61">
        <w:rPr>
          <w:rFonts w:hint="cs"/>
          <w:rtl/>
        </w:rPr>
        <w:t>ש</w:t>
      </w:r>
      <w:r w:rsidR="00870A61">
        <w:rPr>
          <w:rtl/>
        </w:rPr>
        <w:t>"</w:t>
      </w:r>
      <w:r w:rsidR="00870A61">
        <w:rPr>
          <w:rFonts w:hint="cs"/>
          <w:rtl/>
        </w:rPr>
        <w:t>ח</w:t>
      </w:r>
      <w:r w:rsidR="00894FBB" w:rsidRPr="00B81428">
        <w:rPr>
          <w:rFonts w:hint="cs"/>
          <w:rtl/>
        </w:rPr>
        <w:t xml:space="preserve">, </w:t>
      </w:r>
      <w:r w:rsidR="00EA204C">
        <w:rPr>
          <w:rFonts w:hint="cs"/>
          <w:rtl/>
        </w:rPr>
        <w:t>3.9</w:t>
      </w:r>
      <w:r w:rsidR="00894FBB" w:rsidRPr="00B81428">
        <w:rPr>
          <w:rFonts w:hint="cs"/>
          <w:rtl/>
        </w:rPr>
        <w:t>%</w:t>
      </w:r>
      <w:r w:rsidR="00B81428" w:rsidRPr="00B81428">
        <w:rPr>
          <w:rFonts w:hint="cs"/>
          <w:rtl/>
        </w:rPr>
        <w:t>). במקביל</w:t>
      </w:r>
      <w:r w:rsidR="00B81428">
        <w:rPr>
          <w:rFonts w:hint="cs"/>
          <w:rtl/>
        </w:rPr>
        <w:t xml:space="preserve"> ירד </w:t>
      </w:r>
      <w:r w:rsidR="0027319D">
        <w:rPr>
          <w:rFonts w:hint="cs"/>
          <w:rtl/>
        </w:rPr>
        <w:t>שווי המניות בחו"ל (כ-9 מיליארדי ש</w:t>
      </w:r>
      <w:r w:rsidR="0027319D">
        <w:rPr>
          <w:rtl/>
        </w:rPr>
        <w:t>"</w:t>
      </w:r>
      <w:r w:rsidR="00B81428">
        <w:rPr>
          <w:rFonts w:hint="cs"/>
          <w:rtl/>
        </w:rPr>
        <w:t xml:space="preserve">ח, </w:t>
      </w:r>
      <w:r w:rsidR="00C82785">
        <w:rPr>
          <w:rFonts w:hint="cs"/>
          <w:rtl/>
        </w:rPr>
        <w:t>3.2</w:t>
      </w:r>
      <w:r w:rsidR="00B81428">
        <w:rPr>
          <w:rFonts w:hint="cs"/>
          <w:rtl/>
        </w:rPr>
        <w:t>%), אשר נבע</w:t>
      </w:r>
      <w:r w:rsidR="0027319D">
        <w:rPr>
          <w:rFonts w:hint="cs"/>
          <w:rtl/>
        </w:rPr>
        <w:t xml:space="preserve"> בעיקר מהתחזקות השקל מול הדולר.</w:t>
      </w:r>
    </w:p>
    <w:p w:rsidR="00471DDD" w:rsidRDefault="00181A28" w:rsidP="00C527A7">
      <w:pPr>
        <w:spacing w:line="360" w:lineRule="auto"/>
        <w:jc w:val="both"/>
        <w:rPr>
          <w:rtl/>
        </w:rPr>
      </w:pPr>
      <w:r>
        <w:rPr>
          <w:rFonts w:hint="cs"/>
          <w:rtl/>
        </w:rPr>
        <w:t>משקל</w:t>
      </w:r>
      <w:r w:rsidR="00471DDD" w:rsidRPr="00803998">
        <w:rPr>
          <w:rFonts w:hint="cs"/>
          <w:rtl/>
        </w:rPr>
        <w:t xml:space="preserve"> תיק הנכסים</w:t>
      </w:r>
      <w:r w:rsidR="00803998" w:rsidRPr="00803998">
        <w:rPr>
          <w:rFonts w:hint="cs"/>
          <w:rtl/>
        </w:rPr>
        <w:t xml:space="preserve"> הפ</w:t>
      </w:r>
      <w:r>
        <w:rPr>
          <w:rFonts w:hint="cs"/>
          <w:rtl/>
        </w:rPr>
        <w:t>יננסיים של הציבור ביחס לתוצר</w:t>
      </w:r>
      <w:r w:rsidR="001F3A15" w:rsidRPr="00803998">
        <w:rPr>
          <w:rFonts w:hint="cs"/>
          <w:rtl/>
        </w:rPr>
        <w:t xml:space="preserve"> </w:t>
      </w:r>
      <w:r w:rsidR="00307811">
        <w:rPr>
          <w:rFonts w:hint="cs"/>
          <w:rtl/>
        </w:rPr>
        <w:t>ירד</w:t>
      </w:r>
      <w:r w:rsidR="00803998" w:rsidRPr="00803998">
        <w:rPr>
          <w:rFonts w:hint="cs"/>
          <w:rtl/>
        </w:rPr>
        <w:t xml:space="preserve"> במהלך הרביע בכ-</w:t>
      </w:r>
      <w:r w:rsidR="00307811">
        <w:rPr>
          <w:rFonts w:hint="cs"/>
          <w:rtl/>
        </w:rPr>
        <w:t>8.2</w:t>
      </w:r>
      <w:r w:rsidR="00803998" w:rsidRPr="00803998">
        <w:rPr>
          <w:rFonts w:hint="cs"/>
          <w:rtl/>
        </w:rPr>
        <w:t xml:space="preserve"> נקודות האחוז ו</w:t>
      </w:r>
      <w:r w:rsidR="001F3A15" w:rsidRPr="00803998">
        <w:rPr>
          <w:rFonts w:hint="cs"/>
          <w:rtl/>
        </w:rPr>
        <w:t xml:space="preserve">עמד בסוף </w:t>
      </w:r>
      <w:r w:rsidR="00307811">
        <w:rPr>
          <w:rFonts w:hint="cs"/>
          <w:rtl/>
        </w:rPr>
        <w:t>יוני</w:t>
      </w:r>
      <w:r w:rsidR="001F3A15" w:rsidRPr="00803998">
        <w:rPr>
          <w:rFonts w:hint="cs"/>
          <w:rtl/>
        </w:rPr>
        <w:t xml:space="preserve"> </w:t>
      </w:r>
      <w:r w:rsidR="00803998" w:rsidRPr="00803998">
        <w:rPr>
          <w:rFonts w:hint="cs"/>
          <w:rtl/>
        </w:rPr>
        <w:t>2015</w:t>
      </w:r>
      <w:r w:rsidR="001F3A15" w:rsidRPr="00803998">
        <w:rPr>
          <w:rFonts w:hint="cs"/>
          <w:rtl/>
        </w:rPr>
        <w:t xml:space="preserve"> על כ-</w:t>
      </w:r>
      <w:r w:rsidR="00307811">
        <w:rPr>
          <w:rFonts w:hint="cs"/>
          <w:rtl/>
        </w:rPr>
        <w:t>292</w:t>
      </w:r>
      <w:r w:rsidR="001F3A15" w:rsidRPr="00803998">
        <w:rPr>
          <w:rFonts w:hint="cs"/>
          <w:rtl/>
        </w:rPr>
        <w:t>%</w:t>
      </w:r>
      <w:r w:rsidR="00720C4A" w:rsidRPr="00803998">
        <w:rPr>
          <w:rFonts w:hint="cs"/>
          <w:rtl/>
        </w:rPr>
        <w:t xml:space="preserve"> (תרשים 2 ו-3)</w:t>
      </w:r>
      <w:r w:rsidR="001F3A15" w:rsidRPr="00803998">
        <w:rPr>
          <w:rFonts w:hint="cs"/>
          <w:rtl/>
        </w:rPr>
        <w:t>.</w:t>
      </w:r>
      <w:r w:rsidR="001F3A15">
        <w:rPr>
          <w:rFonts w:hint="cs"/>
          <w:rtl/>
        </w:rPr>
        <w:t xml:space="preserve"> </w:t>
      </w:r>
      <w:r>
        <w:rPr>
          <w:rFonts w:hint="cs"/>
          <w:rtl/>
        </w:rPr>
        <w:t xml:space="preserve">זאת </w:t>
      </w:r>
      <w:r w:rsidR="00C527A7">
        <w:rPr>
          <w:rFonts w:hint="cs"/>
          <w:rtl/>
        </w:rPr>
        <w:t xml:space="preserve">לאחר מגמת </w:t>
      </w:r>
      <w:r>
        <w:rPr>
          <w:rFonts w:hint="cs"/>
          <w:rtl/>
        </w:rPr>
        <w:t xml:space="preserve">עלייה מאז הרביע השני של 2013. </w:t>
      </w:r>
      <w:r w:rsidR="00C527A7">
        <w:rPr>
          <w:rFonts w:hint="cs"/>
          <w:rtl/>
        </w:rPr>
        <w:t>ירידה זו נבעה</w:t>
      </w:r>
      <w:r w:rsidR="00B81428">
        <w:rPr>
          <w:rFonts w:hint="cs"/>
          <w:rtl/>
        </w:rPr>
        <w:t xml:space="preserve"> משילוב של ירידה </w:t>
      </w:r>
      <w:r w:rsidR="00C527A7">
        <w:rPr>
          <w:rFonts w:hint="cs"/>
          <w:rtl/>
        </w:rPr>
        <w:t>ב</w:t>
      </w:r>
      <w:r w:rsidR="00B81428">
        <w:rPr>
          <w:rFonts w:hint="cs"/>
          <w:rtl/>
        </w:rPr>
        <w:t xml:space="preserve">שווי תיק הנכסים </w:t>
      </w:r>
      <w:r w:rsidR="00C527A7">
        <w:rPr>
          <w:rFonts w:hint="cs"/>
          <w:rtl/>
        </w:rPr>
        <w:t>ו</w:t>
      </w:r>
      <w:r w:rsidR="00B81428">
        <w:rPr>
          <w:rFonts w:hint="cs"/>
          <w:rtl/>
        </w:rPr>
        <w:t xml:space="preserve">עלייה בתמ"ג. </w:t>
      </w:r>
    </w:p>
    <w:p w:rsidR="00471DDD" w:rsidRDefault="00471DDD" w:rsidP="001F5733">
      <w:pPr>
        <w:spacing w:line="360" w:lineRule="auto"/>
        <w:jc w:val="both"/>
        <w:rPr>
          <w:rtl/>
        </w:rPr>
      </w:pPr>
    </w:p>
    <w:p w:rsidR="00AA1AC3" w:rsidRDefault="00B81428" w:rsidP="00AE0F69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1D4F3584" wp14:editId="02C4CF8A">
            <wp:extent cx="5220000" cy="3185182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185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C4A" w:rsidRPr="00AE0F69" w:rsidRDefault="00720C4A" w:rsidP="00AE0F69">
      <w:pPr>
        <w:spacing w:line="360" w:lineRule="auto"/>
        <w:jc w:val="center"/>
        <w:rPr>
          <w:rtl/>
        </w:rPr>
      </w:pPr>
    </w:p>
    <w:p w:rsidR="002A7E7B" w:rsidRPr="00222821" w:rsidRDefault="00B81428" w:rsidP="00AE0F69">
      <w:pPr>
        <w:spacing w:line="360" w:lineRule="auto"/>
        <w:jc w:val="center"/>
        <w:rPr>
          <w:b/>
          <w:bCs/>
          <w:highlight w:val="yellow"/>
          <w:rtl/>
        </w:rPr>
      </w:pPr>
      <w:r w:rsidRPr="00B81428">
        <w:rPr>
          <w:noProof/>
          <w:lang w:eastAsia="en-US"/>
        </w:rPr>
        <w:drawing>
          <wp:inline distT="0" distB="0" distL="0" distR="0" wp14:anchorId="535A98A7" wp14:editId="559F2F5D">
            <wp:extent cx="5278120" cy="2620122"/>
            <wp:effectExtent l="0" t="0" r="0" b="889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2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d"/>
        <w:bidiVisual/>
        <w:tblW w:w="9502" w:type="dxa"/>
        <w:tblInd w:w="-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51"/>
      </w:tblGrid>
      <w:tr w:rsidR="00D82901" w:rsidRPr="00207B9F" w:rsidTr="00527BC9">
        <w:tc>
          <w:tcPr>
            <w:tcW w:w="4751" w:type="dxa"/>
          </w:tcPr>
          <w:p w:rsidR="00D82901" w:rsidRPr="00207B9F" w:rsidRDefault="00527BC9" w:rsidP="00B80B3C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27FE9371" wp14:editId="6C6B18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2879725" cy="1880235"/>
                  <wp:effectExtent l="0" t="0" r="0" b="5715"/>
                  <wp:wrapSquare wrapText="bothSides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0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1" w:type="dxa"/>
          </w:tcPr>
          <w:p w:rsidR="00D82901" w:rsidRPr="00207B9F" w:rsidRDefault="00307811" w:rsidP="00B80B3C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639E0E98" wp14:editId="41A2B9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2879725" cy="1882775"/>
                  <wp:effectExtent l="0" t="0" r="0" b="3175"/>
                  <wp:wrapSquare wrapText="bothSides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E0A5D" w:rsidRDefault="005E0A5D" w:rsidP="004F63C0">
      <w:pPr>
        <w:spacing w:line="360" w:lineRule="auto"/>
        <w:jc w:val="both"/>
        <w:rPr>
          <w:b/>
          <w:bCs/>
          <w:rtl/>
        </w:rPr>
      </w:pPr>
    </w:p>
    <w:p w:rsidR="000C6D4D" w:rsidRDefault="00F33FF6" w:rsidP="003B0B89">
      <w:pPr>
        <w:spacing w:line="360" w:lineRule="auto"/>
        <w:jc w:val="both"/>
        <w:rPr>
          <w:rtl/>
        </w:rPr>
      </w:pPr>
      <w:r w:rsidRPr="00F33FF6">
        <w:rPr>
          <w:rFonts w:hint="cs"/>
          <w:b/>
          <w:bCs/>
          <w:rtl/>
        </w:rPr>
        <w:t>הרכב תיק הנכסים</w:t>
      </w:r>
      <w:r>
        <w:rPr>
          <w:rFonts w:hint="cs"/>
          <w:rtl/>
        </w:rPr>
        <w:t xml:space="preserve"> </w:t>
      </w:r>
      <w:r w:rsidR="008C152B">
        <w:rPr>
          <w:rtl/>
        </w:rPr>
        <w:t>–</w:t>
      </w:r>
      <w:r>
        <w:rPr>
          <w:rFonts w:hint="cs"/>
          <w:rtl/>
        </w:rPr>
        <w:t xml:space="preserve"> </w:t>
      </w:r>
      <w:r w:rsidR="001A0A07">
        <w:rPr>
          <w:rFonts w:hint="cs"/>
          <w:rtl/>
        </w:rPr>
        <w:t>מתחילת</w:t>
      </w:r>
      <w:r w:rsidR="008C152B">
        <w:rPr>
          <w:rFonts w:hint="cs"/>
          <w:rtl/>
        </w:rPr>
        <w:t xml:space="preserve"> שנת 2015</w:t>
      </w:r>
      <w:r w:rsidR="000C6D4D">
        <w:rPr>
          <w:rFonts w:hint="cs"/>
          <w:rtl/>
        </w:rPr>
        <w:t xml:space="preserve"> חלה </w:t>
      </w:r>
      <w:r w:rsidR="001A0A07">
        <w:rPr>
          <w:rFonts w:hint="cs"/>
          <w:rtl/>
        </w:rPr>
        <w:t>עלייה</w:t>
      </w:r>
      <w:r w:rsidR="000C6D4D">
        <w:rPr>
          <w:rFonts w:hint="cs"/>
          <w:rtl/>
        </w:rPr>
        <w:t xml:space="preserve"> של כ</w:t>
      </w:r>
      <w:r w:rsidR="001A0A07">
        <w:rPr>
          <w:rFonts w:hint="cs"/>
          <w:rtl/>
        </w:rPr>
        <w:t xml:space="preserve">- 1.4 </w:t>
      </w:r>
      <w:r w:rsidR="008C152B">
        <w:rPr>
          <w:rFonts w:hint="cs"/>
          <w:rtl/>
        </w:rPr>
        <w:t>נקוד</w:t>
      </w:r>
      <w:r w:rsidR="001A0A07">
        <w:rPr>
          <w:rFonts w:hint="cs"/>
          <w:rtl/>
        </w:rPr>
        <w:t>ו</w:t>
      </w:r>
      <w:r w:rsidR="008C152B">
        <w:rPr>
          <w:rFonts w:hint="cs"/>
          <w:rtl/>
        </w:rPr>
        <w:t>ת</w:t>
      </w:r>
      <w:r w:rsidR="000C6D4D">
        <w:rPr>
          <w:rFonts w:hint="cs"/>
          <w:rtl/>
        </w:rPr>
        <w:t xml:space="preserve"> האחוז במשקל הנכסים </w:t>
      </w:r>
      <w:r w:rsidR="00205C1F">
        <w:rPr>
          <w:rFonts w:hint="cs"/>
          <w:rtl/>
        </w:rPr>
        <w:t xml:space="preserve">בסיכון, זאת על רקע עליות השערים בבורסות בארץ ובעולם. </w:t>
      </w:r>
      <w:r w:rsidR="003B0B89">
        <w:rPr>
          <w:rFonts w:hint="cs"/>
          <w:rtl/>
        </w:rPr>
        <w:t xml:space="preserve">מנגד, חלה ירידה </w:t>
      </w:r>
      <w:r w:rsidR="00205C1F">
        <w:rPr>
          <w:rFonts w:hint="cs"/>
          <w:rtl/>
        </w:rPr>
        <w:t xml:space="preserve">במשקל הנכסים </w:t>
      </w:r>
      <w:r w:rsidR="003B0B89">
        <w:rPr>
          <w:rFonts w:hint="cs"/>
          <w:rtl/>
        </w:rPr>
        <w:t xml:space="preserve">במט"ח </w:t>
      </w:r>
      <w:proofErr w:type="spellStart"/>
      <w:r w:rsidR="003B0B89">
        <w:rPr>
          <w:rFonts w:hint="cs"/>
          <w:rtl/>
        </w:rPr>
        <w:t>בכ</w:t>
      </w:r>
      <w:proofErr w:type="spellEnd"/>
      <w:r w:rsidR="003B0B89">
        <w:rPr>
          <w:rFonts w:hint="cs"/>
          <w:rtl/>
        </w:rPr>
        <w:t>- 0.4 נקודות האחוז, אשר נבעה בעיקר מהתחזקות השקל מול הדולר.</w:t>
      </w:r>
    </w:p>
    <w:p w:rsidR="007C7735" w:rsidRDefault="007C7735" w:rsidP="000C6D4D">
      <w:pPr>
        <w:spacing w:line="360" w:lineRule="auto"/>
        <w:jc w:val="both"/>
        <w:rPr>
          <w:rtl/>
        </w:rPr>
      </w:pPr>
    </w:p>
    <w:p w:rsidR="00AA1AC3" w:rsidRDefault="00AA1AC3" w:rsidP="003F193A">
      <w:pPr>
        <w:spacing w:line="360" w:lineRule="auto"/>
        <w:rPr>
          <w:rtl/>
        </w:rPr>
      </w:pPr>
    </w:p>
    <w:p w:rsidR="00B84F4F" w:rsidRPr="00CD4996" w:rsidRDefault="00B81428" w:rsidP="00AE0F69">
      <w:pPr>
        <w:spacing w:line="360" w:lineRule="auto"/>
        <w:jc w:val="center"/>
        <w:rPr>
          <w:rtl/>
        </w:rPr>
      </w:pPr>
      <w:r w:rsidRPr="00B81428">
        <w:rPr>
          <w:noProof/>
          <w:lang w:eastAsia="en-US"/>
        </w:rPr>
        <w:drawing>
          <wp:inline distT="0" distB="0" distL="0" distR="0" wp14:anchorId="10AE4056" wp14:editId="07E6D047">
            <wp:extent cx="5278120" cy="1849786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4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DDD" w:rsidRDefault="00471DDD" w:rsidP="001A095A">
      <w:pPr>
        <w:spacing w:line="360" w:lineRule="auto"/>
        <w:jc w:val="both"/>
        <w:rPr>
          <w:b/>
          <w:bCs/>
          <w:rtl/>
        </w:rPr>
      </w:pPr>
    </w:p>
    <w:p w:rsidR="001A095A" w:rsidRDefault="001A095A" w:rsidP="001A095A">
      <w:pPr>
        <w:spacing w:line="360" w:lineRule="auto"/>
        <w:jc w:val="both"/>
        <w:rPr>
          <w:b/>
          <w:bCs/>
          <w:rtl/>
        </w:rPr>
      </w:pPr>
      <w:r w:rsidRPr="00D921A2">
        <w:rPr>
          <w:rFonts w:hint="cs"/>
          <w:b/>
          <w:bCs/>
          <w:rtl/>
        </w:rPr>
        <w:t>2.</w:t>
      </w:r>
      <w:r>
        <w:rPr>
          <w:rFonts w:hint="cs"/>
          <w:b/>
          <w:bCs/>
          <w:rtl/>
        </w:rPr>
        <w:t xml:space="preserve"> </w:t>
      </w:r>
      <w:r w:rsidRPr="009530C6">
        <w:rPr>
          <w:rFonts w:hint="cs"/>
          <w:b/>
          <w:bCs/>
          <w:u w:val="single"/>
          <w:rtl/>
        </w:rPr>
        <w:t>התפלגות תיק ניירות הערך לפי מכשירים עיקריים</w:t>
      </w:r>
    </w:p>
    <w:p w:rsidR="000D6B53" w:rsidRDefault="000D6B53" w:rsidP="000D22CB">
      <w:pPr>
        <w:spacing w:line="360" w:lineRule="auto"/>
        <w:jc w:val="both"/>
        <w:rPr>
          <w:b/>
          <w:bCs/>
          <w:rtl/>
        </w:rPr>
      </w:pPr>
    </w:p>
    <w:p w:rsidR="00C7577B" w:rsidRDefault="003B0B89" w:rsidP="00AE0F69">
      <w:pPr>
        <w:spacing w:line="360" w:lineRule="auto"/>
        <w:jc w:val="center"/>
        <w:rPr>
          <w:b/>
          <w:bCs/>
          <w:rtl/>
        </w:rPr>
      </w:pPr>
      <w:r w:rsidRPr="003B0B89">
        <w:rPr>
          <w:noProof/>
          <w:lang w:eastAsia="en-US"/>
        </w:rPr>
        <w:drawing>
          <wp:inline distT="0" distB="0" distL="0" distR="0" wp14:anchorId="3CD0F924" wp14:editId="37F2A4E5">
            <wp:extent cx="5278120" cy="1509518"/>
            <wp:effectExtent l="0" t="0" r="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50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B0" w:rsidRDefault="007053B0" w:rsidP="00353174">
      <w:pPr>
        <w:spacing w:line="360" w:lineRule="auto"/>
        <w:jc w:val="both"/>
        <w:rPr>
          <w:b/>
          <w:bCs/>
          <w:rtl/>
        </w:rPr>
      </w:pPr>
    </w:p>
    <w:p w:rsidR="004A3D2E" w:rsidRPr="00B604AD" w:rsidRDefault="004A3D2E" w:rsidP="00353174">
      <w:pPr>
        <w:spacing w:line="360" w:lineRule="auto"/>
        <w:jc w:val="both"/>
        <w:rPr>
          <w:b/>
          <w:bCs/>
          <w:color w:val="FF0000"/>
          <w:rtl/>
        </w:rPr>
      </w:pPr>
      <w:r w:rsidRPr="00353174">
        <w:rPr>
          <w:rFonts w:hint="cs"/>
          <w:b/>
          <w:bCs/>
          <w:rtl/>
        </w:rPr>
        <w:t>מניות בארץ</w:t>
      </w:r>
      <w:r w:rsidR="00B604AD" w:rsidRPr="00353174">
        <w:rPr>
          <w:rFonts w:hint="cs"/>
          <w:b/>
          <w:bCs/>
          <w:rtl/>
        </w:rPr>
        <w:t xml:space="preserve"> </w:t>
      </w:r>
    </w:p>
    <w:p w:rsidR="004B184A" w:rsidRDefault="00A42E4B" w:rsidP="003E433E">
      <w:pPr>
        <w:spacing w:line="360" w:lineRule="auto"/>
        <w:jc w:val="both"/>
        <w:rPr>
          <w:rtl/>
        </w:rPr>
      </w:pPr>
      <w:r w:rsidRPr="004E5982">
        <w:rPr>
          <w:rFonts w:hint="cs"/>
          <w:b/>
          <w:bCs/>
          <w:rtl/>
        </w:rPr>
        <w:t xml:space="preserve">ברביע </w:t>
      </w:r>
      <w:r w:rsidR="00C62FD8" w:rsidRPr="004E5982">
        <w:rPr>
          <w:rFonts w:hint="cs"/>
          <w:b/>
          <w:bCs/>
          <w:rtl/>
        </w:rPr>
        <w:t>השני</w:t>
      </w:r>
      <w:r w:rsidRPr="004E5982">
        <w:rPr>
          <w:rFonts w:hint="cs"/>
          <w:b/>
          <w:bCs/>
          <w:rtl/>
        </w:rPr>
        <w:t xml:space="preserve"> של שנת </w:t>
      </w:r>
      <w:r w:rsidR="00FB4877" w:rsidRPr="004E5982">
        <w:rPr>
          <w:rFonts w:hint="cs"/>
          <w:b/>
          <w:bCs/>
          <w:rtl/>
        </w:rPr>
        <w:t>2015</w:t>
      </w:r>
      <w:r w:rsidR="00D82456" w:rsidRPr="004E5982">
        <w:rPr>
          <w:rFonts w:hint="cs"/>
          <w:rtl/>
        </w:rPr>
        <w:t xml:space="preserve"> </w:t>
      </w:r>
      <w:r w:rsidR="004E7019" w:rsidRPr="004E5982">
        <w:rPr>
          <w:rFonts w:hint="cs"/>
          <w:rtl/>
        </w:rPr>
        <w:t>עלתה</w:t>
      </w:r>
      <w:r w:rsidR="0049743C" w:rsidRPr="004E5982">
        <w:rPr>
          <w:rFonts w:hint="cs"/>
          <w:rtl/>
        </w:rPr>
        <w:t xml:space="preserve"> יתרת המניות</w:t>
      </w:r>
      <w:r w:rsidRPr="004E5982">
        <w:rPr>
          <w:rFonts w:hint="cs"/>
          <w:rtl/>
        </w:rPr>
        <w:t xml:space="preserve"> בארץ</w:t>
      </w:r>
      <w:r w:rsidR="0049743C" w:rsidRPr="004E5982">
        <w:rPr>
          <w:rFonts w:hint="cs"/>
          <w:rtl/>
        </w:rPr>
        <w:t xml:space="preserve"> </w:t>
      </w:r>
      <w:r w:rsidR="00BA0C83" w:rsidRPr="004E5982">
        <w:rPr>
          <w:rFonts w:hint="cs"/>
          <w:rtl/>
        </w:rPr>
        <w:t xml:space="preserve">בתיק הנכסים </w:t>
      </w:r>
      <w:proofErr w:type="spellStart"/>
      <w:r w:rsidR="0049743C" w:rsidRPr="004E5982">
        <w:rPr>
          <w:rFonts w:hint="cs"/>
          <w:rtl/>
        </w:rPr>
        <w:t>בכ</w:t>
      </w:r>
      <w:proofErr w:type="spellEnd"/>
      <w:r w:rsidR="0049743C" w:rsidRPr="004E5982">
        <w:rPr>
          <w:rFonts w:hint="cs"/>
          <w:rtl/>
        </w:rPr>
        <w:t>-</w:t>
      </w:r>
      <w:r w:rsidR="00C62FD8" w:rsidRPr="004E5982">
        <w:rPr>
          <w:rFonts w:hint="cs"/>
          <w:rtl/>
        </w:rPr>
        <w:t xml:space="preserve"> 3</w:t>
      </w:r>
      <w:r w:rsidR="0049743C" w:rsidRPr="004E5982">
        <w:rPr>
          <w:rFonts w:hint="cs"/>
          <w:rtl/>
        </w:rPr>
        <w:t xml:space="preserve"> מיליארדי </w:t>
      </w:r>
      <w:r w:rsidR="00FD22C6" w:rsidRPr="004E5982">
        <w:rPr>
          <w:rFonts w:hint="cs"/>
          <w:rtl/>
        </w:rPr>
        <w:t>ש</w:t>
      </w:r>
      <w:r w:rsidR="00FD22C6" w:rsidRPr="004E5982">
        <w:rPr>
          <w:rtl/>
        </w:rPr>
        <w:t>"</w:t>
      </w:r>
      <w:r w:rsidR="00FD22C6" w:rsidRPr="004E5982">
        <w:rPr>
          <w:rFonts w:hint="cs"/>
          <w:rtl/>
        </w:rPr>
        <w:t>ח</w:t>
      </w:r>
      <w:r w:rsidR="00B9472B" w:rsidRPr="004E5982">
        <w:rPr>
          <w:rFonts w:hint="cs"/>
          <w:rtl/>
        </w:rPr>
        <w:t xml:space="preserve"> </w:t>
      </w:r>
      <w:r w:rsidR="0049743C" w:rsidRPr="004E5982">
        <w:rPr>
          <w:rFonts w:hint="cs"/>
          <w:rtl/>
        </w:rPr>
        <w:t>(</w:t>
      </w:r>
      <w:r w:rsidR="009C4338">
        <w:rPr>
          <w:rFonts w:hint="cs"/>
          <w:rtl/>
        </w:rPr>
        <w:t>0.5</w:t>
      </w:r>
      <w:r w:rsidR="0049743C" w:rsidRPr="004E5982">
        <w:rPr>
          <w:rFonts w:hint="cs"/>
          <w:rtl/>
        </w:rPr>
        <w:t xml:space="preserve">%) ועמדה בסוף חודש </w:t>
      </w:r>
      <w:r w:rsidR="00C62FD8" w:rsidRPr="004E5982">
        <w:rPr>
          <w:rFonts w:hint="cs"/>
          <w:rtl/>
        </w:rPr>
        <w:t>יוני</w:t>
      </w:r>
      <w:r w:rsidR="005E0A5D" w:rsidRPr="004E5982">
        <w:rPr>
          <w:rFonts w:hint="cs"/>
          <w:rtl/>
        </w:rPr>
        <w:t xml:space="preserve"> על כ-</w:t>
      </w:r>
      <w:r w:rsidR="00C62FD8" w:rsidRPr="004E5982">
        <w:rPr>
          <w:rFonts w:hint="cs"/>
          <w:rtl/>
        </w:rPr>
        <w:t>545</w:t>
      </w:r>
      <w:r w:rsidR="005E0A5D" w:rsidRPr="004E5982">
        <w:rPr>
          <w:rFonts w:hint="cs"/>
          <w:rtl/>
        </w:rPr>
        <w:t xml:space="preserve"> </w:t>
      </w:r>
      <w:r w:rsidR="0049743C" w:rsidRPr="004E5982">
        <w:rPr>
          <w:rFonts w:hint="cs"/>
          <w:rtl/>
        </w:rPr>
        <w:t>מיליארדים</w:t>
      </w:r>
      <w:r w:rsidR="003E433E">
        <w:rPr>
          <w:rFonts w:hint="cs"/>
          <w:rtl/>
        </w:rPr>
        <w:t>, שילוב של השקעות נטו ועליית מחירים בבורסה בת"א.</w:t>
      </w:r>
    </w:p>
    <w:p w:rsidR="007D012C" w:rsidRDefault="007D012C" w:rsidP="00870087">
      <w:pPr>
        <w:spacing w:line="360" w:lineRule="auto"/>
        <w:jc w:val="both"/>
        <w:rPr>
          <w:b/>
          <w:bCs/>
          <w:rtl/>
        </w:rPr>
      </w:pPr>
    </w:p>
    <w:p w:rsidR="00DD28B0" w:rsidRPr="00954D48" w:rsidRDefault="00DD28B0" w:rsidP="00870087">
      <w:pPr>
        <w:spacing w:line="360" w:lineRule="auto"/>
        <w:jc w:val="both"/>
        <w:rPr>
          <w:b/>
          <w:bCs/>
          <w:rtl/>
        </w:rPr>
      </w:pPr>
      <w:r w:rsidRPr="00954D48">
        <w:rPr>
          <w:rFonts w:hint="cs"/>
          <w:b/>
          <w:bCs/>
          <w:rtl/>
        </w:rPr>
        <w:t xml:space="preserve">אג"ח </w:t>
      </w:r>
    </w:p>
    <w:p w:rsidR="005E0A5D" w:rsidRDefault="00935917" w:rsidP="00EA204C">
      <w:pPr>
        <w:spacing w:line="360" w:lineRule="auto"/>
        <w:jc w:val="both"/>
        <w:rPr>
          <w:rtl/>
        </w:rPr>
      </w:pPr>
      <w:r w:rsidRPr="00471557">
        <w:rPr>
          <w:rFonts w:hint="cs"/>
          <w:b/>
          <w:bCs/>
          <w:rtl/>
        </w:rPr>
        <w:t xml:space="preserve">ברביע </w:t>
      </w:r>
      <w:r w:rsidR="004E5982">
        <w:rPr>
          <w:rFonts w:hint="cs"/>
          <w:b/>
          <w:bCs/>
          <w:rtl/>
        </w:rPr>
        <w:t>השני</w:t>
      </w:r>
      <w:r w:rsidRPr="00471557">
        <w:rPr>
          <w:rFonts w:hint="cs"/>
          <w:b/>
          <w:bCs/>
          <w:rtl/>
        </w:rPr>
        <w:t xml:space="preserve"> של שנת </w:t>
      </w:r>
      <w:r w:rsidR="00017A8F">
        <w:rPr>
          <w:rFonts w:hint="cs"/>
          <w:b/>
          <w:bCs/>
          <w:rtl/>
        </w:rPr>
        <w:t>2015</w:t>
      </w:r>
      <w:r w:rsidRPr="00471557">
        <w:rPr>
          <w:rFonts w:hint="cs"/>
          <w:rtl/>
        </w:rPr>
        <w:t xml:space="preserve"> </w:t>
      </w:r>
      <w:r w:rsidR="00F653E0">
        <w:rPr>
          <w:rFonts w:hint="cs"/>
          <w:rtl/>
        </w:rPr>
        <w:t>ירד</w:t>
      </w:r>
      <w:r w:rsidR="00870087" w:rsidRPr="00471557">
        <w:rPr>
          <w:rFonts w:hint="cs"/>
          <w:rtl/>
        </w:rPr>
        <w:t xml:space="preserve"> שווי תיק </w:t>
      </w:r>
      <w:r w:rsidR="0049743C" w:rsidRPr="00471557">
        <w:rPr>
          <w:rFonts w:hint="cs"/>
          <w:rtl/>
        </w:rPr>
        <w:t>אג"ח</w:t>
      </w:r>
      <w:r w:rsidR="00870087" w:rsidRPr="00471557">
        <w:rPr>
          <w:rFonts w:hint="cs"/>
          <w:rtl/>
        </w:rPr>
        <w:t xml:space="preserve"> החברות</w:t>
      </w:r>
      <w:r w:rsidR="0049743C" w:rsidRPr="00471557">
        <w:rPr>
          <w:rFonts w:hint="cs"/>
          <w:rtl/>
        </w:rPr>
        <w:t xml:space="preserve"> הסחיר בארץ בכ-</w:t>
      </w:r>
      <w:r w:rsidR="00F653E0">
        <w:rPr>
          <w:rFonts w:hint="cs"/>
          <w:rtl/>
        </w:rPr>
        <w:t>0.5</w:t>
      </w:r>
      <w:r w:rsidR="00017A8F">
        <w:rPr>
          <w:rFonts w:hint="cs"/>
          <w:rtl/>
        </w:rPr>
        <w:t xml:space="preserve"> </w:t>
      </w:r>
      <w:r w:rsidR="0049743C" w:rsidRPr="00471557">
        <w:rPr>
          <w:rFonts w:hint="cs"/>
          <w:rtl/>
        </w:rPr>
        <w:t>מיליארדי</w:t>
      </w:r>
      <w:r w:rsidR="00D82456" w:rsidRPr="00471557">
        <w:rPr>
          <w:rFonts w:hint="cs"/>
          <w:rtl/>
        </w:rPr>
        <w:t xml:space="preserve"> ש"ח</w:t>
      </w:r>
      <w:r w:rsidR="0049743C" w:rsidRPr="00471557">
        <w:rPr>
          <w:rFonts w:hint="cs"/>
          <w:rtl/>
        </w:rPr>
        <w:t xml:space="preserve"> (</w:t>
      </w:r>
      <w:r w:rsidR="00EA204C">
        <w:rPr>
          <w:rFonts w:hint="cs"/>
          <w:rtl/>
        </w:rPr>
        <w:t>0.2</w:t>
      </w:r>
      <w:r w:rsidR="00017A8F">
        <w:rPr>
          <w:rFonts w:hint="cs"/>
          <w:rtl/>
        </w:rPr>
        <w:t>%</w:t>
      </w:r>
      <w:r w:rsidR="0049743C" w:rsidRPr="00471557">
        <w:rPr>
          <w:rFonts w:hint="cs"/>
          <w:rtl/>
        </w:rPr>
        <w:t xml:space="preserve">) ועמד בסוף </w:t>
      </w:r>
      <w:r w:rsidR="00F653E0">
        <w:rPr>
          <w:rFonts w:hint="cs"/>
          <w:rtl/>
        </w:rPr>
        <w:t>יוני</w:t>
      </w:r>
      <w:r w:rsidR="0049743C" w:rsidRPr="00471557">
        <w:rPr>
          <w:rFonts w:hint="cs"/>
          <w:rtl/>
        </w:rPr>
        <w:t xml:space="preserve"> על כ-</w:t>
      </w:r>
      <w:r w:rsidR="00F653E0">
        <w:rPr>
          <w:rFonts w:hint="cs"/>
          <w:rtl/>
        </w:rPr>
        <w:t>263</w:t>
      </w:r>
      <w:r w:rsidR="0049743C" w:rsidRPr="00471557">
        <w:rPr>
          <w:rFonts w:hint="cs"/>
          <w:rtl/>
        </w:rPr>
        <w:t xml:space="preserve"> מיליארדי</w:t>
      </w:r>
      <w:r w:rsidR="00D82456" w:rsidRPr="00471557">
        <w:rPr>
          <w:rFonts w:hint="cs"/>
          <w:rtl/>
        </w:rPr>
        <w:t>ם</w:t>
      </w:r>
      <w:r w:rsidR="00017A8F">
        <w:rPr>
          <w:rFonts w:hint="cs"/>
          <w:rtl/>
        </w:rPr>
        <w:t>. זאת בעקבות</w:t>
      </w:r>
      <w:r w:rsidR="00F653E0" w:rsidRPr="00F653E0">
        <w:rPr>
          <w:rFonts w:hint="cs"/>
          <w:rtl/>
        </w:rPr>
        <w:t xml:space="preserve"> </w:t>
      </w:r>
      <w:r w:rsidR="00F653E0">
        <w:rPr>
          <w:rFonts w:hint="cs"/>
          <w:rtl/>
        </w:rPr>
        <w:t>השקעות נטו באג"ח אשר קוזז ע"י ירידת</w:t>
      </w:r>
      <w:r w:rsidR="00017A8F">
        <w:rPr>
          <w:rFonts w:hint="cs"/>
          <w:rtl/>
        </w:rPr>
        <w:t xml:space="preserve"> מחירי האג"ח</w:t>
      </w:r>
      <w:r w:rsidR="00F653E0">
        <w:rPr>
          <w:rFonts w:hint="cs"/>
          <w:rtl/>
        </w:rPr>
        <w:t xml:space="preserve"> בבורסה בת"א.</w:t>
      </w:r>
    </w:p>
    <w:p w:rsidR="00017A8F" w:rsidRPr="00017A8F" w:rsidRDefault="00CA3C2E" w:rsidP="004420AD">
      <w:pPr>
        <w:spacing w:line="360" w:lineRule="auto"/>
        <w:jc w:val="both"/>
        <w:rPr>
          <w:rtl/>
        </w:rPr>
      </w:pPr>
      <w:r>
        <w:rPr>
          <w:rFonts w:hint="cs"/>
          <w:rtl/>
        </w:rPr>
        <w:t>כמו כן</w:t>
      </w:r>
      <w:r w:rsidR="00883E47" w:rsidRPr="00017A8F">
        <w:rPr>
          <w:rFonts w:hint="cs"/>
          <w:rtl/>
        </w:rPr>
        <w:t xml:space="preserve">, </w:t>
      </w:r>
      <w:r w:rsidR="00870087" w:rsidRPr="00017A8F">
        <w:rPr>
          <w:rFonts w:hint="cs"/>
          <w:rtl/>
        </w:rPr>
        <w:t>חלה</w:t>
      </w:r>
      <w:r w:rsidR="005E0A5D" w:rsidRPr="00017A8F">
        <w:rPr>
          <w:rFonts w:hint="cs"/>
          <w:rtl/>
        </w:rPr>
        <w:t xml:space="preserve"> </w:t>
      </w:r>
      <w:r w:rsidR="00E102DB">
        <w:rPr>
          <w:rFonts w:hint="cs"/>
          <w:rtl/>
        </w:rPr>
        <w:t>ב</w:t>
      </w:r>
      <w:r w:rsidR="00017A8F" w:rsidRPr="00017A8F">
        <w:rPr>
          <w:rFonts w:hint="cs"/>
          <w:rtl/>
        </w:rPr>
        <w:t>רביע</w:t>
      </w:r>
      <w:r w:rsidR="00DA5D79" w:rsidRPr="00017A8F">
        <w:rPr>
          <w:rFonts w:hint="cs"/>
          <w:rtl/>
        </w:rPr>
        <w:t xml:space="preserve"> </w:t>
      </w:r>
      <w:r w:rsidR="00F653E0">
        <w:rPr>
          <w:rFonts w:hint="cs"/>
          <w:rtl/>
        </w:rPr>
        <w:t>השני</w:t>
      </w:r>
      <w:r w:rsidR="00E102DB">
        <w:rPr>
          <w:rFonts w:hint="cs"/>
          <w:rtl/>
        </w:rPr>
        <w:t xml:space="preserve"> </w:t>
      </w:r>
      <w:r w:rsidR="00F653E0">
        <w:rPr>
          <w:rFonts w:hint="cs"/>
          <w:rtl/>
        </w:rPr>
        <w:t>ירידה</w:t>
      </w:r>
      <w:r w:rsidR="00870087" w:rsidRPr="00017A8F">
        <w:rPr>
          <w:rFonts w:hint="cs"/>
          <w:rtl/>
        </w:rPr>
        <w:t xml:space="preserve"> </w:t>
      </w:r>
      <w:r w:rsidR="00DA5D79" w:rsidRPr="00017A8F">
        <w:rPr>
          <w:rFonts w:hint="cs"/>
          <w:rtl/>
        </w:rPr>
        <w:t>של כ-</w:t>
      </w:r>
      <w:r w:rsidR="00F653E0">
        <w:rPr>
          <w:rFonts w:hint="cs"/>
          <w:rtl/>
        </w:rPr>
        <w:t xml:space="preserve"> 34</w:t>
      </w:r>
      <w:r w:rsidR="00DA5D79" w:rsidRPr="00017A8F">
        <w:rPr>
          <w:rFonts w:hint="cs"/>
          <w:rtl/>
        </w:rPr>
        <w:t xml:space="preserve"> 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91110A" w:rsidRPr="00017A8F">
        <w:rPr>
          <w:rFonts w:hint="cs"/>
          <w:rtl/>
        </w:rPr>
        <w:t xml:space="preserve"> (</w:t>
      </w:r>
      <w:r w:rsidR="00F653E0">
        <w:rPr>
          <w:rFonts w:hint="cs"/>
          <w:rtl/>
        </w:rPr>
        <w:t>6.8</w:t>
      </w:r>
      <w:r w:rsidR="0091110A" w:rsidRPr="00017A8F">
        <w:rPr>
          <w:rFonts w:hint="cs"/>
          <w:rtl/>
        </w:rPr>
        <w:t>%)</w:t>
      </w:r>
      <w:r>
        <w:rPr>
          <w:rFonts w:hint="cs"/>
          <w:rtl/>
        </w:rPr>
        <w:t xml:space="preserve"> </w:t>
      </w:r>
      <w:r w:rsidR="00017A8F" w:rsidRPr="00017A8F">
        <w:rPr>
          <w:rFonts w:hint="cs"/>
          <w:rtl/>
        </w:rPr>
        <w:t xml:space="preserve">ביתרת תיק </w:t>
      </w:r>
      <w:r w:rsidR="00E102DB">
        <w:rPr>
          <w:rFonts w:hint="cs"/>
          <w:rtl/>
        </w:rPr>
        <w:t>ה</w:t>
      </w:r>
      <w:r w:rsidR="00017A8F" w:rsidRPr="00017A8F">
        <w:rPr>
          <w:rFonts w:hint="cs"/>
          <w:rtl/>
        </w:rPr>
        <w:t>אג"ח הממשלתיות</w:t>
      </w:r>
      <w:r w:rsidR="00F653E0">
        <w:rPr>
          <w:rFonts w:hint="cs"/>
          <w:rtl/>
        </w:rPr>
        <w:t xml:space="preserve"> הסחירות</w:t>
      </w:r>
      <w:r w:rsidR="00017A8F" w:rsidRPr="00017A8F">
        <w:rPr>
          <w:rFonts w:hint="cs"/>
          <w:rtl/>
        </w:rPr>
        <w:t xml:space="preserve"> </w:t>
      </w:r>
      <w:r w:rsidR="00870087" w:rsidRPr="00017A8F">
        <w:rPr>
          <w:rFonts w:hint="cs"/>
          <w:rtl/>
        </w:rPr>
        <w:t>והמק"מ</w:t>
      </w:r>
      <w:r w:rsidR="00EA204C">
        <w:rPr>
          <w:rFonts w:hint="cs"/>
          <w:rtl/>
        </w:rPr>
        <w:t xml:space="preserve"> ובשווי</w:t>
      </w:r>
      <w:r w:rsidR="00EA204C" w:rsidRPr="00282ABD">
        <w:rPr>
          <w:rFonts w:hint="cs"/>
          <w:rtl/>
        </w:rPr>
        <w:t xml:space="preserve"> </w:t>
      </w:r>
      <w:r w:rsidR="00EA204C" w:rsidRPr="0032478B">
        <w:rPr>
          <w:rFonts w:hint="cs"/>
          <w:rtl/>
        </w:rPr>
        <w:t>אג"ח הממשלתיות</w:t>
      </w:r>
      <w:r w:rsidR="00EA204C">
        <w:rPr>
          <w:rFonts w:hint="cs"/>
          <w:rtl/>
        </w:rPr>
        <w:t xml:space="preserve"> הלא סחירות </w:t>
      </w:r>
      <w:proofErr w:type="spellStart"/>
      <w:r w:rsidR="00EA204C">
        <w:rPr>
          <w:rFonts w:hint="cs"/>
          <w:rtl/>
        </w:rPr>
        <w:t>ב</w:t>
      </w:r>
      <w:r>
        <w:rPr>
          <w:rFonts w:hint="cs"/>
          <w:rtl/>
        </w:rPr>
        <w:t>כ</w:t>
      </w:r>
      <w:proofErr w:type="spellEnd"/>
      <w:r>
        <w:rPr>
          <w:rFonts w:hint="cs"/>
          <w:rtl/>
        </w:rPr>
        <w:t>- 13 מיליארדים (</w:t>
      </w:r>
      <w:r w:rsidR="00EA204C">
        <w:rPr>
          <w:rFonts w:hint="cs"/>
          <w:rtl/>
        </w:rPr>
        <w:t>3.9</w:t>
      </w:r>
      <w:r>
        <w:rPr>
          <w:rFonts w:hint="cs"/>
          <w:rtl/>
        </w:rPr>
        <w:t>%)</w:t>
      </w:r>
      <w:r w:rsidR="004420AD">
        <w:rPr>
          <w:rFonts w:hint="cs"/>
          <w:rtl/>
        </w:rPr>
        <w:t>.</w:t>
      </w:r>
    </w:p>
    <w:p w:rsidR="00E102DB" w:rsidRDefault="00E102DB" w:rsidP="00A94847">
      <w:pPr>
        <w:spacing w:line="360" w:lineRule="auto"/>
        <w:rPr>
          <w:b/>
          <w:bCs/>
          <w:rtl/>
        </w:rPr>
      </w:pPr>
    </w:p>
    <w:p w:rsidR="00FC2BC0" w:rsidRDefault="001F3A15" w:rsidP="00A94847">
      <w:pPr>
        <w:spacing w:line="360" w:lineRule="auto"/>
        <w:rPr>
          <w:b/>
          <w:bCs/>
          <w:rtl/>
        </w:rPr>
      </w:pPr>
      <w:r w:rsidRPr="001F3A15">
        <w:rPr>
          <w:rFonts w:hint="cs"/>
          <w:b/>
          <w:bCs/>
          <w:rtl/>
        </w:rPr>
        <w:t>מזומן ופיקדונות</w:t>
      </w:r>
    </w:p>
    <w:p w:rsidR="001F3A15" w:rsidRPr="00495917" w:rsidRDefault="001F3A15" w:rsidP="00EA204C">
      <w:pPr>
        <w:spacing w:line="360" w:lineRule="auto"/>
        <w:jc w:val="both"/>
        <w:rPr>
          <w:color w:val="FF0000"/>
          <w:rtl/>
        </w:rPr>
      </w:pPr>
      <w:r w:rsidRPr="001F3A15">
        <w:rPr>
          <w:rFonts w:hint="cs"/>
          <w:rtl/>
        </w:rPr>
        <w:t>שווי רכיבי המזומן והפיקדונו</w:t>
      </w:r>
      <w:r w:rsidRPr="001F3A15">
        <w:rPr>
          <w:rFonts w:hint="eastAsia"/>
          <w:rtl/>
        </w:rPr>
        <w:t>ת</w:t>
      </w:r>
      <w:r w:rsidRPr="001F3A15">
        <w:rPr>
          <w:rFonts w:hint="cs"/>
          <w:rtl/>
        </w:rPr>
        <w:t xml:space="preserve"> עלה ברביע </w:t>
      </w:r>
      <w:r w:rsidR="00CA3C2E">
        <w:rPr>
          <w:rFonts w:hint="cs"/>
          <w:rtl/>
        </w:rPr>
        <w:t>השני</w:t>
      </w:r>
      <w:r w:rsidRPr="001F3A15">
        <w:rPr>
          <w:rFonts w:hint="cs"/>
          <w:rtl/>
        </w:rPr>
        <w:t xml:space="preserve"> </w:t>
      </w:r>
      <w:proofErr w:type="spellStart"/>
      <w:r w:rsidRPr="001F3A15">
        <w:rPr>
          <w:rFonts w:hint="cs"/>
          <w:rtl/>
        </w:rPr>
        <w:t>בכ</w:t>
      </w:r>
      <w:proofErr w:type="spellEnd"/>
      <w:r w:rsidRPr="001F3A15">
        <w:rPr>
          <w:rFonts w:hint="cs"/>
          <w:rtl/>
        </w:rPr>
        <w:t xml:space="preserve">- </w:t>
      </w:r>
      <w:r w:rsidR="00CA3C2E">
        <w:rPr>
          <w:rFonts w:hint="cs"/>
          <w:rtl/>
        </w:rPr>
        <w:t>11.5</w:t>
      </w:r>
      <w:r w:rsidRPr="001F3A15">
        <w:rPr>
          <w:rFonts w:hint="cs"/>
          <w:rtl/>
        </w:rPr>
        <w:t xml:space="preserve"> 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Pr="001F3A15">
        <w:rPr>
          <w:rFonts w:hint="cs"/>
          <w:rtl/>
        </w:rPr>
        <w:t xml:space="preserve"> (</w:t>
      </w:r>
      <w:r w:rsidR="00EA204C">
        <w:rPr>
          <w:rFonts w:hint="cs"/>
          <w:rtl/>
        </w:rPr>
        <w:t>1.1</w:t>
      </w:r>
      <w:r w:rsidRPr="001F3A15">
        <w:rPr>
          <w:rFonts w:hint="cs"/>
          <w:rtl/>
        </w:rPr>
        <w:t>%)</w:t>
      </w:r>
      <w:r w:rsidR="00306329">
        <w:rPr>
          <w:rFonts w:hint="cs"/>
          <w:rtl/>
        </w:rPr>
        <w:t>.</w:t>
      </w:r>
      <w:r w:rsidRPr="001F3A15">
        <w:rPr>
          <w:rFonts w:hint="cs"/>
          <w:rtl/>
        </w:rPr>
        <w:t xml:space="preserve"> </w:t>
      </w:r>
      <w:r w:rsidR="00B811C5">
        <w:rPr>
          <w:rFonts w:hint="cs"/>
          <w:rtl/>
        </w:rPr>
        <w:t xml:space="preserve">עיקר העלייה נבעה </w:t>
      </w:r>
      <w:r w:rsidRPr="00B811C5">
        <w:rPr>
          <w:rFonts w:hint="cs"/>
          <w:rtl/>
        </w:rPr>
        <w:t xml:space="preserve">מהגדלת יתרות המזומנים </w:t>
      </w:r>
      <w:proofErr w:type="spellStart"/>
      <w:r w:rsidRPr="00B811C5">
        <w:rPr>
          <w:rFonts w:hint="cs"/>
          <w:rtl/>
        </w:rPr>
        <w:t>והעו"ש</w:t>
      </w:r>
      <w:proofErr w:type="spellEnd"/>
      <w:r w:rsidRPr="00B811C5">
        <w:rPr>
          <w:rFonts w:hint="cs"/>
          <w:rtl/>
        </w:rPr>
        <w:t xml:space="preserve"> של הציבור</w:t>
      </w:r>
      <w:r w:rsidR="00B811C5">
        <w:rPr>
          <w:rFonts w:hint="cs"/>
          <w:rtl/>
        </w:rPr>
        <w:t>, אשר</w:t>
      </w:r>
      <w:r w:rsidRPr="00B811C5">
        <w:rPr>
          <w:rFonts w:hint="cs"/>
          <w:rtl/>
        </w:rPr>
        <w:t xml:space="preserve"> קוזזה במקצת ע"י </w:t>
      </w:r>
      <w:r w:rsidR="00A257E8">
        <w:rPr>
          <w:rFonts w:hint="cs"/>
          <w:rtl/>
        </w:rPr>
        <w:t xml:space="preserve">ירידה בשווי </w:t>
      </w:r>
      <w:r w:rsidR="00EE22F1">
        <w:rPr>
          <w:rFonts w:hint="cs"/>
          <w:rtl/>
        </w:rPr>
        <w:t>ה</w:t>
      </w:r>
      <w:r w:rsidR="00A257E8" w:rsidRPr="00EE22F1">
        <w:rPr>
          <w:rFonts w:hint="cs"/>
          <w:rtl/>
        </w:rPr>
        <w:t>פיקדונו</w:t>
      </w:r>
      <w:r w:rsidR="00A257E8" w:rsidRPr="00EE22F1">
        <w:rPr>
          <w:rFonts w:hint="eastAsia"/>
          <w:rtl/>
        </w:rPr>
        <w:t>ת</w:t>
      </w:r>
      <w:r w:rsidR="00A257E8" w:rsidRPr="00EE22F1">
        <w:rPr>
          <w:rFonts w:hint="cs"/>
          <w:rtl/>
        </w:rPr>
        <w:t xml:space="preserve"> </w:t>
      </w:r>
      <w:proofErr w:type="spellStart"/>
      <w:r w:rsidR="00EE22F1" w:rsidRPr="00EE22F1">
        <w:rPr>
          <w:rFonts w:hint="cs"/>
          <w:rtl/>
        </w:rPr>
        <w:t>צמודי</w:t>
      </w:r>
      <w:proofErr w:type="spellEnd"/>
      <w:r w:rsidR="00EE22F1" w:rsidRPr="00EE22F1">
        <w:rPr>
          <w:rFonts w:hint="cs"/>
          <w:rtl/>
        </w:rPr>
        <w:t xml:space="preserve"> המט"ח.</w:t>
      </w:r>
    </w:p>
    <w:p w:rsidR="005E0A5D" w:rsidRDefault="005E0A5D" w:rsidP="00E94957">
      <w:pPr>
        <w:spacing w:line="360" w:lineRule="auto"/>
        <w:jc w:val="both"/>
        <w:rPr>
          <w:b/>
          <w:bCs/>
          <w:rtl/>
        </w:rPr>
      </w:pPr>
    </w:p>
    <w:p w:rsidR="00E94957" w:rsidRDefault="00E94957" w:rsidP="00E94957">
      <w:pPr>
        <w:spacing w:line="360" w:lineRule="auto"/>
        <w:jc w:val="both"/>
        <w:rPr>
          <w:b/>
          <w:bCs/>
          <w:rtl/>
        </w:rPr>
      </w:pPr>
      <w:r w:rsidRPr="0040667A">
        <w:rPr>
          <w:rFonts w:hint="cs"/>
          <w:b/>
          <w:bCs/>
          <w:rtl/>
        </w:rPr>
        <w:t>תיק הנכסים בחו"ל</w:t>
      </w:r>
    </w:p>
    <w:p w:rsidR="0049743C" w:rsidRPr="00831BA6" w:rsidRDefault="0049067F" w:rsidP="00C70D21">
      <w:pPr>
        <w:spacing w:line="360" w:lineRule="auto"/>
        <w:jc w:val="both"/>
        <w:rPr>
          <w:b/>
          <w:bCs/>
          <w:rtl/>
        </w:rPr>
      </w:pPr>
      <w:r w:rsidRPr="005E0A5D">
        <w:rPr>
          <w:rFonts w:hint="cs"/>
          <w:b/>
          <w:bCs/>
          <w:u w:val="single"/>
          <w:rtl/>
        </w:rPr>
        <w:lastRenderedPageBreak/>
        <w:t xml:space="preserve">ברביע </w:t>
      </w:r>
      <w:r w:rsidR="00EE22F1">
        <w:rPr>
          <w:rFonts w:hint="cs"/>
          <w:b/>
          <w:bCs/>
          <w:u w:val="single"/>
          <w:rtl/>
        </w:rPr>
        <w:t>השני</w:t>
      </w:r>
      <w:r>
        <w:rPr>
          <w:rFonts w:hint="cs"/>
          <w:b/>
          <w:bCs/>
          <w:rtl/>
        </w:rPr>
        <w:t xml:space="preserve"> של שנת </w:t>
      </w:r>
      <w:r w:rsidR="00310DC5">
        <w:rPr>
          <w:rFonts w:hint="cs"/>
          <w:b/>
          <w:bCs/>
          <w:rtl/>
        </w:rPr>
        <w:t>2015</w:t>
      </w:r>
      <w:r>
        <w:rPr>
          <w:rFonts w:hint="cs"/>
          <w:rtl/>
        </w:rPr>
        <w:t xml:space="preserve"> </w:t>
      </w:r>
      <w:r w:rsidR="00EE22F1">
        <w:rPr>
          <w:rFonts w:hint="cs"/>
          <w:rtl/>
        </w:rPr>
        <w:t>ירד</w:t>
      </w:r>
      <w:r w:rsidR="0049743C">
        <w:rPr>
          <w:rFonts w:hint="cs"/>
          <w:rtl/>
        </w:rPr>
        <w:t xml:space="preserve"> שווי התיק המוחזק ע"י </w:t>
      </w:r>
      <w:r w:rsidR="000A3314">
        <w:rPr>
          <w:rFonts w:hint="cs"/>
          <w:rtl/>
        </w:rPr>
        <w:t>הציבור</w:t>
      </w:r>
      <w:r w:rsidR="0049743C">
        <w:rPr>
          <w:rFonts w:hint="cs"/>
          <w:rtl/>
        </w:rPr>
        <w:t xml:space="preserve"> בחו"ל בכ-</w:t>
      </w:r>
      <w:r w:rsidR="00EA204C">
        <w:rPr>
          <w:rFonts w:hint="cs"/>
          <w:rtl/>
        </w:rPr>
        <w:t>13</w:t>
      </w:r>
      <w:r w:rsidR="00883E47">
        <w:rPr>
          <w:rFonts w:hint="cs"/>
          <w:rtl/>
        </w:rPr>
        <w:t xml:space="preserve"> </w:t>
      </w:r>
      <w:r w:rsidR="0049743C" w:rsidRPr="00E102DB">
        <w:rPr>
          <w:rFonts w:hint="cs"/>
          <w:rtl/>
        </w:rPr>
        <w:t xml:space="preserve">מיליארדי </w:t>
      </w:r>
      <w:r w:rsidR="00FD22C6" w:rsidRPr="00E102DB">
        <w:rPr>
          <w:rFonts w:hint="cs"/>
          <w:rtl/>
        </w:rPr>
        <w:t>ש</w:t>
      </w:r>
      <w:r w:rsidR="00FD22C6" w:rsidRPr="00E102DB">
        <w:rPr>
          <w:rtl/>
        </w:rPr>
        <w:t>"</w:t>
      </w:r>
      <w:r w:rsidR="00FD22C6" w:rsidRPr="00E102DB">
        <w:rPr>
          <w:rFonts w:hint="cs"/>
          <w:rtl/>
        </w:rPr>
        <w:t>ח</w:t>
      </w:r>
      <w:r w:rsidR="00B9472B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EA204C">
        <w:rPr>
          <w:rFonts w:hint="cs"/>
          <w:rtl/>
        </w:rPr>
        <w:t>2.8</w:t>
      </w:r>
      <w:r>
        <w:rPr>
          <w:rFonts w:hint="cs"/>
          <w:rtl/>
        </w:rPr>
        <w:t xml:space="preserve">%) </w:t>
      </w:r>
      <w:r w:rsidR="00D82456">
        <w:rPr>
          <w:rFonts w:hint="cs"/>
          <w:rtl/>
        </w:rPr>
        <w:t xml:space="preserve">ועמד בסוף </w:t>
      </w:r>
      <w:r w:rsidR="00EE22F1">
        <w:rPr>
          <w:rFonts w:hint="cs"/>
          <w:rtl/>
        </w:rPr>
        <w:t>יוני</w:t>
      </w:r>
      <w:r w:rsidR="00D82456">
        <w:rPr>
          <w:rFonts w:hint="cs"/>
          <w:rtl/>
        </w:rPr>
        <w:t xml:space="preserve"> על כ-</w:t>
      </w:r>
      <w:r w:rsidR="00EA204C">
        <w:rPr>
          <w:rFonts w:hint="cs"/>
          <w:rtl/>
        </w:rPr>
        <w:t>470</w:t>
      </w:r>
      <w:r w:rsidR="0049743C">
        <w:rPr>
          <w:rFonts w:hint="cs"/>
          <w:rtl/>
        </w:rPr>
        <w:t xml:space="preserve"> מיליארדים</w:t>
      </w:r>
      <w:r w:rsidR="00872672">
        <w:rPr>
          <w:rFonts w:hint="cs"/>
          <w:rtl/>
        </w:rPr>
        <w:t xml:space="preserve"> שהם כ-</w:t>
      </w:r>
      <w:r w:rsidR="003E616A">
        <w:rPr>
          <w:rFonts w:hint="cs"/>
          <w:rtl/>
        </w:rPr>
        <w:t>14</w:t>
      </w:r>
      <w:r w:rsidR="00883E47">
        <w:rPr>
          <w:rFonts w:hint="cs"/>
          <w:rtl/>
        </w:rPr>
        <w:t>.</w:t>
      </w:r>
      <w:r w:rsidR="00EE22F1">
        <w:rPr>
          <w:rFonts w:hint="cs"/>
          <w:rtl/>
        </w:rPr>
        <w:t>3</w:t>
      </w:r>
      <w:r w:rsidR="003E616A">
        <w:rPr>
          <w:rFonts w:hint="cs"/>
          <w:rtl/>
        </w:rPr>
        <w:t xml:space="preserve">% </w:t>
      </w:r>
      <w:r w:rsidR="00872672">
        <w:rPr>
          <w:rFonts w:hint="cs"/>
          <w:rtl/>
        </w:rPr>
        <w:t>מסך תיק הנכסים</w:t>
      </w:r>
      <w:r w:rsidR="0049743C">
        <w:rPr>
          <w:rFonts w:hint="cs"/>
          <w:rtl/>
        </w:rPr>
        <w:t xml:space="preserve">. </w:t>
      </w:r>
      <w:r w:rsidR="00EE22F1" w:rsidRPr="00D90F9D">
        <w:rPr>
          <w:rFonts w:hint="cs"/>
          <w:rtl/>
        </w:rPr>
        <w:t>הירידה</w:t>
      </w:r>
      <w:r w:rsidR="00B743C5" w:rsidRPr="00D90F9D">
        <w:rPr>
          <w:rFonts w:hint="cs"/>
          <w:rtl/>
        </w:rPr>
        <w:t xml:space="preserve"> בשווי התיק הושפעה </w:t>
      </w:r>
      <w:r w:rsidR="00784852" w:rsidRPr="00D90F9D">
        <w:rPr>
          <w:rFonts w:hint="cs"/>
          <w:rtl/>
        </w:rPr>
        <w:t>מ</w:t>
      </w:r>
      <w:r w:rsidR="00784852" w:rsidRPr="00D90F9D">
        <w:rPr>
          <w:rFonts w:ascii="Arial" w:hAnsi="Arial" w:hint="cs"/>
          <w:rtl/>
        </w:rPr>
        <w:t xml:space="preserve">ייסוף השקל מול הדולר (5.3%) </w:t>
      </w:r>
      <w:r w:rsidR="00C70D21" w:rsidRPr="00D90F9D">
        <w:rPr>
          <w:rFonts w:ascii="Arial" w:hAnsi="Arial" w:hint="cs"/>
          <w:rtl/>
        </w:rPr>
        <w:t>אשר קיזז את</w:t>
      </w:r>
      <w:r w:rsidR="00784852" w:rsidRPr="00D90F9D">
        <w:rPr>
          <w:rFonts w:ascii="Arial" w:hAnsi="Arial" w:hint="cs"/>
          <w:rtl/>
        </w:rPr>
        <w:t xml:space="preserve"> עליו</w:t>
      </w:r>
      <w:r w:rsidR="00EE22F1" w:rsidRPr="00D90F9D">
        <w:rPr>
          <w:rFonts w:ascii="Arial" w:hAnsi="Arial" w:hint="cs"/>
          <w:rtl/>
        </w:rPr>
        <w:t>ת</w:t>
      </w:r>
      <w:r w:rsidR="00831BA6" w:rsidRPr="00D90F9D">
        <w:rPr>
          <w:rFonts w:ascii="Arial" w:hAnsi="Arial" w:hint="cs"/>
          <w:rtl/>
        </w:rPr>
        <w:t xml:space="preserve"> </w:t>
      </w:r>
      <w:r w:rsidR="00C70D21" w:rsidRPr="00D90F9D">
        <w:rPr>
          <w:rFonts w:ascii="Arial" w:hAnsi="Arial" w:hint="cs"/>
          <w:rtl/>
        </w:rPr>
        <w:t>ה</w:t>
      </w:r>
      <w:r w:rsidR="00831BA6" w:rsidRPr="00D90F9D">
        <w:rPr>
          <w:rFonts w:ascii="Arial" w:hAnsi="Arial" w:hint="cs"/>
          <w:rtl/>
        </w:rPr>
        <w:t>מחירים</w:t>
      </w:r>
      <w:r w:rsidR="00EE22F1" w:rsidRPr="00D90F9D">
        <w:rPr>
          <w:rFonts w:ascii="Arial" w:hAnsi="Arial" w:hint="cs"/>
          <w:rtl/>
        </w:rPr>
        <w:t xml:space="preserve"> ו</w:t>
      </w:r>
      <w:r w:rsidR="00C70D21" w:rsidRPr="00D90F9D">
        <w:rPr>
          <w:rFonts w:ascii="Arial" w:hAnsi="Arial" w:hint="cs"/>
          <w:rtl/>
        </w:rPr>
        <w:t>ה</w:t>
      </w:r>
      <w:r w:rsidR="000C6D4D" w:rsidRPr="00D90F9D">
        <w:rPr>
          <w:rFonts w:ascii="Arial" w:hAnsi="Arial" w:hint="cs"/>
          <w:rtl/>
        </w:rPr>
        <w:t>השקעות נטו</w:t>
      </w:r>
      <w:r w:rsidR="00784852" w:rsidRPr="00D90F9D">
        <w:rPr>
          <w:rFonts w:ascii="Arial" w:hAnsi="Arial" w:hint="cs"/>
          <w:rtl/>
        </w:rPr>
        <w:t>.</w:t>
      </w:r>
    </w:p>
    <w:p w:rsidR="00D921A2" w:rsidRDefault="00B93AC3" w:rsidP="00675E10">
      <w:pPr>
        <w:spacing w:line="360" w:lineRule="auto"/>
        <w:jc w:val="both"/>
        <w:rPr>
          <w:rtl/>
        </w:rPr>
      </w:pPr>
      <w:r w:rsidRPr="009866DB">
        <w:rPr>
          <w:rFonts w:hint="cs"/>
          <w:rtl/>
        </w:rPr>
        <w:t xml:space="preserve">רכיב המניות בחו"ל </w:t>
      </w:r>
      <w:r w:rsidR="00E122B8">
        <w:rPr>
          <w:rFonts w:hint="cs"/>
          <w:rtl/>
        </w:rPr>
        <w:t>ירד</w:t>
      </w:r>
      <w:r w:rsidR="000C6D4D">
        <w:rPr>
          <w:rFonts w:hint="cs"/>
          <w:rtl/>
        </w:rPr>
        <w:t xml:space="preserve"> </w:t>
      </w:r>
      <w:r w:rsidR="0054204C" w:rsidRPr="009866DB">
        <w:rPr>
          <w:rFonts w:hint="cs"/>
          <w:rtl/>
        </w:rPr>
        <w:t>בכ-</w:t>
      </w:r>
      <w:r w:rsidR="00E122B8">
        <w:rPr>
          <w:rFonts w:hint="cs"/>
          <w:rtl/>
        </w:rPr>
        <w:t>9.2</w:t>
      </w:r>
      <w:r w:rsidR="00A45F9A" w:rsidRPr="009866DB">
        <w:rPr>
          <w:rFonts w:hint="cs"/>
          <w:rtl/>
        </w:rPr>
        <w:t xml:space="preserve"> </w:t>
      </w:r>
      <w:r w:rsidR="0054204C" w:rsidRPr="009866DB">
        <w:rPr>
          <w:rFonts w:hint="cs"/>
          <w:rtl/>
        </w:rPr>
        <w:t>מיליארדים (</w:t>
      </w:r>
      <w:r w:rsidR="00E122B8">
        <w:rPr>
          <w:rFonts w:hint="cs"/>
          <w:rtl/>
        </w:rPr>
        <w:t>3.2</w:t>
      </w:r>
      <w:r w:rsidR="0054204C" w:rsidRPr="009866DB">
        <w:rPr>
          <w:rFonts w:hint="cs"/>
          <w:rtl/>
        </w:rPr>
        <w:t>%)</w:t>
      </w:r>
      <w:r w:rsidR="003E61C1" w:rsidRPr="009866DB">
        <w:rPr>
          <w:rFonts w:hint="cs"/>
          <w:rtl/>
        </w:rPr>
        <w:t xml:space="preserve"> ועמד בסוף </w:t>
      </w:r>
      <w:r w:rsidR="00E122B8">
        <w:rPr>
          <w:rFonts w:hint="cs"/>
          <w:rtl/>
        </w:rPr>
        <w:t>יוני</w:t>
      </w:r>
      <w:r w:rsidR="003E61C1" w:rsidRPr="009866DB">
        <w:rPr>
          <w:rFonts w:hint="cs"/>
          <w:rtl/>
        </w:rPr>
        <w:t xml:space="preserve"> על כ-</w:t>
      </w:r>
      <w:r w:rsidR="00E122B8">
        <w:rPr>
          <w:rFonts w:hint="cs"/>
          <w:rtl/>
        </w:rPr>
        <w:t>274</w:t>
      </w:r>
      <w:r w:rsidR="00FB4877">
        <w:rPr>
          <w:rFonts w:hint="cs"/>
          <w:rtl/>
        </w:rPr>
        <w:t xml:space="preserve"> 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FB4877">
        <w:rPr>
          <w:rFonts w:hint="cs"/>
          <w:rtl/>
        </w:rPr>
        <w:t>.</w:t>
      </w:r>
      <w:r w:rsidR="00A45F9A">
        <w:rPr>
          <w:rFonts w:hint="cs"/>
          <w:rtl/>
        </w:rPr>
        <w:t xml:space="preserve"> </w:t>
      </w:r>
      <w:r w:rsidR="002003C2">
        <w:rPr>
          <w:rFonts w:hint="cs"/>
          <w:rtl/>
        </w:rPr>
        <w:t xml:space="preserve">שווי תיק האג"ח הסחיר בחו"ל </w:t>
      </w:r>
      <w:r w:rsidR="00675E10">
        <w:rPr>
          <w:rFonts w:hint="cs"/>
          <w:rtl/>
        </w:rPr>
        <w:t>ירד</w:t>
      </w:r>
      <w:r w:rsidR="002003C2">
        <w:rPr>
          <w:rFonts w:hint="cs"/>
          <w:rtl/>
        </w:rPr>
        <w:t xml:space="preserve"> בכ-</w:t>
      </w:r>
      <w:r w:rsidR="00675E10">
        <w:rPr>
          <w:rFonts w:hint="cs"/>
          <w:rtl/>
        </w:rPr>
        <w:t>1.6</w:t>
      </w:r>
      <w:r w:rsidR="00F45150">
        <w:rPr>
          <w:rFonts w:hint="cs"/>
          <w:rtl/>
        </w:rPr>
        <w:t xml:space="preserve"> </w:t>
      </w:r>
      <w:r w:rsidR="002003C2">
        <w:rPr>
          <w:rFonts w:hint="cs"/>
          <w:rtl/>
        </w:rPr>
        <w:t>מיליארדים (</w:t>
      </w:r>
      <w:r w:rsidR="00675E10">
        <w:rPr>
          <w:rFonts w:hint="cs"/>
          <w:rtl/>
        </w:rPr>
        <w:t>0.9</w:t>
      </w:r>
      <w:r w:rsidR="002003C2">
        <w:rPr>
          <w:rFonts w:hint="cs"/>
          <w:rtl/>
        </w:rPr>
        <w:t xml:space="preserve">%) ועמד </w:t>
      </w:r>
      <w:r w:rsidR="00831BA6">
        <w:rPr>
          <w:rFonts w:hint="cs"/>
          <w:rtl/>
        </w:rPr>
        <w:t>ב</w:t>
      </w:r>
      <w:r w:rsidR="00E122B8">
        <w:rPr>
          <w:rFonts w:hint="cs"/>
          <w:rtl/>
        </w:rPr>
        <w:t>יוני</w:t>
      </w:r>
      <w:r w:rsidR="002003C2">
        <w:rPr>
          <w:rFonts w:hint="cs"/>
          <w:rtl/>
        </w:rPr>
        <w:t xml:space="preserve"> על כ-</w:t>
      </w:r>
      <w:r w:rsidR="00675E10">
        <w:rPr>
          <w:rFonts w:hint="cs"/>
          <w:rtl/>
        </w:rPr>
        <w:t>176</w:t>
      </w:r>
      <w:r w:rsidR="00FB4877">
        <w:rPr>
          <w:rFonts w:hint="cs"/>
          <w:rtl/>
        </w:rPr>
        <w:t xml:space="preserve"> 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FB4877">
        <w:rPr>
          <w:rFonts w:hint="cs"/>
          <w:rtl/>
        </w:rPr>
        <w:t>.</w:t>
      </w:r>
      <w:r w:rsidR="00DF514F">
        <w:rPr>
          <w:rFonts w:hint="cs"/>
          <w:rtl/>
        </w:rPr>
        <w:t xml:space="preserve"> </w:t>
      </w:r>
      <w:r w:rsidR="00831BA6">
        <w:rPr>
          <w:rFonts w:hint="cs"/>
          <w:rtl/>
        </w:rPr>
        <w:t>בנוסף</w:t>
      </w:r>
      <w:r w:rsidR="00A45F9A">
        <w:rPr>
          <w:rFonts w:hint="cs"/>
          <w:rtl/>
        </w:rPr>
        <w:t>,</w:t>
      </w:r>
      <w:r w:rsidR="008B6D53">
        <w:rPr>
          <w:rFonts w:hint="cs"/>
          <w:rtl/>
        </w:rPr>
        <w:t xml:space="preserve"> </w:t>
      </w:r>
      <w:r w:rsidR="00DF514F">
        <w:rPr>
          <w:rFonts w:hint="cs"/>
          <w:rtl/>
        </w:rPr>
        <w:t>חלה</w:t>
      </w:r>
      <w:r w:rsidR="0065430A">
        <w:rPr>
          <w:rFonts w:hint="cs"/>
          <w:rtl/>
        </w:rPr>
        <w:t xml:space="preserve"> </w:t>
      </w:r>
      <w:r w:rsidR="00675E10">
        <w:rPr>
          <w:rFonts w:hint="cs"/>
          <w:rtl/>
        </w:rPr>
        <w:t>ירידה</w:t>
      </w:r>
      <w:r w:rsidR="00DF514F">
        <w:rPr>
          <w:rFonts w:hint="cs"/>
          <w:rtl/>
        </w:rPr>
        <w:t xml:space="preserve"> </w:t>
      </w:r>
      <w:r w:rsidR="00FB4877">
        <w:rPr>
          <w:rFonts w:hint="cs"/>
          <w:rtl/>
        </w:rPr>
        <w:t xml:space="preserve">של </w:t>
      </w:r>
      <w:r w:rsidR="00DF514F">
        <w:rPr>
          <w:rFonts w:hint="cs"/>
          <w:rtl/>
        </w:rPr>
        <w:t>כ</w:t>
      </w:r>
      <w:r w:rsidR="00675E10">
        <w:rPr>
          <w:rFonts w:hint="cs"/>
          <w:rtl/>
        </w:rPr>
        <w:t xml:space="preserve">- 2.7 </w:t>
      </w:r>
      <w:r w:rsidR="00310DC5">
        <w:rPr>
          <w:rFonts w:hint="cs"/>
          <w:rtl/>
        </w:rPr>
        <w:t>מיליארד</w:t>
      </w:r>
      <w:r w:rsidR="00675E10">
        <w:rPr>
          <w:rFonts w:hint="cs"/>
          <w:rtl/>
        </w:rPr>
        <w:t>ים</w:t>
      </w:r>
      <w:r w:rsidR="00FB4877">
        <w:rPr>
          <w:rFonts w:hint="cs"/>
          <w:rtl/>
        </w:rPr>
        <w:t xml:space="preserve"> </w:t>
      </w:r>
      <w:r w:rsidR="00DF514F">
        <w:rPr>
          <w:rFonts w:hint="cs"/>
          <w:rtl/>
        </w:rPr>
        <w:t>(</w:t>
      </w:r>
      <w:r w:rsidR="00675E10">
        <w:rPr>
          <w:rFonts w:hint="cs"/>
          <w:rtl/>
        </w:rPr>
        <w:t>11.8</w:t>
      </w:r>
      <w:r w:rsidR="00310DC5">
        <w:rPr>
          <w:rFonts w:hint="cs"/>
          <w:rtl/>
        </w:rPr>
        <w:t>%</w:t>
      </w:r>
      <w:r w:rsidR="00DF514F">
        <w:rPr>
          <w:rFonts w:hint="cs"/>
          <w:rtl/>
        </w:rPr>
        <w:t>) בשווי ה</w:t>
      </w:r>
      <w:r w:rsidR="006E7526">
        <w:rPr>
          <w:rFonts w:hint="cs"/>
          <w:rtl/>
        </w:rPr>
        <w:t>פיקדונו</w:t>
      </w:r>
      <w:r w:rsidR="006E7526">
        <w:rPr>
          <w:rFonts w:hint="eastAsia"/>
          <w:rtl/>
        </w:rPr>
        <w:t>ת</w:t>
      </w:r>
      <w:r w:rsidR="00927424">
        <w:rPr>
          <w:rFonts w:hint="cs"/>
          <w:rtl/>
        </w:rPr>
        <w:t xml:space="preserve"> בבנקים בחו"ל</w:t>
      </w:r>
      <w:r w:rsidR="00DF514F">
        <w:rPr>
          <w:rFonts w:hint="cs"/>
          <w:rtl/>
        </w:rPr>
        <w:t>.</w:t>
      </w:r>
    </w:p>
    <w:p w:rsidR="00D921A2" w:rsidRDefault="00D921A2" w:rsidP="00AA5ADB">
      <w:pPr>
        <w:spacing w:line="360" w:lineRule="auto"/>
        <w:jc w:val="both"/>
        <w:rPr>
          <w:rtl/>
        </w:rPr>
      </w:pPr>
    </w:p>
    <w:p w:rsidR="00A21D66" w:rsidRPr="001B3EBB" w:rsidRDefault="00675E10" w:rsidP="001B3EBB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72ACBA02" wp14:editId="6768D03E">
            <wp:extent cx="5220000" cy="3185182"/>
            <wp:effectExtent l="0" t="0" r="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185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D66" w:rsidRDefault="00A21D66" w:rsidP="00ED7589">
      <w:pPr>
        <w:spacing w:line="360" w:lineRule="auto"/>
        <w:jc w:val="both"/>
        <w:rPr>
          <w:b/>
          <w:bCs/>
          <w:highlight w:val="yellow"/>
          <w:rtl/>
        </w:rPr>
      </w:pPr>
    </w:p>
    <w:p w:rsidR="00283B13" w:rsidRDefault="000D6B53" w:rsidP="006769C7">
      <w:pPr>
        <w:tabs>
          <w:tab w:val="left" w:pos="4928"/>
        </w:tabs>
        <w:spacing w:line="360" w:lineRule="auto"/>
        <w:jc w:val="both"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>3</w:t>
      </w:r>
      <w:r w:rsidR="0027681B">
        <w:rPr>
          <w:rFonts w:hint="cs"/>
          <w:b/>
          <w:bCs/>
          <w:rtl/>
        </w:rPr>
        <w:t xml:space="preserve">. </w:t>
      </w:r>
      <w:r w:rsidR="00283B13">
        <w:rPr>
          <w:rFonts w:hint="cs"/>
          <w:b/>
          <w:bCs/>
          <w:u w:val="single"/>
          <w:rtl/>
        </w:rPr>
        <w:t>התיק המנוהל באמצעות המשקיעים המוסדיים</w:t>
      </w:r>
    </w:p>
    <w:p w:rsidR="00283B13" w:rsidRDefault="00283B13" w:rsidP="006769C7">
      <w:pPr>
        <w:tabs>
          <w:tab w:val="left" w:pos="4928"/>
        </w:tabs>
        <w:spacing w:line="360" w:lineRule="auto"/>
        <w:jc w:val="both"/>
        <w:rPr>
          <w:b/>
          <w:bCs/>
          <w:u w:val="single"/>
          <w:rtl/>
        </w:rPr>
      </w:pPr>
    </w:p>
    <w:p w:rsidR="00675E10" w:rsidRDefault="00675E10" w:rsidP="00675E10">
      <w:pPr>
        <w:spacing w:line="360" w:lineRule="auto"/>
      </w:pPr>
      <w:r w:rsidRPr="008368C5">
        <w:rPr>
          <w:rFonts w:hint="cs"/>
          <w:b/>
          <w:bCs/>
          <w:rtl/>
        </w:rPr>
        <w:t>שווי יתרת התיק המנוהל ע"י המשקיעים המוסדיים</w:t>
      </w:r>
      <w:r w:rsidRPr="00282ABD"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ירד</w:t>
      </w:r>
      <w:r w:rsidRPr="00282ABD">
        <w:rPr>
          <w:rFonts w:hint="cs"/>
          <w:rtl/>
        </w:rPr>
        <w:t xml:space="preserve"> </w:t>
      </w:r>
      <w:r w:rsidRPr="008368C5">
        <w:rPr>
          <w:rFonts w:hint="cs"/>
          <w:b/>
          <w:bCs/>
          <w:rtl/>
        </w:rPr>
        <w:t xml:space="preserve">ברביע </w:t>
      </w:r>
      <w:r>
        <w:rPr>
          <w:rFonts w:hint="cs"/>
          <w:b/>
          <w:bCs/>
          <w:rtl/>
        </w:rPr>
        <w:t>השני</w:t>
      </w:r>
      <w:r w:rsidRPr="008368C5">
        <w:rPr>
          <w:rFonts w:hint="cs"/>
          <w:b/>
          <w:bCs/>
          <w:rtl/>
        </w:rPr>
        <w:t xml:space="preserve"> של שנת </w:t>
      </w:r>
      <w:r>
        <w:rPr>
          <w:rFonts w:hint="cs"/>
          <w:b/>
          <w:bCs/>
          <w:rtl/>
        </w:rPr>
        <w:t>2015</w:t>
      </w:r>
      <w:r>
        <w:rPr>
          <w:rFonts w:hint="cs"/>
          <w:rtl/>
        </w:rPr>
        <w:t xml:space="preserve"> </w:t>
      </w:r>
      <w:r w:rsidRPr="00282ABD">
        <w:rPr>
          <w:rFonts w:hint="cs"/>
          <w:rtl/>
        </w:rPr>
        <w:t>בכ-</w:t>
      </w:r>
      <w:r>
        <w:rPr>
          <w:rFonts w:hint="cs"/>
          <w:rtl/>
        </w:rPr>
        <w:t>2.3%</w:t>
      </w:r>
      <w:r w:rsidRPr="009F4FD0">
        <w:rPr>
          <w:rFonts w:hint="cs"/>
          <w:rtl/>
        </w:rPr>
        <w:t xml:space="preserve"> (</w:t>
      </w:r>
      <w:r>
        <w:rPr>
          <w:rFonts w:hint="cs"/>
          <w:rtl/>
        </w:rPr>
        <w:t>30</w:t>
      </w:r>
      <w:r w:rsidRPr="00282ABD">
        <w:rPr>
          <w:rFonts w:hint="cs"/>
          <w:rtl/>
        </w:rPr>
        <w:t xml:space="preserve"> מיליארדי ש"ח), </w:t>
      </w:r>
      <w:r>
        <w:rPr>
          <w:rFonts w:hint="cs"/>
          <w:rtl/>
        </w:rPr>
        <w:t>ועמד בסוף יוני על כ-1.32 טריליון ש</w:t>
      </w:r>
      <w:r>
        <w:rPr>
          <w:rtl/>
        </w:rPr>
        <w:t>"</w:t>
      </w:r>
      <w:r>
        <w:rPr>
          <w:rFonts w:hint="cs"/>
          <w:rtl/>
        </w:rPr>
        <w:t>ח.</w:t>
      </w:r>
    </w:p>
    <w:p w:rsidR="00675E10" w:rsidRDefault="00675E10" w:rsidP="00227572">
      <w:pPr>
        <w:spacing w:line="360" w:lineRule="auto"/>
      </w:pPr>
      <w:r w:rsidRPr="00282ABD">
        <w:rPr>
          <w:rFonts w:hint="cs"/>
          <w:rtl/>
        </w:rPr>
        <w:t xml:space="preserve">עיקר </w:t>
      </w:r>
      <w:r>
        <w:rPr>
          <w:rFonts w:hint="cs"/>
          <w:rtl/>
        </w:rPr>
        <w:t>הירידה</w:t>
      </w:r>
      <w:r w:rsidR="00EA204C">
        <w:rPr>
          <w:rFonts w:hint="cs"/>
          <w:rtl/>
        </w:rPr>
        <w:t xml:space="preserve"> נרשמה בשווי</w:t>
      </w:r>
      <w:r w:rsidRPr="00282ABD">
        <w:rPr>
          <w:rFonts w:hint="cs"/>
          <w:rtl/>
        </w:rPr>
        <w:t xml:space="preserve"> </w:t>
      </w:r>
      <w:r w:rsidRPr="0032478B">
        <w:rPr>
          <w:rFonts w:hint="cs"/>
          <w:rtl/>
        </w:rPr>
        <w:t>אג"ח הממשלתיות</w:t>
      </w:r>
      <w:r>
        <w:rPr>
          <w:rFonts w:hint="cs"/>
          <w:rtl/>
        </w:rPr>
        <w:t xml:space="preserve"> הלא סחירות</w:t>
      </w:r>
      <w:r w:rsidRPr="0032478B">
        <w:rPr>
          <w:rFonts w:hint="cs"/>
          <w:rtl/>
        </w:rPr>
        <w:t xml:space="preserve"> </w:t>
      </w:r>
      <w:r>
        <w:rPr>
          <w:rFonts w:hint="cs"/>
          <w:rtl/>
        </w:rPr>
        <w:t xml:space="preserve">בקרנות הפנסיה הוותיקות - עדכון כלפי מטה של השווי ההוגן של כספי הסיוע של הממשלה, כתוצאה </w:t>
      </w:r>
      <w:r w:rsidR="00227572">
        <w:rPr>
          <w:rFonts w:hint="cs"/>
          <w:rtl/>
        </w:rPr>
        <w:t>מעלייה</w:t>
      </w:r>
      <w:r>
        <w:rPr>
          <w:rFonts w:hint="cs"/>
          <w:rtl/>
        </w:rPr>
        <w:t xml:space="preserve"> </w:t>
      </w:r>
      <w:r w:rsidR="00227572">
        <w:rPr>
          <w:rFonts w:hint="cs"/>
          <w:rtl/>
        </w:rPr>
        <w:t>בווקטור הריביות.</w:t>
      </w:r>
      <w:r>
        <w:rPr>
          <w:rFonts w:hint="cs"/>
          <w:rtl/>
        </w:rPr>
        <w:t xml:space="preserve"> בנוסף חלה ירידה גם באג"ח הממשלתיות הסחירות ובמק"מ (כ-12 מיליארדים), וביתרת המניות בחו"ל (4.3 מיליארדים).</w:t>
      </w:r>
    </w:p>
    <w:p w:rsidR="00283B13" w:rsidRDefault="00F126E7" w:rsidP="00675E10">
      <w:pPr>
        <w:tabs>
          <w:tab w:val="left" w:pos="4928"/>
        </w:tabs>
        <w:spacing w:line="360" w:lineRule="auto"/>
        <w:rPr>
          <w:b/>
          <w:bCs/>
          <w:u w:val="single"/>
          <w:rtl/>
        </w:rPr>
      </w:pPr>
      <w:r w:rsidRPr="00C455B2">
        <w:rPr>
          <w:rFonts w:hint="cs"/>
          <w:b/>
          <w:bCs/>
          <w:rtl/>
        </w:rPr>
        <w:lastRenderedPageBreak/>
        <w:t xml:space="preserve">משקלו של התיק המנוהל </w:t>
      </w:r>
      <w:r w:rsidRPr="00C455B2">
        <w:rPr>
          <w:rFonts w:hint="cs"/>
          <w:rtl/>
        </w:rPr>
        <w:t xml:space="preserve">ע"י המוסדיים בסך תיק הנכסים של הציבור </w:t>
      </w:r>
      <w:r w:rsidR="00675E10">
        <w:rPr>
          <w:rFonts w:hint="cs"/>
          <w:rtl/>
        </w:rPr>
        <w:t>נותר ללא שינוי במהלך הרביע ועמד בסוף יוני על כ-40.5%.</w:t>
      </w:r>
      <w:r w:rsidR="00675E10">
        <w:rPr>
          <w:noProof/>
          <w:rtl/>
          <w:lang w:eastAsia="en-US"/>
        </w:rPr>
        <w:drawing>
          <wp:inline distT="0" distB="0" distL="0" distR="0" wp14:anchorId="3B09BB8E" wp14:editId="7F6D190A">
            <wp:extent cx="5220000" cy="3184610"/>
            <wp:effectExtent l="0" t="0" r="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18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A44" w:rsidRDefault="00D37A44" w:rsidP="0020778C">
      <w:pPr>
        <w:spacing w:line="360" w:lineRule="auto"/>
        <w:rPr>
          <w:b/>
          <w:bCs/>
          <w:rtl/>
        </w:rPr>
      </w:pPr>
    </w:p>
    <w:p w:rsidR="00C77624" w:rsidRDefault="00C77624" w:rsidP="0020778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חשיפת</w:t>
      </w:r>
      <w:r w:rsidR="00794343">
        <w:rPr>
          <w:rStyle w:val="a4"/>
          <w:b/>
          <w:bCs/>
          <w:rtl/>
        </w:rPr>
        <w:footnoteReference w:id="1"/>
      </w:r>
      <w:r>
        <w:rPr>
          <w:rFonts w:hint="cs"/>
          <w:b/>
          <w:bCs/>
          <w:rtl/>
        </w:rPr>
        <w:t xml:space="preserve"> התיק המנוהל ע"י </w:t>
      </w:r>
      <w:r w:rsidR="008624F8">
        <w:rPr>
          <w:rFonts w:hint="cs"/>
          <w:b/>
          <w:bCs/>
          <w:rtl/>
        </w:rPr>
        <w:t xml:space="preserve">הגופים </w:t>
      </w:r>
      <w:r>
        <w:rPr>
          <w:rFonts w:hint="cs"/>
          <w:b/>
          <w:bCs/>
          <w:rtl/>
        </w:rPr>
        <w:t>המוסדיים לנכסים זרים ולמט"ח -</w:t>
      </w:r>
    </w:p>
    <w:p w:rsidR="00540E7C" w:rsidRPr="004E6F8F" w:rsidRDefault="00540E7C" w:rsidP="00540E7C">
      <w:pPr>
        <w:spacing w:line="360" w:lineRule="auto"/>
        <w:rPr>
          <w:rtl/>
        </w:rPr>
      </w:pPr>
      <w:r w:rsidRPr="004E6F8F">
        <w:rPr>
          <w:rFonts w:hint="cs"/>
          <w:rtl/>
        </w:rPr>
        <w:t xml:space="preserve">ברביע השני נמשך הגידול </w:t>
      </w:r>
      <w:r w:rsidRPr="004E6F8F">
        <w:rPr>
          <w:rFonts w:hint="cs"/>
          <w:b/>
          <w:bCs/>
          <w:rtl/>
        </w:rPr>
        <w:t xml:space="preserve">בשווי יתרת הנכסים הזרים של </w:t>
      </w:r>
      <w:r w:rsidR="008624F8">
        <w:rPr>
          <w:rFonts w:hint="cs"/>
          <w:b/>
          <w:bCs/>
          <w:rtl/>
        </w:rPr>
        <w:t xml:space="preserve">הגופים </w:t>
      </w:r>
      <w:r w:rsidRPr="004E6F8F">
        <w:rPr>
          <w:rFonts w:hint="cs"/>
          <w:b/>
          <w:bCs/>
          <w:rtl/>
        </w:rPr>
        <w:t>המוסדיים</w:t>
      </w:r>
      <w:r w:rsidRPr="004E6F8F">
        <w:rPr>
          <w:rFonts w:hint="cs"/>
          <w:rtl/>
        </w:rPr>
        <w:t xml:space="preserve"> ועמד בסוף יוני על כ-80 מיליארדי </w:t>
      </w:r>
      <w:r>
        <w:rPr>
          <w:rFonts w:hint="cs"/>
          <w:rtl/>
        </w:rPr>
        <w:t>דולרים</w:t>
      </w:r>
      <w:r w:rsidRPr="004E6F8F">
        <w:rPr>
          <w:rFonts w:hint="cs"/>
          <w:rtl/>
        </w:rPr>
        <w:t xml:space="preserve">. שיעור החשיפה לנכסים </w:t>
      </w:r>
      <w:r w:rsidRPr="00D92229">
        <w:rPr>
          <w:rFonts w:hint="cs"/>
          <w:u w:val="single"/>
          <w:rtl/>
        </w:rPr>
        <w:t>זרים</w:t>
      </w:r>
      <w:r w:rsidRPr="004E6F8F">
        <w:rPr>
          <w:rFonts w:hint="cs"/>
          <w:rtl/>
        </w:rPr>
        <w:t xml:space="preserve"> עלה מעט ועמד בסוף יוני על כ- 24.5% מהתיק.</w:t>
      </w:r>
    </w:p>
    <w:p w:rsidR="00540E7C" w:rsidRDefault="00540E7C" w:rsidP="008624F8">
      <w:pPr>
        <w:tabs>
          <w:tab w:val="left" w:pos="9598"/>
        </w:tabs>
        <w:spacing w:line="360" w:lineRule="auto"/>
        <w:jc w:val="both"/>
        <w:outlineLvl w:val="0"/>
        <w:rPr>
          <w:b/>
          <w:bCs/>
          <w:rtl/>
        </w:rPr>
      </w:pPr>
      <w:r>
        <w:rPr>
          <w:rFonts w:hint="cs"/>
          <w:rtl/>
        </w:rPr>
        <w:t xml:space="preserve">השינוי המשמעותי ביותר, במהלך הרביע השני, התרכז </w:t>
      </w:r>
      <w:r w:rsidR="008624F8">
        <w:rPr>
          <w:rFonts w:hint="cs"/>
          <w:rtl/>
        </w:rPr>
        <w:t xml:space="preserve">בקרנות </w:t>
      </w:r>
      <w:r>
        <w:rPr>
          <w:rFonts w:hint="cs"/>
          <w:rtl/>
        </w:rPr>
        <w:t xml:space="preserve">הפנסיה החדשות שהגדילו את היקף חשיפתן לנכסים זרים </w:t>
      </w:r>
      <w:proofErr w:type="spellStart"/>
      <w:r>
        <w:rPr>
          <w:rFonts w:hint="cs"/>
          <w:rtl/>
        </w:rPr>
        <w:t>בכ</w:t>
      </w:r>
      <w:proofErr w:type="spellEnd"/>
      <w:r>
        <w:rPr>
          <w:rFonts w:hint="cs"/>
          <w:rtl/>
        </w:rPr>
        <w:t xml:space="preserve">- 0.4 נקודות האחוז עד לרמה של כ-30.2%. מנגד, שאר </w:t>
      </w:r>
      <w:r w:rsidR="008624F8">
        <w:rPr>
          <w:rFonts w:hint="cs"/>
          <w:rtl/>
        </w:rPr>
        <w:t xml:space="preserve">הגופים נותרו </w:t>
      </w:r>
      <w:r>
        <w:rPr>
          <w:rFonts w:hint="cs"/>
          <w:rtl/>
        </w:rPr>
        <w:t>ברמת חשיפה דומה לרביע קודם.</w:t>
      </w:r>
    </w:p>
    <w:p w:rsidR="000A51C9" w:rsidRPr="00376947" w:rsidRDefault="00784141" w:rsidP="007053B0">
      <w:pPr>
        <w:tabs>
          <w:tab w:val="left" w:pos="9598"/>
        </w:tabs>
        <w:spacing w:line="360" w:lineRule="auto"/>
        <w:jc w:val="both"/>
        <w:outlineLvl w:val="0"/>
        <w:rPr>
          <w:rtl/>
        </w:rPr>
      </w:pPr>
      <w:r w:rsidRPr="007F052C">
        <w:rPr>
          <w:rFonts w:hint="cs"/>
          <w:b/>
          <w:bCs/>
          <w:rtl/>
        </w:rPr>
        <w:t>בחשיפה למט"ח,</w:t>
      </w:r>
      <w:r>
        <w:rPr>
          <w:rFonts w:hint="cs"/>
          <w:rtl/>
        </w:rPr>
        <w:t xml:space="preserve"> הנמדדת ע"י משקל הנכסים הנקובים והצמודים למט"ח (כולל נגזרים)</w:t>
      </w:r>
      <w:r w:rsidRPr="00942B77">
        <w:rPr>
          <w:rFonts w:hint="cs"/>
          <w:rtl/>
        </w:rPr>
        <w:t xml:space="preserve"> </w:t>
      </w:r>
      <w:r w:rsidR="007053B0">
        <w:rPr>
          <w:rFonts w:hint="cs"/>
          <w:rtl/>
        </w:rPr>
        <w:t xml:space="preserve">מסך כל הנכסים של המשקיעים המוסדיים, </w:t>
      </w:r>
      <w:r w:rsidR="007F052C">
        <w:rPr>
          <w:rFonts w:hint="cs"/>
          <w:rtl/>
        </w:rPr>
        <w:t>לא חל שינוי משמעותי</w:t>
      </w:r>
      <w:r w:rsidR="007053B0">
        <w:rPr>
          <w:rFonts w:hint="cs"/>
          <w:rtl/>
        </w:rPr>
        <w:t>,</w:t>
      </w:r>
      <w:r w:rsidR="007F052C">
        <w:rPr>
          <w:rFonts w:hint="cs"/>
          <w:rtl/>
        </w:rPr>
        <w:t xml:space="preserve"> וה</w:t>
      </w:r>
      <w:r w:rsidR="007053B0">
        <w:rPr>
          <w:rFonts w:hint="cs"/>
          <w:rtl/>
        </w:rPr>
        <w:t>י</w:t>
      </w:r>
      <w:r w:rsidR="007F052C">
        <w:rPr>
          <w:rFonts w:hint="cs"/>
          <w:rtl/>
        </w:rPr>
        <w:t>א עמד</w:t>
      </w:r>
      <w:r w:rsidR="007053B0">
        <w:rPr>
          <w:rFonts w:hint="cs"/>
          <w:rtl/>
        </w:rPr>
        <w:t>ה</w:t>
      </w:r>
      <w:r w:rsidR="007F052C">
        <w:rPr>
          <w:rFonts w:hint="cs"/>
          <w:rtl/>
        </w:rPr>
        <w:t xml:space="preserve"> בסוף </w:t>
      </w:r>
      <w:r w:rsidR="00E122B8">
        <w:rPr>
          <w:rFonts w:hint="cs"/>
          <w:rtl/>
        </w:rPr>
        <w:t>יוני</w:t>
      </w:r>
      <w:r w:rsidR="007F052C">
        <w:rPr>
          <w:rFonts w:hint="cs"/>
          <w:rtl/>
        </w:rPr>
        <w:t xml:space="preserve"> על 14.4</w:t>
      </w:r>
      <w:r w:rsidR="007F052C" w:rsidRPr="003A0392">
        <w:rPr>
          <w:rFonts w:hint="cs"/>
          <w:rtl/>
        </w:rPr>
        <w:t>%</w:t>
      </w:r>
      <w:r w:rsidR="007F052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540E7C">
        <w:rPr>
          <w:rFonts w:hint="cs"/>
          <w:rtl/>
        </w:rPr>
        <w:t xml:space="preserve">חברות הביטוח וקרנות הפנסיה החדשות הגדילו </w:t>
      </w:r>
      <w:r w:rsidR="00540E7C" w:rsidRPr="006848A2">
        <w:rPr>
          <w:rFonts w:hint="cs"/>
          <w:u w:val="single"/>
          <w:rtl/>
        </w:rPr>
        <w:t>בממוצע</w:t>
      </w:r>
      <w:r w:rsidR="00540E7C">
        <w:rPr>
          <w:rFonts w:hint="cs"/>
          <w:rtl/>
        </w:rPr>
        <w:t xml:space="preserve"> את חשיפתן לשינויים </w:t>
      </w:r>
      <w:proofErr w:type="spellStart"/>
      <w:r w:rsidR="00540E7C">
        <w:rPr>
          <w:rFonts w:hint="cs"/>
          <w:rtl/>
        </w:rPr>
        <w:t>בשע"ח</w:t>
      </w:r>
      <w:proofErr w:type="spellEnd"/>
      <w:r w:rsidR="00540E7C">
        <w:rPr>
          <w:rFonts w:hint="cs"/>
          <w:rtl/>
        </w:rPr>
        <w:t xml:space="preserve"> </w:t>
      </w:r>
      <w:proofErr w:type="spellStart"/>
      <w:r w:rsidR="00540E7C">
        <w:rPr>
          <w:rFonts w:hint="cs"/>
          <w:rtl/>
        </w:rPr>
        <w:t>בכ</w:t>
      </w:r>
      <w:proofErr w:type="spellEnd"/>
      <w:r w:rsidR="00540E7C">
        <w:rPr>
          <w:rFonts w:hint="cs"/>
          <w:rtl/>
        </w:rPr>
        <w:t>- 0.5 נקודות האחוז. מנגד</w:t>
      </w:r>
      <w:r w:rsidR="00540E7C" w:rsidRPr="00B96F02">
        <w:rPr>
          <w:rFonts w:hint="cs"/>
          <w:rtl/>
        </w:rPr>
        <w:t>,</w:t>
      </w:r>
      <w:r w:rsidR="00540E7C">
        <w:rPr>
          <w:rFonts w:hint="cs"/>
          <w:color w:val="000080"/>
          <w:sz w:val="28"/>
          <w:szCs w:val="28"/>
          <w:rtl/>
        </w:rPr>
        <w:t xml:space="preserve"> </w:t>
      </w:r>
      <w:r w:rsidR="00540E7C">
        <w:rPr>
          <w:rFonts w:hint="cs"/>
          <w:rtl/>
        </w:rPr>
        <w:t xml:space="preserve">קופות הגמל וההשתלמות הקטינו את חשיפתן במהלך הרביע בכ-0.4 </w:t>
      </w:r>
      <w:r w:rsidR="00540E7C" w:rsidRPr="00376947">
        <w:rPr>
          <w:rFonts w:hint="cs"/>
          <w:rtl/>
        </w:rPr>
        <w:t>נקודות אחוז.</w:t>
      </w:r>
    </w:p>
    <w:p w:rsidR="00540E7C" w:rsidRPr="00540E7C" w:rsidRDefault="00A21D66" w:rsidP="00CB6A1B">
      <w:pPr>
        <w:spacing w:line="360" w:lineRule="auto"/>
        <w:ind w:right="57"/>
        <w:rPr>
          <w:rtl/>
        </w:rPr>
      </w:pPr>
      <w:r w:rsidRPr="00376947">
        <w:rPr>
          <w:rFonts w:hint="cs"/>
          <w:rtl/>
        </w:rPr>
        <w:t>מנתוני</w:t>
      </w:r>
      <w:r w:rsidRPr="00376947">
        <w:rPr>
          <w:rFonts w:hint="cs"/>
          <w:b/>
          <w:bCs/>
          <w:rtl/>
        </w:rPr>
        <w:t xml:space="preserve"> התנועות נטו </w:t>
      </w:r>
      <w:r w:rsidR="007F052C" w:rsidRPr="00376947">
        <w:rPr>
          <w:rFonts w:hint="cs"/>
          <w:rtl/>
        </w:rPr>
        <w:t xml:space="preserve">עולה כי </w:t>
      </w:r>
      <w:r w:rsidR="00540E7C" w:rsidRPr="00376947">
        <w:rPr>
          <w:rFonts w:hint="cs"/>
          <w:rtl/>
        </w:rPr>
        <w:t>במהלך הרביע השני המשקיעים המוסדיים המשיכו לגדר</w:t>
      </w:r>
      <w:r w:rsidR="00CB6A1B" w:rsidRPr="00376947">
        <w:rPr>
          <w:rFonts w:hint="cs"/>
          <w:rtl/>
        </w:rPr>
        <w:t xml:space="preserve"> חלקית את השקעותיהם בנכסי מט"ח</w:t>
      </w:r>
      <w:r w:rsidR="00540E7C" w:rsidRPr="00376947">
        <w:t>;</w:t>
      </w:r>
      <w:r w:rsidR="00540E7C" w:rsidRPr="00376947">
        <w:rPr>
          <w:rFonts w:hint="cs"/>
          <w:rtl/>
        </w:rPr>
        <w:t xml:space="preserve"> השקיעו כ-1.4 מיליארדי דולרים בנכסים </w:t>
      </w:r>
      <w:r w:rsidR="00CB6A1B" w:rsidRPr="00376947">
        <w:rPr>
          <w:rFonts w:hint="cs"/>
          <w:rtl/>
        </w:rPr>
        <w:t>הנקובים והצמודים למט"ח</w:t>
      </w:r>
      <w:r w:rsidR="00540E7C" w:rsidRPr="00376947">
        <w:rPr>
          <w:rFonts w:hint="cs"/>
          <w:rtl/>
        </w:rPr>
        <w:t xml:space="preserve"> ומנגד מכרו מט"ח נטו באמצעות מכשירים נגזרים בהיקף של כ-1.2 מיליארדי דולרים.</w:t>
      </w:r>
    </w:p>
    <w:p w:rsidR="001A095A" w:rsidRPr="005B0531" w:rsidRDefault="001A095A" w:rsidP="00540E7C">
      <w:pPr>
        <w:spacing w:line="360" w:lineRule="auto"/>
        <w:ind w:right="57"/>
        <w:jc w:val="both"/>
        <w:rPr>
          <w:rFonts w:asciiTheme="minorHAnsi" w:hAnsiTheme="minorHAnsi"/>
          <w:rtl/>
        </w:rPr>
      </w:pPr>
    </w:p>
    <w:tbl>
      <w:tblPr>
        <w:tblStyle w:val="ad"/>
        <w:bidiVisual/>
        <w:tblW w:w="9215" w:type="dxa"/>
        <w:tblInd w:w="-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51"/>
      </w:tblGrid>
      <w:tr w:rsidR="00207B9F" w:rsidRPr="00207B9F" w:rsidTr="001A095A">
        <w:tc>
          <w:tcPr>
            <w:tcW w:w="4820" w:type="dxa"/>
          </w:tcPr>
          <w:p w:rsidR="00207B9F" w:rsidRPr="00207B9F" w:rsidRDefault="00540E7C" w:rsidP="006769C7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5D291B00" wp14:editId="0CFDACF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-3810</wp:posOffset>
                  </wp:positionV>
                  <wp:extent cx="2879725" cy="1881505"/>
                  <wp:effectExtent l="0" t="0" r="0" b="4445"/>
                  <wp:wrapSquare wrapText="bothSides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</w:tcPr>
          <w:p w:rsidR="00207B9F" w:rsidRPr="00207B9F" w:rsidRDefault="00867185" w:rsidP="006769C7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5408" behindDoc="0" locked="0" layoutInCell="1" allowOverlap="1" wp14:anchorId="7AE12AA9" wp14:editId="2B2E98A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-3810</wp:posOffset>
                  </wp:positionV>
                  <wp:extent cx="2879725" cy="1881505"/>
                  <wp:effectExtent l="0" t="0" r="0" b="4445"/>
                  <wp:wrapSquare wrapText="bothSides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F0DC3" w:rsidRDefault="002F0DC3" w:rsidP="008F6E2B">
      <w:pPr>
        <w:tabs>
          <w:tab w:val="left" w:pos="4928"/>
        </w:tabs>
        <w:spacing w:line="360" w:lineRule="auto"/>
        <w:jc w:val="both"/>
        <w:rPr>
          <w:b/>
          <w:bCs/>
          <w:rtl/>
        </w:rPr>
      </w:pPr>
    </w:p>
    <w:p w:rsidR="007D09A4" w:rsidRDefault="002F0DC3" w:rsidP="008F6E2B">
      <w:pPr>
        <w:tabs>
          <w:tab w:val="left" w:pos="4928"/>
        </w:tabs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 xml:space="preserve">4. </w:t>
      </w:r>
      <w:r w:rsidR="009B2E23">
        <w:rPr>
          <w:rFonts w:hint="cs"/>
          <w:b/>
          <w:bCs/>
          <w:u w:val="single"/>
          <w:rtl/>
        </w:rPr>
        <w:t xml:space="preserve">התיק המנוהל באמצעות </w:t>
      </w:r>
      <w:r w:rsidR="0094399B" w:rsidRPr="009530C6">
        <w:rPr>
          <w:rFonts w:hint="cs"/>
          <w:b/>
          <w:bCs/>
          <w:u w:val="single"/>
          <w:rtl/>
        </w:rPr>
        <w:t xml:space="preserve">קרנות </w:t>
      </w:r>
      <w:r w:rsidR="0027681B" w:rsidRPr="009530C6">
        <w:rPr>
          <w:rFonts w:hint="cs"/>
          <w:b/>
          <w:bCs/>
          <w:u w:val="single"/>
          <w:rtl/>
        </w:rPr>
        <w:t>ה</w:t>
      </w:r>
      <w:r w:rsidR="0094399B" w:rsidRPr="009530C6">
        <w:rPr>
          <w:rFonts w:hint="cs"/>
          <w:b/>
          <w:bCs/>
          <w:u w:val="single"/>
          <w:rtl/>
        </w:rPr>
        <w:t>נאמנות</w:t>
      </w:r>
      <w:r w:rsidR="00AC1D6B">
        <w:rPr>
          <w:rFonts w:hint="cs"/>
          <w:b/>
          <w:bCs/>
          <w:rtl/>
        </w:rPr>
        <w:t xml:space="preserve"> </w:t>
      </w:r>
    </w:p>
    <w:p w:rsidR="002F0DC3" w:rsidRDefault="002F0DC3" w:rsidP="005E5748">
      <w:pPr>
        <w:spacing w:line="360" w:lineRule="auto"/>
        <w:jc w:val="both"/>
        <w:rPr>
          <w:rtl/>
        </w:rPr>
      </w:pPr>
    </w:p>
    <w:p w:rsidR="00BD3B89" w:rsidRDefault="001A43E9" w:rsidP="00870A61">
      <w:pPr>
        <w:spacing w:line="360" w:lineRule="auto"/>
        <w:jc w:val="both"/>
        <w:rPr>
          <w:b/>
          <w:bCs/>
          <w:rtl/>
        </w:rPr>
      </w:pPr>
      <w:r>
        <w:rPr>
          <w:rFonts w:hint="cs"/>
          <w:rtl/>
        </w:rPr>
        <w:t xml:space="preserve">היקף התיק המנוהל באמצעות קרנות נאמנות </w:t>
      </w:r>
      <w:r w:rsidR="000A689F">
        <w:rPr>
          <w:rFonts w:hint="cs"/>
          <w:rtl/>
        </w:rPr>
        <w:t xml:space="preserve">ישראליות </w:t>
      </w:r>
      <w:r>
        <w:rPr>
          <w:rFonts w:hint="cs"/>
          <w:rtl/>
        </w:rPr>
        <w:t>עמד</w:t>
      </w:r>
      <w:r w:rsidR="00764A0A">
        <w:rPr>
          <w:rFonts w:hint="cs"/>
          <w:rtl/>
        </w:rPr>
        <w:t xml:space="preserve"> </w:t>
      </w:r>
      <w:r w:rsidR="00455C2A">
        <w:rPr>
          <w:rFonts w:hint="cs"/>
          <w:rtl/>
        </w:rPr>
        <w:t>ב</w:t>
      </w:r>
      <w:r w:rsidR="00F83CE7">
        <w:rPr>
          <w:rFonts w:hint="cs"/>
          <w:rtl/>
        </w:rPr>
        <w:t xml:space="preserve">סוף </w:t>
      </w:r>
      <w:r w:rsidR="00E122B8">
        <w:rPr>
          <w:rFonts w:hint="cs"/>
          <w:rtl/>
        </w:rPr>
        <w:t>יוני</w:t>
      </w:r>
      <w:r w:rsidR="00872C40">
        <w:rPr>
          <w:rFonts w:hint="cs"/>
          <w:rtl/>
        </w:rPr>
        <w:t xml:space="preserve"> </w:t>
      </w:r>
      <w:r w:rsidR="007F052C">
        <w:rPr>
          <w:rFonts w:hint="cs"/>
          <w:rtl/>
        </w:rPr>
        <w:t>2015</w:t>
      </w:r>
      <w:r w:rsidR="00872C40">
        <w:rPr>
          <w:rFonts w:hint="cs"/>
          <w:rtl/>
        </w:rPr>
        <w:t xml:space="preserve"> </w:t>
      </w:r>
      <w:r w:rsidR="00764A0A">
        <w:rPr>
          <w:rFonts w:hint="cs"/>
          <w:rtl/>
        </w:rPr>
        <w:t>על</w:t>
      </w:r>
      <w:r w:rsidR="0020778C">
        <w:rPr>
          <w:rFonts w:hint="cs"/>
          <w:rtl/>
        </w:rPr>
        <w:t xml:space="preserve"> כ-</w:t>
      </w:r>
      <w:r w:rsidR="00870A61">
        <w:rPr>
          <w:rFonts w:hint="cs"/>
          <w:rtl/>
        </w:rPr>
        <w:t xml:space="preserve">247 </w:t>
      </w:r>
      <w:r>
        <w:rPr>
          <w:rFonts w:hint="cs"/>
          <w:rtl/>
        </w:rPr>
        <w:t xml:space="preserve">מיליארדי </w:t>
      </w:r>
      <w:r w:rsidR="00FD22C6" w:rsidRPr="005E5748">
        <w:rPr>
          <w:rFonts w:hint="cs"/>
          <w:rtl/>
        </w:rPr>
        <w:t>ש</w:t>
      </w:r>
      <w:r w:rsidR="00FD22C6" w:rsidRPr="005E5748">
        <w:rPr>
          <w:rtl/>
        </w:rPr>
        <w:t>"</w:t>
      </w:r>
      <w:r w:rsidR="00FD22C6" w:rsidRPr="005E5748">
        <w:rPr>
          <w:rFonts w:hint="cs"/>
          <w:rtl/>
        </w:rPr>
        <w:t>ח</w:t>
      </w:r>
      <w:r w:rsidR="000D4218">
        <w:rPr>
          <w:rFonts w:hint="cs"/>
          <w:rtl/>
        </w:rPr>
        <w:t>,</w:t>
      </w:r>
      <w:r>
        <w:rPr>
          <w:rFonts w:hint="cs"/>
          <w:rtl/>
        </w:rPr>
        <w:t xml:space="preserve"> כ-</w:t>
      </w:r>
      <w:r w:rsidR="007F052C">
        <w:rPr>
          <w:rFonts w:hint="cs"/>
          <w:rtl/>
        </w:rPr>
        <w:t>7.</w:t>
      </w:r>
      <w:r w:rsidR="00870A61">
        <w:rPr>
          <w:rFonts w:hint="cs"/>
          <w:rtl/>
        </w:rPr>
        <w:t>5</w:t>
      </w:r>
      <w:r>
        <w:rPr>
          <w:rFonts w:hint="cs"/>
          <w:rtl/>
        </w:rPr>
        <w:t xml:space="preserve">% מסך תיק הנכסים של </w:t>
      </w:r>
      <w:r w:rsidRPr="009C5E5D">
        <w:rPr>
          <w:rFonts w:hint="cs"/>
          <w:rtl/>
        </w:rPr>
        <w:t>הציבור</w:t>
      </w:r>
      <w:r w:rsidR="00DB2F69" w:rsidRPr="009C5E5D">
        <w:rPr>
          <w:rFonts w:hint="cs"/>
          <w:rtl/>
        </w:rPr>
        <w:t xml:space="preserve"> וכ-</w:t>
      </w:r>
      <w:r w:rsidR="007F052C">
        <w:rPr>
          <w:rFonts w:hint="cs"/>
          <w:rtl/>
        </w:rPr>
        <w:t>14.</w:t>
      </w:r>
      <w:r w:rsidR="00870A61">
        <w:rPr>
          <w:rFonts w:hint="cs"/>
          <w:rtl/>
        </w:rPr>
        <w:t>3</w:t>
      </w:r>
      <w:r w:rsidR="00DB2F69" w:rsidRPr="009C5E5D">
        <w:rPr>
          <w:rFonts w:hint="cs"/>
          <w:rtl/>
        </w:rPr>
        <w:t>% מהתיק</w:t>
      </w:r>
      <w:r w:rsidR="00DB2F69">
        <w:rPr>
          <w:rFonts w:hint="cs"/>
          <w:rtl/>
        </w:rPr>
        <w:t xml:space="preserve"> הסחיר</w:t>
      </w:r>
      <w:r w:rsidR="0027681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237F8" w:rsidRDefault="007F052C" w:rsidP="008624F8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 xml:space="preserve">ברביע </w:t>
      </w:r>
      <w:r w:rsidR="00870A61">
        <w:rPr>
          <w:rFonts w:hint="cs"/>
          <w:b/>
          <w:bCs/>
          <w:rtl/>
        </w:rPr>
        <w:t>השני</w:t>
      </w:r>
      <w:r>
        <w:rPr>
          <w:rFonts w:hint="cs"/>
          <w:b/>
          <w:bCs/>
          <w:rtl/>
        </w:rPr>
        <w:t xml:space="preserve"> של שנת 2015, נמשכת מגמת</w:t>
      </w:r>
      <w:r w:rsidR="007D09A4" w:rsidRPr="007D09A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</w:t>
      </w:r>
      <w:r w:rsidR="007D09A4" w:rsidRPr="007D09A4">
        <w:rPr>
          <w:rFonts w:hint="cs"/>
          <w:b/>
          <w:bCs/>
          <w:rtl/>
        </w:rPr>
        <w:t>פדיונות נטו</w:t>
      </w:r>
      <w:r w:rsidR="006F3F52">
        <w:rPr>
          <w:rFonts w:hint="cs"/>
          <w:b/>
          <w:bCs/>
          <w:rtl/>
        </w:rPr>
        <w:t xml:space="preserve"> </w:t>
      </w:r>
      <w:r w:rsidR="006F3F52">
        <w:rPr>
          <w:rFonts w:hint="cs"/>
          <w:rtl/>
        </w:rPr>
        <w:t xml:space="preserve">(עודף פדיונות על הנפקות, בניכוי דיבידנד), </w:t>
      </w:r>
      <w:r w:rsidR="007D09A4">
        <w:rPr>
          <w:rFonts w:hint="cs"/>
          <w:rtl/>
        </w:rPr>
        <w:t xml:space="preserve">זאת בהמשך למגמת הירידה בצבירות נטו מאז הרביע השני </w:t>
      </w:r>
      <w:r w:rsidR="00874FDB">
        <w:rPr>
          <w:rFonts w:hint="cs"/>
          <w:rtl/>
        </w:rPr>
        <w:t>של שנת 2014</w:t>
      </w:r>
      <w:r w:rsidR="007D09A4" w:rsidRPr="006F3F52">
        <w:rPr>
          <w:rFonts w:hint="cs"/>
          <w:rtl/>
        </w:rPr>
        <w:t>.</w:t>
      </w:r>
      <w:r w:rsidR="006F3F52" w:rsidRPr="006F3F52">
        <w:rPr>
          <w:rFonts w:hint="cs"/>
          <w:rtl/>
        </w:rPr>
        <w:t xml:space="preserve"> כתוצאה </w:t>
      </w:r>
      <w:r w:rsidR="00874FDB">
        <w:rPr>
          <w:rFonts w:hint="cs"/>
          <w:rtl/>
        </w:rPr>
        <w:t xml:space="preserve">משילוב </w:t>
      </w:r>
      <w:r w:rsidR="006F3F52" w:rsidRPr="006F3F52">
        <w:rPr>
          <w:rFonts w:hint="cs"/>
          <w:rtl/>
        </w:rPr>
        <w:t>הפדיונות</w:t>
      </w:r>
      <w:r w:rsidR="006F3F52">
        <w:rPr>
          <w:rFonts w:hint="cs"/>
          <w:rtl/>
        </w:rPr>
        <w:t xml:space="preserve"> נטו </w:t>
      </w:r>
      <w:r w:rsidR="00870A61">
        <w:rPr>
          <w:rFonts w:hint="cs"/>
          <w:rtl/>
        </w:rPr>
        <w:t>וירידת</w:t>
      </w:r>
      <w:r w:rsidR="006F3F52">
        <w:rPr>
          <w:rFonts w:hint="cs"/>
          <w:rtl/>
        </w:rPr>
        <w:t xml:space="preserve"> מחירי הנכסים</w:t>
      </w:r>
      <w:r w:rsidR="00874FDB">
        <w:rPr>
          <w:rFonts w:hint="cs"/>
          <w:rtl/>
        </w:rPr>
        <w:t>,</w:t>
      </w:r>
      <w:r w:rsidR="006F3F52">
        <w:rPr>
          <w:rFonts w:hint="cs"/>
          <w:rtl/>
        </w:rPr>
        <w:t xml:space="preserve"> </w:t>
      </w:r>
      <w:r w:rsidR="00870A61">
        <w:rPr>
          <w:rFonts w:hint="cs"/>
          <w:rtl/>
        </w:rPr>
        <w:t xml:space="preserve">ירדו </w:t>
      </w:r>
      <w:r w:rsidR="006F3F52" w:rsidRPr="00101362">
        <w:rPr>
          <w:rFonts w:hint="cs"/>
          <w:rtl/>
        </w:rPr>
        <w:t xml:space="preserve">שווי יתרות קרנות הנאמנות </w:t>
      </w:r>
      <w:r w:rsidR="00870A61">
        <w:rPr>
          <w:rFonts w:hint="cs"/>
          <w:rtl/>
        </w:rPr>
        <w:t>בכ-14.3 מיליארדי ש</w:t>
      </w:r>
      <w:r w:rsidR="00870A61">
        <w:rPr>
          <w:rtl/>
        </w:rPr>
        <w:t>"</w:t>
      </w:r>
      <w:r w:rsidR="00870A61">
        <w:rPr>
          <w:rFonts w:hint="cs"/>
          <w:rtl/>
        </w:rPr>
        <w:t>ח.</w:t>
      </w:r>
      <w:r w:rsidR="006F3F52">
        <w:rPr>
          <w:rFonts w:hint="cs"/>
          <w:rtl/>
        </w:rPr>
        <w:t xml:space="preserve"> </w:t>
      </w:r>
      <w:r w:rsidR="00A21D66" w:rsidRPr="00101362">
        <w:rPr>
          <w:rFonts w:hint="cs"/>
          <w:rtl/>
        </w:rPr>
        <w:t>מהתפלגות הקרנות לפי התמחויות עולה כי</w:t>
      </w:r>
      <w:r w:rsidR="00A21D66" w:rsidRPr="00101362">
        <w:rPr>
          <w:rFonts w:hint="cs"/>
          <w:b/>
          <w:bCs/>
          <w:rtl/>
        </w:rPr>
        <w:t xml:space="preserve"> </w:t>
      </w:r>
      <w:r w:rsidR="00A21D66">
        <w:rPr>
          <w:rFonts w:hint="cs"/>
          <w:rtl/>
        </w:rPr>
        <w:t>הפדיונות</w:t>
      </w:r>
      <w:r w:rsidR="00A21D66" w:rsidRPr="00101362">
        <w:rPr>
          <w:rFonts w:hint="cs"/>
          <w:rtl/>
        </w:rPr>
        <w:t xml:space="preserve"> נטו</w:t>
      </w:r>
      <w:r w:rsidR="00A21D66">
        <w:rPr>
          <w:rFonts w:hint="cs"/>
          <w:rtl/>
        </w:rPr>
        <w:t xml:space="preserve"> ברביע זה, התרכזו בנכסי הקרנות הכספיות (</w:t>
      </w:r>
      <w:r w:rsidR="00870A61">
        <w:rPr>
          <w:rFonts w:hint="cs"/>
          <w:rtl/>
        </w:rPr>
        <w:t>6.4</w:t>
      </w:r>
      <w:r w:rsidR="00A21D66" w:rsidRPr="00101362">
        <w:rPr>
          <w:rFonts w:hint="cs"/>
          <w:rtl/>
        </w:rPr>
        <w:t xml:space="preserve"> 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A21D66" w:rsidRPr="00101362">
        <w:rPr>
          <w:rFonts w:hint="cs"/>
          <w:rtl/>
        </w:rPr>
        <w:t xml:space="preserve">, </w:t>
      </w:r>
      <w:r w:rsidR="00870A61">
        <w:rPr>
          <w:rFonts w:hint="cs"/>
          <w:rtl/>
        </w:rPr>
        <w:t>17.2</w:t>
      </w:r>
      <w:r w:rsidR="00A21D66" w:rsidRPr="00101362">
        <w:rPr>
          <w:rFonts w:hint="cs"/>
          <w:rtl/>
        </w:rPr>
        <w:t>%</w:t>
      </w:r>
      <w:r w:rsidR="002237F8">
        <w:rPr>
          <w:rFonts w:hint="cs"/>
          <w:rtl/>
        </w:rPr>
        <w:t>-</w:t>
      </w:r>
      <w:r w:rsidR="00A21D66" w:rsidRPr="00101362">
        <w:rPr>
          <w:rFonts w:hint="cs"/>
          <w:rtl/>
        </w:rPr>
        <w:t>)</w:t>
      </w:r>
      <w:r w:rsidR="00870A61">
        <w:rPr>
          <w:rFonts w:hint="cs"/>
          <w:rtl/>
        </w:rPr>
        <w:t>,</w:t>
      </w:r>
      <w:r w:rsidR="00A21D66">
        <w:rPr>
          <w:rFonts w:hint="cs"/>
          <w:rtl/>
        </w:rPr>
        <w:t xml:space="preserve"> </w:t>
      </w:r>
      <w:r w:rsidR="00F7450B">
        <w:rPr>
          <w:rFonts w:hint="cs"/>
          <w:rtl/>
        </w:rPr>
        <w:t>ב</w:t>
      </w:r>
      <w:r w:rsidR="00A21D66">
        <w:rPr>
          <w:rFonts w:hint="cs"/>
          <w:rtl/>
        </w:rPr>
        <w:t xml:space="preserve">אג"ח </w:t>
      </w:r>
      <w:r w:rsidR="00F7450B">
        <w:rPr>
          <w:rFonts w:hint="cs"/>
          <w:rtl/>
        </w:rPr>
        <w:t>שקליות</w:t>
      </w:r>
      <w:r w:rsidR="002237F8">
        <w:rPr>
          <w:rFonts w:hint="cs"/>
          <w:rtl/>
        </w:rPr>
        <w:t xml:space="preserve"> (</w:t>
      </w:r>
      <w:r w:rsidR="00870A61">
        <w:rPr>
          <w:rFonts w:hint="cs"/>
          <w:rtl/>
        </w:rPr>
        <w:t>2</w:t>
      </w:r>
      <w:r w:rsidR="002237F8">
        <w:rPr>
          <w:rFonts w:hint="cs"/>
          <w:rtl/>
        </w:rPr>
        <w:t xml:space="preserve">.2 </w:t>
      </w:r>
      <w:r w:rsidR="00855B17">
        <w:rPr>
          <w:rFonts w:hint="cs"/>
          <w:rtl/>
        </w:rPr>
        <w:t>מיליארדי</w:t>
      </w:r>
      <w:r w:rsidR="00855B17">
        <w:rPr>
          <w:rFonts w:hint="eastAsia"/>
          <w:rtl/>
        </w:rPr>
        <w:t>ם</w:t>
      </w:r>
      <w:r w:rsidR="002237F8">
        <w:rPr>
          <w:rFonts w:hint="cs"/>
          <w:rtl/>
        </w:rPr>
        <w:t xml:space="preserve">, </w:t>
      </w:r>
      <w:r w:rsidR="00870A61">
        <w:rPr>
          <w:rFonts w:hint="cs"/>
          <w:rtl/>
        </w:rPr>
        <w:t xml:space="preserve">7.7%-) ובאג"ח </w:t>
      </w:r>
      <w:r w:rsidR="00F7450B">
        <w:rPr>
          <w:rFonts w:hint="cs"/>
          <w:rtl/>
        </w:rPr>
        <w:t>מדינה</w:t>
      </w:r>
      <w:r w:rsidR="00870A61">
        <w:rPr>
          <w:rFonts w:hint="cs"/>
          <w:rtl/>
        </w:rPr>
        <w:t xml:space="preserve"> (2 מיליארדי</w:t>
      </w:r>
      <w:r w:rsidR="00870A61">
        <w:rPr>
          <w:rFonts w:hint="eastAsia"/>
          <w:rtl/>
        </w:rPr>
        <w:t>ם</w:t>
      </w:r>
      <w:r w:rsidR="00870A61">
        <w:rPr>
          <w:rFonts w:hint="cs"/>
          <w:rtl/>
        </w:rPr>
        <w:t>, 3.9%-).</w:t>
      </w:r>
    </w:p>
    <w:p w:rsidR="00855B17" w:rsidRDefault="00855B17" w:rsidP="00855B17">
      <w:pPr>
        <w:spacing w:line="360" w:lineRule="auto"/>
        <w:jc w:val="both"/>
        <w:rPr>
          <w:rtl/>
        </w:rPr>
      </w:pPr>
    </w:p>
    <w:p w:rsidR="009B0BA1" w:rsidRDefault="00870A61" w:rsidP="00A332E3">
      <w:pPr>
        <w:spacing w:line="360" w:lineRule="auto"/>
        <w:jc w:val="both"/>
        <w:rPr>
          <w:rtl/>
        </w:rPr>
      </w:pPr>
      <w:r>
        <w:rPr>
          <w:noProof/>
          <w:lang w:eastAsia="en-US"/>
        </w:rPr>
        <w:drawing>
          <wp:inline distT="0" distB="0" distL="0" distR="0" wp14:anchorId="713D8754">
            <wp:extent cx="5220000" cy="3185182"/>
            <wp:effectExtent l="0" t="0" r="0" b="0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185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77B" w:rsidRDefault="00C5077B" w:rsidP="00D921A2">
      <w:pPr>
        <w:autoSpaceDE w:val="0"/>
        <w:autoSpaceDN w:val="0"/>
        <w:adjustRightInd w:val="0"/>
        <w:spacing w:line="360" w:lineRule="auto"/>
        <w:rPr>
          <w:rtl/>
        </w:rPr>
      </w:pPr>
    </w:p>
    <w:p w:rsidR="002502BC" w:rsidRDefault="002502BC" w:rsidP="00D921A2">
      <w:pPr>
        <w:autoSpaceDE w:val="0"/>
        <w:autoSpaceDN w:val="0"/>
        <w:adjustRightInd w:val="0"/>
        <w:spacing w:line="360" w:lineRule="auto"/>
        <w:rPr>
          <w:rtl/>
        </w:rPr>
      </w:pPr>
    </w:p>
    <w:p w:rsidR="008A548A" w:rsidRPr="002502BC" w:rsidRDefault="000627C5" w:rsidP="000627C5">
      <w:pPr>
        <w:autoSpaceDE w:val="0"/>
        <w:autoSpaceDN w:val="0"/>
        <w:adjustRightInd w:val="0"/>
        <w:spacing w:line="360" w:lineRule="auto"/>
        <w:rPr>
          <w:rFonts w:ascii="Arial" w:hAnsi="Arial" w:cs="Arial" w:hint="cs"/>
          <w:sz w:val="18"/>
          <w:szCs w:val="18"/>
          <w:rtl/>
          <w:lang w:eastAsia="en-US"/>
        </w:rPr>
      </w:pPr>
      <w:hyperlink r:id="rId21" w:history="1">
        <w:r w:rsidR="002502BC" w:rsidRPr="000627C5">
          <w:rPr>
            <w:rStyle w:val="Hyperlink"/>
            <w:rtl/>
          </w:rPr>
          <w:t>מידע נוסף בנושא זה זמין ב</w:t>
        </w:r>
        <w:r w:rsidRPr="000627C5">
          <w:rPr>
            <w:rStyle w:val="Hyperlink"/>
            <w:rFonts w:hint="cs"/>
            <w:rtl/>
          </w:rPr>
          <w:t>אתר.</w:t>
        </w:r>
      </w:hyperlink>
      <w:bookmarkStart w:id="0" w:name="_GoBack"/>
      <w:bookmarkEnd w:id="0"/>
    </w:p>
    <w:sectPr w:rsidR="008A548A" w:rsidRPr="002502BC" w:rsidSect="00D921A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endnotePr>
        <w:numFmt w:val="lowerLetter"/>
      </w:endnotePr>
      <w:pgSz w:w="11906" w:h="16838"/>
      <w:pgMar w:top="964" w:right="1797" w:bottom="1134" w:left="1797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91" w:rsidRDefault="00590491">
      <w:r>
        <w:separator/>
      </w:r>
    </w:p>
  </w:endnote>
  <w:endnote w:type="continuationSeparator" w:id="0">
    <w:p w:rsidR="00590491" w:rsidRDefault="0059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4530BD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BD3B89" w:rsidRDefault="00BD3B89" w:rsidP="005F72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A2" w:rsidRPr="00D921A2" w:rsidRDefault="00D921A2" w:rsidP="00FA3EEF">
    <w:pPr>
      <w:spacing w:line="360" w:lineRule="auto"/>
      <w:ind w:left="90"/>
      <w:rPr>
        <w:sz w:val="20"/>
        <w:szCs w:val="20"/>
        <w:rtl/>
        <w:cs/>
      </w:rPr>
    </w:pPr>
    <w:r>
      <w:rPr>
        <w:rFonts w:hint="cs"/>
        <w:sz w:val="20"/>
        <w:szCs w:val="20"/>
        <w:rtl/>
      </w:rPr>
      <w:t xml:space="preserve">בנק ישראל - </w:t>
    </w:r>
    <w:r w:rsidRPr="00D921A2">
      <w:rPr>
        <w:rFonts w:hint="cs"/>
        <w:sz w:val="20"/>
        <w:szCs w:val="20"/>
        <w:rtl/>
      </w:rPr>
      <w:t xml:space="preserve">התפתחויות בתיק הנכסים הפיננסיים של הציבור ברביע </w:t>
    </w:r>
    <w:r w:rsidR="00FA3EEF">
      <w:rPr>
        <w:rFonts w:hint="cs"/>
        <w:sz w:val="20"/>
        <w:szCs w:val="20"/>
        <w:rtl/>
      </w:rPr>
      <w:t>השני</w:t>
    </w:r>
    <w:r w:rsidRPr="00D921A2">
      <w:rPr>
        <w:rFonts w:hint="cs"/>
        <w:sz w:val="20"/>
        <w:szCs w:val="20"/>
        <w:rtl/>
      </w:rPr>
      <w:t xml:space="preserve"> של שנת </w:t>
    </w:r>
    <w:r w:rsidR="00B811C5">
      <w:rPr>
        <w:rFonts w:hint="cs"/>
        <w:sz w:val="20"/>
        <w:szCs w:val="20"/>
        <w:rtl/>
      </w:rPr>
      <w:t>2015</w:t>
    </w:r>
    <w:r>
      <w:rPr>
        <w:rFonts w:hint="cs"/>
        <w:sz w:val="20"/>
        <w:szCs w:val="20"/>
        <w:rtl/>
        <w:cs/>
        <w:lang w:val="he-IL"/>
      </w:rPr>
      <w:tab/>
    </w:r>
    <w:r w:rsidR="000627C5">
      <w:rPr>
        <w:rFonts w:hint="cs"/>
        <w:sz w:val="20"/>
        <w:szCs w:val="20"/>
        <w:rtl/>
        <w:cs/>
        <w:lang w:val="he-IL"/>
      </w:rPr>
      <w:tab/>
    </w:r>
    <w:r w:rsidRPr="00D921A2">
      <w:rPr>
        <w:sz w:val="20"/>
        <w:szCs w:val="20"/>
        <w:rtl/>
        <w:cs/>
        <w:lang w:val="he-IL"/>
      </w:rPr>
      <w:t xml:space="preserve">עמוד </w:t>
    </w:r>
    <w:r w:rsidRPr="00D921A2">
      <w:rPr>
        <w:b/>
        <w:bCs/>
        <w:sz w:val="20"/>
        <w:szCs w:val="20"/>
      </w:rPr>
      <w:fldChar w:fldCharType="begin"/>
    </w:r>
    <w:r w:rsidRPr="00D921A2">
      <w:rPr>
        <w:b/>
        <w:bCs/>
        <w:sz w:val="20"/>
        <w:szCs w:val="20"/>
        <w:rtl/>
        <w:cs/>
      </w:rPr>
      <w:instrText>PAGE</w:instrText>
    </w:r>
    <w:r w:rsidRPr="00D921A2">
      <w:rPr>
        <w:b/>
        <w:bCs/>
        <w:sz w:val="20"/>
        <w:szCs w:val="20"/>
      </w:rPr>
      <w:fldChar w:fldCharType="separate"/>
    </w:r>
    <w:r w:rsidR="00405BE6">
      <w:rPr>
        <w:b/>
        <w:bCs/>
        <w:noProof/>
        <w:sz w:val="20"/>
        <w:szCs w:val="20"/>
        <w:rtl/>
      </w:rPr>
      <w:t>6</w:t>
    </w:r>
    <w:r w:rsidRPr="00D921A2">
      <w:rPr>
        <w:b/>
        <w:bCs/>
        <w:sz w:val="20"/>
        <w:szCs w:val="20"/>
      </w:rPr>
      <w:fldChar w:fldCharType="end"/>
    </w:r>
    <w:r w:rsidRPr="00D921A2">
      <w:rPr>
        <w:sz w:val="20"/>
        <w:szCs w:val="20"/>
        <w:rtl/>
        <w:cs/>
        <w:lang w:val="he-IL"/>
      </w:rPr>
      <w:t xml:space="preserve"> מתוך </w:t>
    </w:r>
    <w:r w:rsidRPr="00D921A2">
      <w:rPr>
        <w:b/>
        <w:bCs/>
        <w:sz w:val="20"/>
        <w:szCs w:val="20"/>
      </w:rPr>
      <w:fldChar w:fldCharType="begin"/>
    </w:r>
    <w:r w:rsidRPr="00D921A2">
      <w:rPr>
        <w:b/>
        <w:bCs/>
        <w:sz w:val="20"/>
        <w:szCs w:val="20"/>
        <w:rtl/>
        <w:cs/>
      </w:rPr>
      <w:instrText>NUMPAGES</w:instrText>
    </w:r>
    <w:r w:rsidRPr="00D921A2">
      <w:rPr>
        <w:b/>
        <w:bCs/>
        <w:sz w:val="20"/>
        <w:szCs w:val="20"/>
      </w:rPr>
      <w:fldChar w:fldCharType="separate"/>
    </w:r>
    <w:r w:rsidR="00405BE6">
      <w:rPr>
        <w:b/>
        <w:bCs/>
        <w:noProof/>
        <w:sz w:val="20"/>
        <w:szCs w:val="20"/>
        <w:rtl/>
      </w:rPr>
      <w:t>6</w:t>
    </w:r>
    <w:r w:rsidRPr="00D921A2">
      <w:rPr>
        <w:b/>
        <w:bCs/>
        <w:sz w:val="20"/>
        <w:szCs w:val="20"/>
      </w:rPr>
      <w:fldChar w:fldCharType="end"/>
    </w:r>
  </w:p>
  <w:p w:rsidR="00BD3B89" w:rsidRDefault="00BD3B89" w:rsidP="005F725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CC7" w:rsidRDefault="00A05C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91" w:rsidRDefault="00590491">
      <w:r>
        <w:separator/>
      </w:r>
    </w:p>
  </w:footnote>
  <w:footnote w:type="continuationSeparator" w:id="0">
    <w:p w:rsidR="00590491" w:rsidRDefault="00590491">
      <w:r>
        <w:continuationSeparator/>
      </w:r>
    </w:p>
  </w:footnote>
  <w:footnote w:id="1">
    <w:p w:rsidR="00794343" w:rsidRDefault="00794343">
      <w:pPr>
        <w:pStyle w:val="a3"/>
        <w:rPr>
          <w:rtl/>
        </w:rPr>
      </w:pPr>
      <w:r w:rsidRPr="00794343">
        <w:rPr>
          <w:rStyle w:val="a4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CC7" w:rsidRDefault="00A05C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057FBC">
    <w:pPr>
      <w:pStyle w:val="a9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CC7" w:rsidRDefault="00A05C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247B0F"/>
    <w:multiLevelType w:val="hybridMultilevel"/>
    <w:tmpl w:val="659EC63A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36"/>
    <w:rsid w:val="0000050F"/>
    <w:rsid w:val="00000F00"/>
    <w:rsid w:val="000017DF"/>
    <w:rsid w:val="000020FA"/>
    <w:rsid w:val="000022B8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2118E"/>
    <w:rsid w:val="000217DC"/>
    <w:rsid w:val="00022355"/>
    <w:rsid w:val="00023EE3"/>
    <w:rsid w:val="00024D12"/>
    <w:rsid w:val="000257F0"/>
    <w:rsid w:val="00026858"/>
    <w:rsid w:val="00026B30"/>
    <w:rsid w:val="00027B8D"/>
    <w:rsid w:val="00031281"/>
    <w:rsid w:val="00031461"/>
    <w:rsid w:val="000334C7"/>
    <w:rsid w:val="00033B6E"/>
    <w:rsid w:val="000343D2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AD"/>
    <w:rsid w:val="0004321B"/>
    <w:rsid w:val="00045462"/>
    <w:rsid w:val="000458D4"/>
    <w:rsid w:val="00046F09"/>
    <w:rsid w:val="00047E41"/>
    <w:rsid w:val="0005021A"/>
    <w:rsid w:val="00051250"/>
    <w:rsid w:val="00051E43"/>
    <w:rsid w:val="00052A72"/>
    <w:rsid w:val="000536B9"/>
    <w:rsid w:val="00054020"/>
    <w:rsid w:val="00054513"/>
    <w:rsid w:val="000546A3"/>
    <w:rsid w:val="00055921"/>
    <w:rsid w:val="000559EC"/>
    <w:rsid w:val="00055A9E"/>
    <w:rsid w:val="000564E4"/>
    <w:rsid w:val="00056736"/>
    <w:rsid w:val="00056C8C"/>
    <w:rsid w:val="00057225"/>
    <w:rsid w:val="00057504"/>
    <w:rsid w:val="000575A5"/>
    <w:rsid w:val="000578A2"/>
    <w:rsid w:val="00057FBC"/>
    <w:rsid w:val="00060AB4"/>
    <w:rsid w:val="000611C5"/>
    <w:rsid w:val="00061509"/>
    <w:rsid w:val="00061B54"/>
    <w:rsid w:val="00062277"/>
    <w:rsid w:val="0006250C"/>
    <w:rsid w:val="000627C5"/>
    <w:rsid w:val="00063EA2"/>
    <w:rsid w:val="00064EC7"/>
    <w:rsid w:val="00067385"/>
    <w:rsid w:val="00067625"/>
    <w:rsid w:val="00067ADF"/>
    <w:rsid w:val="00071052"/>
    <w:rsid w:val="00072355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C91"/>
    <w:rsid w:val="0008142A"/>
    <w:rsid w:val="00081868"/>
    <w:rsid w:val="00081BD3"/>
    <w:rsid w:val="000820EA"/>
    <w:rsid w:val="00083BDF"/>
    <w:rsid w:val="000857FF"/>
    <w:rsid w:val="00085961"/>
    <w:rsid w:val="00085EA2"/>
    <w:rsid w:val="00086B1C"/>
    <w:rsid w:val="0009142D"/>
    <w:rsid w:val="00091F3F"/>
    <w:rsid w:val="00092CA7"/>
    <w:rsid w:val="000932F3"/>
    <w:rsid w:val="000938AA"/>
    <w:rsid w:val="00094759"/>
    <w:rsid w:val="00095076"/>
    <w:rsid w:val="00096A08"/>
    <w:rsid w:val="000970F0"/>
    <w:rsid w:val="00097969"/>
    <w:rsid w:val="00097EF9"/>
    <w:rsid w:val="000A103B"/>
    <w:rsid w:val="000A23D5"/>
    <w:rsid w:val="000A2E03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6C6"/>
    <w:rsid w:val="000A5D67"/>
    <w:rsid w:val="000A689F"/>
    <w:rsid w:val="000A6DCE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9DB"/>
    <w:rsid w:val="000B42FF"/>
    <w:rsid w:val="000B511B"/>
    <w:rsid w:val="000B56C9"/>
    <w:rsid w:val="000B75BB"/>
    <w:rsid w:val="000B7E80"/>
    <w:rsid w:val="000C003E"/>
    <w:rsid w:val="000C09A6"/>
    <w:rsid w:val="000C1436"/>
    <w:rsid w:val="000C22CB"/>
    <w:rsid w:val="000C23D5"/>
    <w:rsid w:val="000C2535"/>
    <w:rsid w:val="000C34C4"/>
    <w:rsid w:val="000C373F"/>
    <w:rsid w:val="000C38CE"/>
    <w:rsid w:val="000C3A15"/>
    <w:rsid w:val="000C4070"/>
    <w:rsid w:val="000C50E1"/>
    <w:rsid w:val="000C587D"/>
    <w:rsid w:val="000C6588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3971"/>
    <w:rsid w:val="000D3EDF"/>
    <w:rsid w:val="000D4218"/>
    <w:rsid w:val="000D47E5"/>
    <w:rsid w:val="000D4C8F"/>
    <w:rsid w:val="000D4E48"/>
    <w:rsid w:val="000D4F71"/>
    <w:rsid w:val="000D6B53"/>
    <w:rsid w:val="000D6E59"/>
    <w:rsid w:val="000D6FF2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14F3"/>
    <w:rsid w:val="000F2B48"/>
    <w:rsid w:val="000F2BA7"/>
    <w:rsid w:val="000F35DD"/>
    <w:rsid w:val="000F5F96"/>
    <w:rsid w:val="000F6504"/>
    <w:rsid w:val="00100611"/>
    <w:rsid w:val="00100FA0"/>
    <w:rsid w:val="00101362"/>
    <w:rsid w:val="00101E9A"/>
    <w:rsid w:val="00101EB2"/>
    <w:rsid w:val="00103128"/>
    <w:rsid w:val="00103942"/>
    <w:rsid w:val="00104AED"/>
    <w:rsid w:val="001056DE"/>
    <w:rsid w:val="0010593A"/>
    <w:rsid w:val="0011075A"/>
    <w:rsid w:val="00110DFF"/>
    <w:rsid w:val="00110E4D"/>
    <w:rsid w:val="001138F6"/>
    <w:rsid w:val="00113CB0"/>
    <w:rsid w:val="001147D6"/>
    <w:rsid w:val="00114886"/>
    <w:rsid w:val="001153F9"/>
    <w:rsid w:val="0011547A"/>
    <w:rsid w:val="00116A10"/>
    <w:rsid w:val="0011701C"/>
    <w:rsid w:val="00117AF5"/>
    <w:rsid w:val="00117B6F"/>
    <w:rsid w:val="001206AC"/>
    <w:rsid w:val="00120AC9"/>
    <w:rsid w:val="00120C9C"/>
    <w:rsid w:val="00120F8C"/>
    <w:rsid w:val="00120FAF"/>
    <w:rsid w:val="0012102A"/>
    <w:rsid w:val="0012360B"/>
    <w:rsid w:val="001238A8"/>
    <w:rsid w:val="00123CA9"/>
    <w:rsid w:val="00124147"/>
    <w:rsid w:val="001242AB"/>
    <w:rsid w:val="00125050"/>
    <w:rsid w:val="001263FB"/>
    <w:rsid w:val="001301EF"/>
    <w:rsid w:val="00130C8C"/>
    <w:rsid w:val="00131E7F"/>
    <w:rsid w:val="0013209F"/>
    <w:rsid w:val="001320B1"/>
    <w:rsid w:val="001326DC"/>
    <w:rsid w:val="00132C7C"/>
    <w:rsid w:val="001331C2"/>
    <w:rsid w:val="001343CF"/>
    <w:rsid w:val="00134AF2"/>
    <w:rsid w:val="0013516A"/>
    <w:rsid w:val="001351E2"/>
    <w:rsid w:val="00135428"/>
    <w:rsid w:val="001355CB"/>
    <w:rsid w:val="001358DA"/>
    <w:rsid w:val="00136442"/>
    <w:rsid w:val="00136C0F"/>
    <w:rsid w:val="0013726C"/>
    <w:rsid w:val="001378C4"/>
    <w:rsid w:val="00140B27"/>
    <w:rsid w:val="00140F79"/>
    <w:rsid w:val="00141F2B"/>
    <w:rsid w:val="00143E3B"/>
    <w:rsid w:val="00144B17"/>
    <w:rsid w:val="0014542F"/>
    <w:rsid w:val="00145791"/>
    <w:rsid w:val="00146AF6"/>
    <w:rsid w:val="00147410"/>
    <w:rsid w:val="0014743C"/>
    <w:rsid w:val="00150373"/>
    <w:rsid w:val="00150AD5"/>
    <w:rsid w:val="00150BFB"/>
    <w:rsid w:val="00150E47"/>
    <w:rsid w:val="0015236A"/>
    <w:rsid w:val="00152F2D"/>
    <w:rsid w:val="00154533"/>
    <w:rsid w:val="001553C3"/>
    <w:rsid w:val="001555E5"/>
    <w:rsid w:val="001558E4"/>
    <w:rsid w:val="00156D03"/>
    <w:rsid w:val="001574CD"/>
    <w:rsid w:val="00157E94"/>
    <w:rsid w:val="00160292"/>
    <w:rsid w:val="001602C1"/>
    <w:rsid w:val="001607A3"/>
    <w:rsid w:val="00160CCF"/>
    <w:rsid w:val="001613B9"/>
    <w:rsid w:val="00161545"/>
    <w:rsid w:val="00161BE9"/>
    <w:rsid w:val="00162774"/>
    <w:rsid w:val="00162F67"/>
    <w:rsid w:val="00164788"/>
    <w:rsid w:val="00164A39"/>
    <w:rsid w:val="00165449"/>
    <w:rsid w:val="00166430"/>
    <w:rsid w:val="001707D5"/>
    <w:rsid w:val="00170A50"/>
    <w:rsid w:val="00171E12"/>
    <w:rsid w:val="00172049"/>
    <w:rsid w:val="00172451"/>
    <w:rsid w:val="00172B5B"/>
    <w:rsid w:val="001734CD"/>
    <w:rsid w:val="001753AF"/>
    <w:rsid w:val="00175634"/>
    <w:rsid w:val="00176DA9"/>
    <w:rsid w:val="001776A3"/>
    <w:rsid w:val="001804EC"/>
    <w:rsid w:val="00180C9F"/>
    <w:rsid w:val="00180FBD"/>
    <w:rsid w:val="001816FC"/>
    <w:rsid w:val="00181977"/>
    <w:rsid w:val="00181A28"/>
    <w:rsid w:val="00182280"/>
    <w:rsid w:val="00183A6E"/>
    <w:rsid w:val="00183C5D"/>
    <w:rsid w:val="001840D3"/>
    <w:rsid w:val="00184396"/>
    <w:rsid w:val="00184453"/>
    <w:rsid w:val="001844D8"/>
    <w:rsid w:val="00184509"/>
    <w:rsid w:val="001857A4"/>
    <w:rsid w:val="001859DC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FEA"/>
    <w:rsid w:val="00192E44"/>
    <w:rsid w:val="00194180"/>
    <w:rsid w:val="001949E8"/>
    <w:rsid w:val="00194CB7"/>
    <w:rsid w:val="0019565E"/>
    <w:rsid w:val="00197A7E"/>
    <w:rsid w:val="00197D0B"/>
    <w:rsid w:val="001A095A"/>
    <w:rsid w:val="001A0A07"/>
    <w:rsid w:val="001A0AAC"/>
    <w:rsid w:val="001A176C"/>
    <w:rsid w:val="001A17E8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78C8"/>
    <w:rsid w:val="001A7A86"/>
    <w:rsid w:val="001B0368"/>
    <w:rsid w:val="001B09F8"/>
    <w:rsid w:val="001B0FB4"/>
    <w:rsid w:val="001B229F"/>
    <w:rsid w:val="001B320D"/>
    <w:rsid w:val="001B38D5"/>
    <w:rsid w:val="001B3EBB"/>
    <w:rsid w:val="001B4C48"/>
    <w:rsid w:val="001B5742"/>
    <w:rsid w:val="001B6C99"/>
    <w:rsid w:val="001B7547"/>
    <w:rsid w:val="001B7675"/>
    <w:rsid w:val="001C0856"/>
    <w:rsid w:val="001C1CA1"/>
    <w:rsid w:val="001C264C"/>
    <w:rsid w:val="001C33AA"/>
    <w:rsid w:val="001C6F8F"/>
    <w:rsid w:val="001C7E12"/>
    <w:rsid w:val="001D08C2"/>
    <w:rsid w:val="001D115C"/>
    <w:rsid w:val="001D15FD"/>
    <w:rsid w:val="001D1B66"/>
    <w:rsid w:val="001D23E6"/>
    <w:rsid w:val="001D301D"/>
    <w:rsid w:val="001D3185"/>
    <w:rsid w:val="001D333B"/>
    <w:rsid w:val="001D3E93"/>
    <w:rsid w:val="001D3EA3"/>
    <w:rsid w:val="001D415B"/>
    <w:rsid w:val="001D4550"/>
    <w:rsid w:val="001D4A54"/>
    <w:rsid w:val="001D5283"/>
    <w:rsid w:val="001D5560"/>
    <w:rsid w:val="001D6096"/>
    <w:rsid w:val="001D641F"/>
    <w:rsid w:val="001D6781"/>
    <w:rsid w:val="001D6866"/>
    <w:rsid w:val="001D7439"/>
    <w:rsid w:val="001D76B2"/>
    <w:rsid w:val="001D7970"/>
    <w:rsid w:val="001E25EF"/>
    <w:rsid w:val="001E2E95"/>
    <w:rsid w:val="001E31AC"/>
    <w:rsid w:val="001E42B4"/>
    <w:rsid w:val="001E47F2"/>
    <w:rsid w:val="001E4FB1"/>
    <w:rsid w:val="001E5746"/>
    <w:rsid w:val="001E5953"/>
    <w:rsid w:val="001E5B84"/>
    <w:rsid w:val="001E5EF4"/>
    <w:rsid w:val="001E7B49"/>
    <w:rsid w:val="001F043C"/>
    <w:rsid w:val="001F0470"/>
    <w:rsid w:val="001F0485"/>
    <w:rsid w:val="001F0DF7"/>
    <w:rsid w:val="001F3A15"/>
    <w:rsid w:val="001F4211"/>
    <w:rsid w:val="001F4BA3"/>
    <w:rsid w:val="001F4DAA"/>
    <w:rsid w:val="001F5733"/>
    <w:rsid w:val="001F5796"/>
    <w:rsid w:val="001F5900"/>
    <w:rsid w:val="001F5E2D"/>
    <w:rsid w:val="001F65E3"/>
    <w:rsid w:val="001F775A"/>
    <w:rsid w:val="002002CD"/>
    <w:rsid w:val="002003C2"/>
    <w:rsid w:val="0020074A"/>
    <w:rsid w:val="002014EE"/>
    <w:rsid w:val="00202AD2"/>
    <w:rsid w:val="00202D83"/>
    <w:rsid w:val="00202E28"/>
    <w:rsid w:val="00203066"/>
    <w:rsid w:val="002041BE"/>
    <w:rsid w:val="00205C1F"/>
    <w:rsid w:val="0020695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C9D"/>
    <w:rsid w:val="002143E5"/>
    <w:rsid w:val="00214B50"/>
    <w:rsid w:val="00215C50"/>
    <w:rsid w:val="0021612F"/>
    <w:rsid w:val="00217472"/>
    <w:rsid w:val="00221EB5"/>
    <w:rsid w:val="00222821"/>
    <w:rsid w:val="002237F8"/>
    <w:rsid w:val="00223C6E"/>
    <w:rsid w:val="00223E9A"/>
    <w:rsid w:val="002252E2"/>
    <w:rsid w:val="00225541"/>
    <w:rsid w:val="00226017"/>
    <w:rsid w:val="00226B3C"/>
    <w:rsid w:val="00226B99"/>
    <w:rsid w:val="00226D8A"/>
    <w:rsid w:val="00227572"/>
    <w:rsid w:val="00230C10"/>
    <w:rsid w:val="00231761"/>
    <w:rsid w:val="002321B8"/>
    <w:rsid w:val="0023245F"/>
    <w:rsid w:val="00232A5E"/>
    <w:rsid w:val="0023327D"/>
    <w:rsid w:val="002339EB"/>
    <w:rsid w:val="00234179"/>
    <w:rsid w:val="0023440A"/>
    <w:rsid w:val="00235DCE"/>
    <w:rsid w:val="0023775E"/>
    <w:rsid w:val="002379EF"/>
    <w:rsid w:val="00237C45"/>
    <w:rsid w:val="002403B2"/>
    <w:rsid w:val="00241646"/>
    <w:rsid w:val="00241A25"/>
    <w:rsid w:val="00242714"/>
    <w:rsid w:val="002428E6"/>
    <w:rsid w:val="00242961"/>
    <w:rsid w:val="00245554"/>
    <w:rsid w:val="00245655"/>
    <w:rsid w:val="00245A1A"/>
    <w:rsid w:val="0024602D"/>
    <w:rsid w:val="002467E1"/>
    <w:rsid w:val="00247E64"/>
    <w:rsid w:val="00247E9A"/>
    <w:rsid w:val="002501CB"/>
    <w:rsid w:val="002502BC"/>
    <w:rsid w:val="00251056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6235"/>
    <w:rsid w:val="00256719"/>
    <w:rsid w:val="002575D2"/>
    <w:rsid w:val="00257B08"/>
    <w:rsid w:val="00257BB1"/>
    <w:rsid w:val="002606CD"/>
    <w:rsid w:val="00261156"/>
    <w:rsid w:val="0026130C"/>
    <w:rsid w:val="00261A2B"/>
    <w:rsid w:val="002627FE"/>
    <w:rsid w:val="0026343B"/>
    <w:rsid w:val="0026446B"/>
    <w:rsid w:val="002649BD"/>
    <w:rsid w:val="002653A0"/>
    <w:rsid w:val="0026547B"/>
    <w:rsid w:val="002665AE"/>
    <w:rsid w:val="002670AD"/>
    <w:rsid w:val="00267A92"/>
    <w:rsid w:val="00270B18"/>
    <w:rsid w:val="002717B2"/>
    <w:rsid w:val="002726E1"/>
    <w:rsid w:val="0027319D"/>
    <w:rsid w:val="00273AE5"/>
    <w:rsid w:val="002742CF"/>
    <w:rsid w:val="0027468F"/>
    <w:rsid w:val="002757B9"/>
    <w:rsid w:val="002763DF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EF0"/>
    <w:rsid w:val="00290FF3"/>
    <w:rsid w:val="0029185D"/>
    <w:rsid w:val="00292427"/>
    <w:rsid w:val="00292432"/>
    <w:rsid w:val="00293831"/>
    <w:rsid w:val="002941EA"/>
    <w:rsid w:val="00295B3F"/>
    <w:rsid w:val="0029682A"/>
    <w:rsid w:val="00297B32"/>
    <w:rsid w:val="00297EF8"/>
    <w:rsid w:val="002A05B4"/>
    <w:rsid w:val="002A07C7"/>
    <w:rsid w:val="002A172C"/>
    <w:rsid w:val="002A245A"/>
    <w:rsid w:val="002A2D9C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B03DC"/>
    <w:rsid w:val="002B048F"/>
    <w:rsid w:val="002B0E4F"/>
    <w:rsid w:val="002B3BDD"/>
    <w:rsid w:val="002B4998"/>
    <w:rsid w:val="002B49E1"/>
    <w:rsid w:val="002B51DF"/>
    <w:rsid w:val="002B594E"/>
    <w:rsid w:val="002B6CDE"/>
    <w:rsid w:val="002B7042"/>
    <w:rsid w:val="002B7732"/>
    <w:rsid w:val="002C08F6"/>
    <w:rsid w:val="002C311A"/>
    <w:rsid w:val="002C3F79"/>
    <w:rsid w:val="002C433B"/>
    <w:rsid w:val="002C47D1"/>
    <w:rsid w:val="002C576B"/>
    <w:rsid w:val="002C5795"/>
    <w:rsid w:val="002C67BC"/>
    <w:rsid w:val="002C6D97"/>
    <w:rsid w:val="002C7B48"/>
    <w:rsid w:val="002D007F"/>
    <w:rsid w:val="002D0458"/>
    <w:rsid w:val="002D0C2E"/>
    <w:rsid w:val="002D24CA"/>
    <w:rsid w:val="002D2520"/>
    <w:rsid w:val="002D2B1F"/>
    <w:rsid w:val="002D2F52"/>
    <w:rsid w:val="002D35C5"/>
    <w:rsid w:val="002D5E9B"/>
    <w:rsid w:val="002D7A01"/>
    <w:rsid w:val="002E0938"/>
    <w:rsid w:val="002E0A85"/>
    <w:rsid w:val="002E12A7"/>
    <w:rsid w:val="002E13B6"/>
    <w:rsid w:val="002E2D92"/>
    <w:rsid w:val="002E34BB"/>
    <w:rsid w:val="002E4F88"/>
    <w:rsid w:val="002E58BD"/>
    <w:rsid w:val="002E5F0A"/>
    <w:rsid w:val="002E61F8"/>
    <w:rsid w:val="002E65A5"/>
    <w:rsid w:val="002E700D"/>
    <w:rsid w:val="002F00A9"/>
    <w:rsid w:val="002F010B"/>
    <w:rsid w:val="002F0565"/>
    <w:rsid w:val="002F0602"/>
    <w:rsid w:val="002F0D7B"/>
    <w:rsid w:val="002F0DC3"/>
    <w:rsid w:val="002F18CE"/>
    <w:rsid w:val="002F1A2D"/>
    <w:rsid w:val="002F1B65"/>
    <w:rsid w:val="002F2F3D"/>
    <w:rsid w:val="002F3383"/>
    <w:rsid w:val="002F3B73"/>
    <w:rsid w:val="002F5401"/>
    <w:rsid w:val="002F56BB"/>
    <w:rsid w:val="002F5E9B"/>
    <w:rsid w:val="002F73C5"/>
    <w:rsid w:val="002F7DA5"/>
    <w:rsid w:val="00300589"/>
    <w:rsid w:val="003006F0"/>
    <w:rsid w:val="00300ACC"/>
    <w:rsid w:val="00300EBC"/>
    <w:rsid w:val="00300FCB"/>
    <w:rsid w:val="0030227E"/>
    <w:rsid w:val="0030251E"/>
    <w:rsid w:val="003026F0"/>
    <w:rsid w:val="0030392B"/>
    <w:rsid w:val="00303A9A"/>
    <w:rsid w:val="00303B7F"/>
    <w:rsid w:val="00303E6F"/>
    <w:rsid w:val="00304565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3125"/>
    <w:rsid w:val="0031320B"/>
    <w:rsid w:val="00313272"/>
    <w:rsid w:val="003132AA"/>
    <w:rsid w:val="003141E6"/>
    <w:rsid w:val="003160A4"/>
    <w:rsid w:val="00316B0E"/>
    <w:rsid w:val="0031732A"/>
    <w:rsid w:val="00317698"/>
    <w:rsid w:val="00317A35"/>
    <w:rsid w:val="00317AB0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8E"/>
    <w:rsid w:val="00330BFD"/>
    <w:rsid w:val="00331B80"/>
    <w:rsid w:val="0033294C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3F19"/>
    <w:rsid w:val="00344A50"/>
    <w:rsid w:val="0034590D"/>
    <w:rsid w:val="00346595"/>
    <w:rsid w:val="003475AD"/>
    <w:rsid w:val="0034768C"/>
    <w:rsid w:val="0035002C"/>
    <w:rsid w:val="00350300"/>
    <w:rsid w:val="00351058"/>
    <w:rsid w:val="00351C10"/>
    <w:rsid w:val="0035212D"/>
    <w:rsid w:val="00352ABE"/>
    <w:rsid w:val="00352E75"/>
    <w:rsid w:val="00353174"/>
    <w:rsid w:val="00353A9A"/>
    <w:rsid w:val="00355B39"/>
    <w:rsid w:val="003606FD"/>
    <w:rsid w:val="0036090B"/>
    <w:rsid w:val="00360EE1"/>
    <w:rsid w:val="003624D0"/>
    <w:rsid w:val="00362C17"/>
    <w:rsid w:val="00363003"/>
    <w:rsid w:val="00363E4A"/>
    <w:rsid w:val="00364520"/>
    <w:rsid w:val="00364782"/>
    <w:rsid w:val="00364D25"/>
    <w:rsid w:val="00364EED"/>
    <w:rsid w:val="00365B98"/>
    <w:rsid w:val="003673A0"/>
    <w:rsid w:val="00367E60"/>
    <w:rsid w:val="00370B25"/>
    <w:rsid w:val="00371A4B"/>
    <w:rsid w:val="00372C74"/>
    <w:rsid w:val="00374650"/>
    <w:rsid w:val="003746CA"/>
    <w:rsid w:val="003752C4"/>
    <w:rsid w:val="00376947"/>
    <w:rsid w:val="00377ADA"/>
    <w:rsid w:val="00380DA4"/>
    <w:rsid w:val="00380F38"/>
    <w:rsid w:val="00381900"/>
    <w:rsid w:val="00382A96"/>
    <w:rsid w:val="00384733"/>
    <w:rsid w:val="00384EEC"/>
    <w:rsid w:val="00386C83"/>
    <w:rsid w:val="003873F3"/>
    <w:rsid w:val="00387665"/>
    <w:rsid w:val="0039006D"/>
    <w:rsid w:val="00390265"/>
    <w:rsid w:val="00391FC3"/>
    <w:rsid w:val="00392A7D"/>
    <w:rsid w:val="00393291"/>
    <w:rsid w:val="003955FE"/>
    <w:rsid w:val="00395BC3"/>
    <w:rsid w:val="00395FE2"/>
    <w:rsid w:val="003960C5"/>
    <w:rsid w:val="00396B35"/>
    <w:rsid w:val="003971F2"/>
    <w:rsid w:val="003A09C0"/>
    <w:rsid w:val="003A0A0D"/>
    <w:rsid w:val="003A0EA4"/>
    <w:rsid w:val="003A113D"/>
    <w:rsid w:val="003A17D9"/>
    <w:rsid w:val="003A1A1E"/>
    <w:rsid w:val="003A1FCC"/>
    <w:rsid w:val="003A2C39"/>
    <w:rsid w:val="003A353B"/>
    <w:rsid w:val="003A43E6"/>
    <w:rsid w:val="003A4DF9"/>
    <w:rsid w:val="003A50BB"/>
    <w:rsid w:val="003A6452"/>
    <w:rsid w:val="003A70ED"/>
    <w:rsid w:val="003A75AC"/>
    <w:rsid w:val="003B0778"/>
    <w:rsid w:val="003B091C"/>
    <w:rsid w:val="003B0B89"/>
    <w:rsid w:val="003B24D1"/>
    <w:rsid w:val="003B264E"/>
    <w:rsid w:val="003B3ED7"/>
    <w:rsid w:val="003B437B"/>
    <w:rsid w:val="003B544B"/>
    <w:rsid w:val="003B5649"/>
    <w:rsid w:val="003B57D2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66F"/>
    <w:rsid w:val="003C6B2E"/>
    <w:rsid w:val="003C7296"/>
    <w:rsid w:val="003D236F"/>
    <w:rsid w:val="003D276A"/>
    <w:rsid w:val="003D372B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52C"/>
    <w:rsid w:val="003E1082"/>
    <w:rsid w:val="003E1856"/>
    <w:rsid w:val="003E2034"/>
    <w:rsid w:val="003E2D61"/>
    <w:rsid w:val="003E433E"/>
    <w:rsid w:val="003E4688"/>
    <w:rsid w:val="003E4E3F"/>
    <w:rsid w:val="003E536B"/>
    <w:rsid w:val="003E5DA9"/>
    <w:rsid w:val="003E616A"/>
    <w:rsid w:val="003E61C1"/>
    <w:rsid w:val="003E6D70"/>
    <w:rsid w:val="003E740C"/>
    <w:rsid w:val="003E7730"/>
    <w:rsid w:val="003E78C4"/>
    <w:rsid w:val="003F0F09"/>
    <w:rsid w:val="003F193A"/>
    <w:rsid w:val="003F25B5"/>
    <w:rsid w:val="003F320F"/>
    <w:rsid w:val="003F39ED"/>
    <w:rsid w:val="003F3C90"/>
    <w:rsid w:val="003F4130"/>
    <w:rsid w:val="003F4B94"/>
    <w:rsid w:val="003F56FE"/>
    <w:rsid w:val="003F6511"/>
    <w:rsid w:val="003F76A6"/>
    <w:rsid w:val="00400605"/>
    <w:rsid w:val="004011E9"/>
    <w:rsid w:val="004012D8"/>
    <w:rsid w:val="0040139E"/>
    <w:rsid w:val="004017A6"/>
    <w:rsid w:val="004021CE"/>
    <w:rsid w:val="004021D8"/>
    <w:rsid w:val="00403BFB"/>
    <w:rsid w:val="00405BE6"/>
    <w:rsid w:val="0040667A"/>
    <w:rsid w:val="00406F16"/>
    <w:rsid w:val="004077F7"/>
    <w:rsid w:val="00410237"/>
    <w:rsid w:val="004103EF"/>
    <w:rsid w:val="0041053D"/>
    <w:rsid w:val="0041081C"/>
    <w:rsid w:val="00413A2B"/>
    <w:rsid w:val="00413F0A"/>
    <w:rsid w:val="00414C0A"/>
    <w:rsid w:val="004161F0"/>
    <w:rsid w:val="00416F4B"/>
    <w:rsid w:val="00417A04"/>
    <w:rsid w:val="004211E7"/>
    <w:rsid w:val="004211EB"/>
    <w:rsid w:val="00423E9F"/>
    <w:rsid w:val="00423FF4"/>
    <w:rsid w:val="004242EF"/>
    <w:rsid w:val="00424A00"/>
    <w:rsid w:val="00425589"/>
    <w:rsid w:val="00425E0E"/>
    <w:rsid w:val="004261B5"/>
    <w:rsid w:val="004267EF"/>
    <w:rsid w:val="0042718A"/>
    <w:rsid w:val="004279A7"/>
    <w:rsid w:val="00432302"/>
    <w:rsid w:val="004324AC"/>
    <w:rsid w:val="00433492"/>
    <w:rsid w:val="00433A8C"/>
    <w:rsid w:val="00433B9F"/>
    <w:rsid w:val="004340A2"/>
    <w:rsid w:val="0043465E"/>
    <w:rsid w:val="00434B2F"/>
    <w:rsid w:val="00434B61"/>
    <w:rsid w:val="00436800"/>
    <w:rsid w:val="004376A1"/>
    <w:rsid w:val="00437961"/>
    <w:rsid w:val="00440BED"/>
    <w:rsid w:val="004411E9"/>
    <w:rsid w:val="00441BA1"/>
    <w:rsid w:val="004420AD"/>
    <w:rsid w:val="0044337F"/>
    <w:rsid w:val="004437C5"/>
    <w:rsid w:val="004444F6"/>
    <w:rsid w:val="00444713"/>
    <w:rsid w:val="00444BA9"/>
    <w:rsid w:val="00444C51"/>
    <w:rsid w:val="00444CCE"/>
    <w:rsid w:val="00446E0B"/>
    <w:rsid w:val="00447086"/>
    <w:rsid w:val="004475B6"/>
    <w:rsid w:val="00447D54"/>
    <w:rsid w:val="00450711"/>
    <w:rsid w:val="00451612"/>
    <w:rsid w:val="0045263F"/>
    <w:rsid w:val="004530BD"/>
    <w:rsid w:val="004544A5"/>
    <w:rsid w:val="004548C2"/>
    <w:rsid w:val="00454A35"/>
    <w:rsid w:val="00455644"/>
    <w:rsid w:val="00455C2A"/>
    <w:rsid w:val="004571F7"/>
    <w:rsid w:val="004573B7"/>
    <w:rsid w:val="0045777A"/>
    <w:rsid w:val="00457B83"/>
    <w:rsid w:val="0046008B"/>
    <w:rsid w:val="00460297"/>
    <w:rsid w:val="004617C1"/>
    <w:rsid w:val="004617DB"/>
    <w:rsid w:val="00461B7F"/>
    <w:rsid w:val="00461D64"/>
    <w:rsid w:val="00462065"/>
    <w:rsid w:val="00462458"/>
    <w:rsid w:val="004630C4"/>
    <w:rsid w:val="00463C99"/>
    <w:rsid w:val="00464BC6"/>
    <w:rsid w:val="00464FDC"/>
    <w:rsid w:val="00465236"/>
    <w:rsid w:val="004654D6"/>
    <w:rsid w:val="0046655F"/>
    <w:rsid w:val="004674EA"/>
    <w:rsid w:val="00467542"/>
    <w:rsid w:val="00467F7D"/>
    <w:rsid w:val="0047034B"/>
    <w:rsid w:val="00471557"/>
    <w:rsid w:val="00471573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70C3"/>
    <w:rsid w:val="00477660"/>
    <w:rsid w:val="004816F5"/>
    <w:rsid w:val="00482F4E"/>
    <w:rsid w:val="004830F5"/>
    <w:rsid w:val="00483238"/>
    <w:rsid w:val="004839C5"/>
    <w:rsid w:val="00483D20"/>
    <w:rsid w:val="00484774"/>
    <w:rsid w:val="004848EF"/>
    <w:rsid w:val="00485F4E"/>
    <w:rsid w:val="004860E6"/>
    <w:rsid w:val="00486F4F"/>
    <w:rsid w:val="004876DA"/>
    <w:rsid w:val="0049067F"/>
    <w:rsid w:val="004910DE"/>
    <w:rsid w:val="004916C0"/>
    <w:rsid w:val="00491D04"/>
    <w:rsid w:val="004922D4"/>
    <w:rsid w:val="00492BB1"/>
    <w:rsid w:val="00492DE8"/>
    <w:rsid w:val="0049302E"/>
    <w:rsid w:val="00493595"/>
    <w:rsid w:val="00493C39"/>
    <w:rsid w:val="00493F84"/>
    <w:rsid w:val="004946BD"/>
    <w:rsid w:val="00495917"/>
    <w:rsid w:val="00496899"/>
    <w:rsid w:val="0049743C"/>
    <w:rsid w:val="0049781C"/>
    <w:rsid w:val="004A1529"/>
    <w:rsid w:val="004A378B"/>
    <w:rsid w:val="004A3D2E"/>
    <w:rsid w:val="004A425C"/>
    <w:rsid w:val="004A47C0"/>
    <w:rsid w:val="004A5764"/>
    <w:rsid w:val="004A5D5C"/>
    <w:rsid w:val="004A612B"/>
    <w:rsid w:val="004A75C5"/>
    <w:rsid w:val="004B0767"/>
    <w:rsid w:val="004B07C7"/>
    <w:rsid w:val="004B0B2A"/>
    <w:rsid w:val="004B14F2"/>
    <w:rsid w:val="004B184A"/>
    <w:rsid w:val="004B2B22"/>
    <w:rsid w:val="004B325D"/>
    <w:rsid w:val="004B3ACE"/>
    <w:rsid w:val="004B40EF"/>
    <w:rsid w:val="004B5295"/>
    <w:rsid w:val="004B5898"/>
    <w:rsid w:val="004B7112"/>
    <w:rsid w:val="004B7BE8"/>
    <w:rsid w:val="004C029C"/>
    <w:rsid w:val="004C0943"/>
    <w:rsid w:val="004C12F3"/>
    <w:rsid w:val="004C175D"/>
    <w:rsid w:val="004C2622"/>
    <w:rsid w:val="004C2A42"/>
    <w:rsid w:val="004C33BB"/>
    <w:rsid w:val="004C4ECE"/>
    <w:rsid w:val="004C6117"/>
    <w:rsid w:val="004C7F8A"/>
    <w:rsid w:val="004D1BB9"/>
    <w:rsid w:val="004D2132"/>
    <w:rsid w:val="004D3D72"/>
    <w:rsid w:val="004D4754"/>
    <w:rsid w:val="004D5F39"/>
    <w:rsid w:val="004D6685"/>
    <w:rsid w:val="004D7152"/>
    <w:rsid w:val="004D7632"/>
    <w:rsid w:val="004D7AAA"/>
    <w:rsid w:val="004E1046"/>
    <w:rsid w:val="004E1730"/>
    <w:rsid w:val="004E1854"/>
    <w:rsid w:val="004E1B0C"/>
    <w:rsid w:val="004E1CBD"/>
    <w:rsid w:val="004E29FF"/>
    <w:rsid w:val="004E366A"/>
    <w:rsid w:val="004E597A"/>
    <w:rsid w:val="004E5982"/>
    <w:rsid w:val="004E69A2"/>
    <w:rsid w:val="004E6B6B"/>
    <w:rsid w:val="004E6DC8"/>
    <w:rsid w:val="004E7019"/>
    <w:rsid w:val="004E7B17"/>
    <w:rsid w:val="004F11FF"/>
    <w:rsid w:val="004F1F22"/>
    <w:rsid w:val="004F2641"/>
    <w:rsid w:val="004F4131"/>
    <w:rsid w:val="004F4520"/>
    <w:rsid w:val="004F4558"/>
    <w:rsid w:val="004F63C0"/>
    <w:rsid w:val="0050200C"/>
    <w:rsid w:val="005025ED"/>
    <w:rsid w:val="00502607"/>
    <w:rsid w:val="005026F5"/>
    <w:rsid w:val="0050306E"/>
    <w:rsid w:val="0050361C"/>
    <w:rsid w:val="00504BB7"/>
    <w:rsid w:val="00505831"/>
    <w:rsid w:val="005065AB"/>
    <w:rsid w:val="005067A7"/>
    <w:rsid w:val="00506A77"/>
    <w:rsid w:val="00507A39"/>
    <w:rsid w:val="005105FC"/>
    <w:rsid w:val="005122CD"/>
    <w:rsid w:val="0051370C"/>
    <w:rsid w:val="00513F91"/>
    <w:rsid w:val="00514C88"/>
    <w:rsid w:val="00515C2D"/>
    <w:rsid w:val="00516BA9"/>
    <w:rsid w:val="00516E2E"/>
    <w:rsid w:val="0052046F"/>
    <w:rsid w:val="005205BC"/>
    <w:rsid w:val="005208FE"/>
    <w:rsid w:val="005213E5"/>
    <w:rsid w:val="00521A60"/>
    <w:rsid w:val="00521E21"/>
    <w:rsid w:val="00522BA7"/>
    <w:rsid w:val="005234AF"/>
    <w:rsid w:val="00523693"/>
    <w:rsid w:val="00524143"/>
    <w:rsid w:val="00526189"/>
    <w:rsid w:val="00526621"/>
    <w:rsid w:val="00526F17"/>
    <w:rsid w:val="00527785"/>
    <w:rsid w:val="00527BC9"/>
    <w:rsid w:val="00531339"/>
    <w:rsid w:val="005313B6"/>
    <w:rsid w:val="00531CCD"/>
    <w:rsid w:val="005327E7"/>
    <w:rsid w:val="00532DDE"/>
    <w:rsid w:val="0053481F"/>
    <w:rsid w:val="00534B6F"/>
    <w:rsid w:val="00534D5C"/>
    <w:rsid w:val="0053543D"/>
    <w:rsid w:val="005359B8"/>
    <w:rsid w:val="00536030"/>
    <w:rsid w:val="00540790"/>
    <w:rsid w:val="005408C0"/>
    <w:rsid w:val="00540E7C"/>
    <w:rsid w:val="00541101"/>
    <w:rsid w:val="0054135A"/>
    <w:rsid w:val="0054204C"/>
    <w:rsid w:val="0054218E"/>
    <w:rsid w:val="00542666"/>
    <w:rsid w:val="00543AA7"/>
    <w:rsid w:val="00546DC4"/>
    <w:rsid w:val="00547A72"/>
    <w:rsid w:val="00547E18"/>
    <w:rsid w:val="00550AB4"/>
    <w:rsid w:val="00551177"/>
    <w:rsid w:val="0055128C"/>
    <w:rsid w:val="00551935"/>
    <w:rsid w:val="005524A0"/>
    <w:rsid w:val="00553A28"/>
    <w:rsid w:val="00554024"/>
    <w:rsid w:val="00554B56"/>
    <w:rsid w:val="00555D9B"/>
    <w:rsid w:val="00556253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C47"/>
    <w:rsid w:val="005632C4"/>
    <w:rsid w:val="00563362"/>
    <w:rsid w:val="00564C79"/>
    <w:rsid w:val="00564CDE"/>
    <w:rsid w:val="0056771E"/>
    <w:rsid w:val="00570D25"/>
    <w:rsid w:val="0057177B"/>
    <w:rsid w:val="00571C86"/>
    <w:rsid w:val="005729AD"/>
    <w:rsid w:val="00573331"/>
    <w:rsid w:val="005758BF"/>
    <w:rsid w:val="0058069E"/>
    <w:rsid w:val="00581EDA"/>
    <w:rsid w:val="0058250E"/>
    <w:rsid w:val="005827A7"/>
    <w:rsid w:val="005829DC"/>
    <w:rsid w:val="005829E0"/>
    <w:rsid w:val="00584BA9"/>
    <w:rsid w:val="00586368"/>
    <w:rsid w:val="00587A0E"/>
    <w:rsid w:val="00587D2A"/>
    <w:rsid w:val="00590491"/>
    <w:rsid w:val="00591B56"/>
    <w:rsid w:val="005922B7"/>
    <w:rsid w:val="00592339"/>
    <w:rsid w:val="00592C53"/>
    <w:rsid w:val="00592FC4"/>
    <w:rsid w:val="00594445"/>
    <w:rsid w:val="00594D93"/>
    <w:rsid w:val="00595646"/>
    <w:rsid w:val="00595EE0"/>
    <w:rsid w:val="00595F8E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6A2F"/>
    <w:rsid w:val="005A6D4A"/>
    <w:rsid w:val="005A7DF4"/>
    <w:rsid w:val="005B0531"/>
    <w:rsid w:val="005B0598"/>
    <w:rsid w:val="005B083B"/>
    <w:rsid w:val="005B0912"/>
    <w:rsid w:val="005B17DC"/>
    <w:rsid w:val="005B3EB5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274"/>
    <w:rsid w:val="005C356B"/>
    <w:rsid w:val="005C48D0"/>
    <w:rsid w:val="005C4D75"/>
    <w:rsid w:val="005C4F1D"/>
    <w:rsid w:val="005C561B"/>
    <w:rsid w:val="005C5CCB"/>
    <w:rsid w:val="005C76C4"/>
    <w:rsid w:val="005C7DF4"/>
    <w:rsid w:val="005C7ECF"/>
    <w:rsid w:val="005D0048"/>
    <w:rsid w:val="005D07E1"/>
    <w:rsid w:val="005D0E7B"/>
    <w:rsid w:val="005D119C"/>
    <w:rsid w:val="005D14DE"/>
    <w:rsid w:val="005D2081"/>
    <w:rsid w:val="005D2D46"/>
    <w:rsid w:val="005D35B2"/>
    <w:rsid w:val="005D4748"/>
    <w:rsid w:val="005D4B0B"/>
    <w:rsid w:val="005D4B8B"/>
    <w:rsid w:val="005D5633"/>
    <w:rsid w:val="005D68FE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F1EF0"/>
    <w:rsid w:val="005F4C65"/>
    <w:rsid w:val="005F4C89"/>
    <w:rsid w:val="005F538C"/>
    <w:rsid w:val="005F62A5"/>
    <w:rsid w:val="005F7255"/>
    <w:rsid w:val="0060033E"/>
    <w:rsid w:val="006005D1"/>
    <w:rsid w:val="00601E18"/>
    <w:rsid w:val="00602422"/>
    <w:rsid w:val="006024B7"/>
    <w:rsid w:val="00603FFB"/>
    <w:rsid w:val="00604067"/>
    <w:rsid w:val="00604F6E"/>
    <w:rsid w:val="00605280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FE6"/>
    <w:rsid w:val="0061760A"/>
    <w:rsid w:val="00617941"/>
    <w:rsid w:val="0061797B"/>
    <w:rsid w:val="0062039E"/>
    <w:rsid w:val="00623185"/>
    <w:rsid w:val="006238E4"/>
    <w:rsid w:val="006238FB"/>
    <w:rsid w:val="00624992"/>
    <w:rsid w:val="0063002D"/>
    <w:rsid w:val="006312DD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74B0"/>
    <w:rsid w:val="006406FF"/>
    <w:rsid w:val="00640F92"/>
    <w:rsid w:val="00641355"/>
    <w:rsid w:val="006423CF"/>
    <w:rsid w:val="00642A98"/>
    <w:rsid w:val="00644304"/>
    <w:rsid w:val="00644CA0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C39"/>
    <w:rsid w:val="00665CBD"/>
    <w:rsid w:val="00670184"/>
    <w:rsid w:val="0067088C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7235"/>
    <w:rsid w:val="006808A6"/>
    <w:rsid w:val="00680EC7"/>
    <w:rsid w:val="00681356"/>
    <w:rsid w:val="006822D7"/>
    <w:rsid w:val="006840E0"/>
    <w:rsid w:val="00685747"/>
    <w:rsid w:val="0068589B"/>
    <w:rsid w:val="00685E9A"/>
    <w:rsid w:val="00686194"/>
    <w:rsid w:val="00687C5E"/>
    <w:rsid w:val="0069038C"/>
    <w:rsid w:val="006908F6"/>
    <w:rsid w:val="0069381D"/>
    <w:rsid w:val="006946B2"/>
    <w:rsid w:val="00694E99"/>
    <w:rsid w:val="00695BA6"/>
    <w:rsid w:val="00695D8B"/>
    <w:rsid w:val="0069676F"/>
    <w:rsid w:val="00697C52"/>
    <w:rsid w:val="006A0A11"/>
    <w:rsid w:val="006A108F"/>
    <w:rsid w:val="006A3377"/>
    <w:rsid w:val="006A3AFA"/>
    <w:rsid w:val="006A3DDC"/>
    <w:rsid w:val="006A4E16"/>
    <w:rsid w:val="006A60FC"/>
    <w:rsid w:val="006A69F6"/>
    <w:rsid w:val="006A74F8"/>
    <w:rsid w:val="006B0283"/>
    <w:rsid w:val="006B0A2D"/>
    <w:rsid w:val="006B2120"/>
    <w:rsid w:val="006B2423"/>
    <w:rsid w:val="006B2A0B"/>
    <w:rsid w:val="006B340D"/>
    <w:rsid w:val="006B58F6"/>
    <w:rsid w:val="006B62E0"/>
    <w:rsid w:val="006B7816"/>
    <w:rsid w:val="006B7F4C"/>
    <w:rsid w:val="006C036F"/>
    <w:rsid w:val="006C0718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6"/>
    <w:rsid w:val="006C7665"/>
    <w:rsid w:val="006C7854"/>
    <w:rsid w:val="006D0AE4"/>
    <w:rsid w:val="006D0CCA"/>
    <w:rsid w:val="006D1860"/>
    <w:rsid w:val="006D22AC"/>
    <w:rsid w:val="006D313A"/>
    <w:rsid w:val="006D3F8C"/>
    <w:rsid w:val="006D5195"/>
    <w:rsid w:val="006D5AD8"/>
    <w:rsid w:val="006D63A8"/>
    <w:rsid w:val="006D67C1"/>
    <w:rsid w:val="006D69C8"/>
    <w:rsid w:val="006D6FF9"/>
    <w:rsid w:val="006D76CD"/>
    <w:rsid w:val="006D7923"/>
    <w:rsid w:val="006E01BA"/>
    <w:rsid w:val="006E047B"/>
    <w:rsid w:val="006E0A34"/>
    <w:rsid w:val="006E0FDB"/>
    <w:rsid w:val="006E1C2C"/>
    <w:rsid w:val="006E1FF1"/>
    <w:rsid w:val="006E277A"/>
    <w:rsid w:val="006E284A"/>
    <w:rsid w:val="006E2FA9"/>
    <w:rsid w:val="006E3347"/>
    <w:rsid w:val="006E38E0"/>
    <w:rsid w:val="006E406F"/>
    <w:rsid w:val="006E4D58"/>
    <w:rsid w:val="006E6301"/>
    <w:rsid w:val="006E6E66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F52"/>
    <w:rsid w:val="006F58DB"/>
    <w:rsid w:val="006F5BFB"/>
    <w:rsid w:val="006F6E04"/>
    <w:rsid w:val="006F794E"/>
    <w:rsid w:val="006F7DB1"/>
    <w:rsid w:val="0070233A"/>
    <w:rsid w:val="00703335"/>
    <w:rsid w:val="00703FAB"/>
    <w:rsid w:val="00704171"/>
    <w:rsid w:val="00704532"/>
    <w:rsid w:val="007053B0"/>
    <w:rsid w:val="00705884"/>
    <w:rsid w:val="007058AC"/>
    <w:rsid w:val="00706187"/>
    <w:rsid w:val="00706329"/>
    <w:rsid w:val="0070667D"/>
    <w:rsid w:val="00711693"/>
    <w:rsid w:val="00711B8F"/>
    <w:rsid w:val="0071241C"/>
    <w:rsid w:val="00714BAE"/>
    <w:rsid w:val="007153E0"/>
    <w:rsid w:val="00715973"/>
    <w:rsid w:val="00715AD1"/>
    <w:rsid w:val="007162B9"/>
    <w:rsid w:val="0071653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E7"/>
    <w:rsid w:val="007270AA"/>
    <w:rsid w:val="007273B9"/>
    <w:rsid w:val="00730F38"/>
    <w:rsid w:val="00731FAF"/>
    <w:rsid w:val="0073263C"/>
    <w:rsid w:val="007327DC"/>
    <w:rsid w:val="00733C1E"/>
    <w:rsid w:val="00734452"/>
    <w:rsid w:val="007358BD"/>
    <w:rsid w:val="00736775"/>
    <w:rsid w:val="007370F9"/>
    <w:rsid w:val="00741000"/>
    <w:rsid w:val="0074280B"/>
    <w:rsid w:val="00742C25"/>
    <w:rsid w:val="00743BCD"/>
    <w:rsid w:val="00746BB5"/>
    <w:rsid w:val="00747313"/>
    <w:rsid w:val="007475BC"/>
    <w:rsid w:val="007477A3"/>
    <w:rsid w:val="00747A16"/>
    <w:rsid w:val="0075006F"/>
    <w:rsid w:val="00750350"/>
    <w:rsid w:val="00750513"/>
    <w:rsid w:val="00751716"/>
    <w:rsid w:val="007518AC"/>
    <w:rsid w:val="007540D6"/>
    <w:rsid w:val="00754AA0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A0A"/>
    <w:rsid w:val="007651CD"/>
    <w:rsid w:val="0076566A"/>
    <w:rsid w:val="00765BFE"/>
    <w:rsid w:val="007663AE"/>
    <w:rsid w:val="00766C85"/>
    <w:rsid w:val="00766D35"/>
    <w:rsid w:val="0077064B"/>
    <w:rsid w:val="0077125F"/>
    <w:rsid w:val="00772608"/>
    <w:rsid w:val="0077476D"/>
    <w:rsid w:val="00774A00"/>
    <w:rsid w:val="00774CC6"/>
    <w:rsid w:val="00774DE7"/>
    <w:rsid w:val="007750D6"/>
    <w:rsid w:val="0077551D"/>
    <w:rsid w:val="00775CAB"/>
    <w:rsid w:val="00775D5E"/>
    <w:rsid w:val="00776E53"/>
    <w:rsid w:val="00781063"/>
    <w:rsid w:val="0078179A"/>
    <w:rsid w:val="00781C63"/>
    <w:rsid w:val="007826D6"/>
    <w:rsid w:val="00782ACB"/>
    <w:rsid w:val="00783236"/>
    <w:rsid w:val="00783537"/>
    <w:rsid w:val="00784141"/>
    <w:rsid w:val="00784443"/>
    <w:rsid w:val="007847D4"/>
    <w:rsid w:val="00784852"/>
    <w:rsid w:val="00784A57"/>
    <w:rsid w:val="007859BB"/>
    <w:rsid w:val="00785E6C"/>
    <w:rsid w:val="0078645B"/>
    <w:rsid w:val="0079059D"/>
    <w:rsid w:val="00792F53"/>
    <w:rsid w:val="00794343"/>
    <w:rsid w:val="00794658"/>
    <w:rsid w:val="00794AA2"/>
    <w:rsid w:val="00794CA1"/>
    <w:rsid w:val="007955A4"/>
    <w:rsid w:val="00795879"/>
    <w:rsid w:val="00796DE9"/>
    <w:rsid w:val="0079733C"/>
    <w:rsid w:val="00797B93"/>
    <w:rsid w:val="00797D9B"/>
    <w:rsid w:val="00797E9F"/>
    <w:rsid w:val="007A00DB"/>
    <w:rsid w:val="007A0131"/>
    <w:rsid w:val="007A0C0F"/>
    <w:rsid w:val="007A179D"/>
    <w:rsid w:val="007A220F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218E"/>
    <w:rsid w:val="007B2A79"/>
    <w:rsid w:val="007B2C6A"/>
    <w:rsid w:val="007B2F32"/>
    <w:rsid w:val="007B3837"/>
    <w:rsid w:val="007B3936"/>
    <w:rsid w:val="007B40A6"/>
    <w:rsid w:val="007B4E63"/>
    <w:rsid w:val="007B5CD4"/>
    <w:rsid w:val="007C0073"/>
    <w:rsid w:val="007C0B54"/>
    <w:rsid w:val="007C1030"/>
    <w:rsid w:val="007C161B"/>
    <w:rsid w:val="007C2805"/>
    <w:rsid w:val="007C3758"/>
    <w:rsid w:val="007C48A1"/>
    <w:rsid w:val="007C4AD3"/>
    <w:rsid w:val="007C5255"/>
    <w:rsid w:val="007C57EE"/>
    <w:rsid w:val="007C7735"/>
    <w:rsid w:val="007C7ABB"/>
    <w:rsid w:val="007C7E23"/>
    <w:rsid w:val="007D012C"/>
    <w:rsid w:val="007D02D9"/>
    <w:rsid w:val="007D044C"/>
    <w:rsid w:val="007D09A4"/>
    <w:rsid w:val="007D0EE4"/>
    <w:rsid w:val="007D1D1D"/>
    <w:rsid w:val="007D1E54"/>
    <w:rsid w:val="007D1F08"/>
    <w:rsid w:val="007D42ED"/>
    <w:rsid w:val="007D491A"/>
    <w:rsid w:val="007D50AE"/>
    <w:rsid w:val="007D5620"/>
    <w:rsid w:val="007D57F4"/>
    <w:rsid w:val="007D6E7B"/>
    <w:rsid w:val="007D72CD"/>
    <w:rsid w:val="007D78D0"/>
    <w:rsid w:val="007E0DBE"/>
    <w:rsid w:val="007E113E"/>
    <w:rsid w:val="007E15CE"/>
    <w:rsid w:val="007E2494"/>
    <w:rsid w:val="007E24CD"/>
    <w:rsid w:val="007E2953"/>
    <w:rsid w:val="007E34CA"/>
    <w:rsid w:val="007E38C2"/>
    <w:rsid w:val="007E3917"/>
    <w:rsid w:val="007E3E92"/>
    <w:rsid w:val="007E3F41"/>
    <w:rsid w:val="007E3FCD"/>
    <w:rsid w:val="007E60C5"/>
    <w:rsid w:val="007E63B6"/>
    <w:rsid w:val="007E7D2B"/>
    <w:rsid w:val="007F0312"/>
    <w:rsid w:val="007F052C"/>
    <w:rsid w:val="007F0BA1"/>
    <w:rsid w:val="007F1F58"/>
    <w:rsid w:val="007F1FB1"/>
    <w:rsid w:val="007F4B36"/>
    <w:rsid w:val="007F4E83"/>
    <w:rsid w:val="007F5774"/>
    <w:rsid w:val="007F5FEE"/>
    <w:rsid w:val="007F63DA"/>
    <w:rsid w:val="007F6602"/>
    <w:rsid w:val="007F6ABF"/>
    <w:rsid w:val="007F6FA6"/>
    <w:rsid w:val="007F709D"/>
    <w:rsid w:val="00800388"/>
    <w:rsid w:val="00800987"/>
    <w:rsid w:val="00801C55"/>
    <w:rsid w:val="008028DC"/>
    <w:rsid w:val="00803998"/>
    <w:rsid w:val="00804486"/>
    <w:rsid w:val="008045B6"/>
    <w:rsid w:val="008046F9"/>
    <w:rsid w:val="008047D7"/>
    <w:rsid w:val="0080491A"/>
    <w:rsid w:val="00804DB7"/>
    <w:rsid w:val="0080506C"/>
    <w:rsid w:val="0080779D"/>
    <w:rsid w:val="00811536"/>
    <w:rsid w:val="00811690"/>
    <w:rsid w:val="00813914"/>
    <w:rsid w:val="008141A8"/>
    <w:rsid w:val="00814F2C"/>
    <w:rsid w:val="0081510E"/>
    <w:rsid w:val="00815961"/>
    <w:rsid w:val="00816CFC"/>
    <w:rsid w:val="00817677"/>
    <w:rsid w:val="00817A2A"/>
    <w:rsid w:val="00817DAE"/>
    <w:rsid w:val="00820488"/>
    <w:rsid w:val="0082075E"/>
    <w:rsid w:val="0082087F"/>
    <w:rsid w:val="00820DAF"/>
    <w:rsid w:val="008211F1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30328"/>
    <w:rsid w:val="0083079A"/>
    <w:rsid w:val="0083131E"/>
    <w:rsid w:val="00831BA6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402A3"/>
    <w:rsid w:val="00840505"/>
    <w:rsid w:val="00840B17"/>
    <w:rsid w:val="00842E88"/>
    <w:rsid w:val="008435DB"/>
    <w:rsid w:val="008444F3"/>
    <w:rsid w:val="008446CB"/>
    <w:rsid w:val="00844F9E"/>
    <w:rsid w:val="00846679"/>
    <w:rsid w:val="0084799D"/>
    <w:rsid w:val="00847AD4"/>
    <w:rsid w:val="00851C59"/>
    <w:rsid w:val="008521CA"/>
    <w:rsid w:val="00852E98"/>
    <w:rsid w:val="0085320F"/>
    <w:rsid w:val="00854C1A"/>
    <w:rsid w:val="00855B17"/>
    <w:rsid w:val="00855FEC"/>
    <w:rsid w:val="00857FC4"/>
    <w:rsid w:val="008618B7"/>
    <w:rsid w:val="008619CC"/>
    <w:rsid w:val="00861B23"/>
    <w:rsid w:val="008624F8"/>
    <w:rsid w:val="00864102"/>
    <w:rsid w:val="0086490E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4FDB"/>
    <w:rsid w:val="0087702A"/>
    <w:rsid w:val="008773CD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DD1"/>
    <w:rsid w:val="00890541"/>
    <w:rsid w:val="00890B3F"/>
    <w:rsid w:val="00890F94"/>
    <w:rsid w:val="0089138D"/>
    <w:rsid w:val="00891F12"/>
    <w:rsid w:val="00892672"/>
    <w:rsid w:val="00892CF6"/>
    <w:rsid w:val="00894927"/>
    <w:rsid w:val="00894C88"/>
    <w:rsid w:val="00894FBB"/>
    <w:rsid w:val="008953AC"/>
    <w:rsid w:val="00895BE4"/>
    <w:rsid w:val="008964F1"/>
    <w:rsid w:val="008967A8"/>
    <w:rsid w:val="00897587"/>
    <w:rsid w:val="008A14F7"/>
    <w:rsid w:val="008A15C3"/>
    <w:rsid w:val="008A1A45"/>
    <w:rsid w:val="008A1B81"/>
    <w:rsid w:val="008A223E"/>
    <w:rsid w:val="008A23DA"/>
    <w:rsid w:val="008A548A"/>
    <w:rsid w:val="008A5BE6"/>
    <w:rsid w:val="008A6201"/>
    <w:rsid w:val="008A653B"/>
    <w:rsid w:val="008A693F"/>
    <w:rsid w:val="008A6CD6"/>
    <w:rsid w:val="008A7C5D"/>
    <w:rsid w:val="008B028E"/>
    <w:rsid w:val="008B0BB6"/>
    <w:rsid w:val="008B195C"/>
    <w:rsid w:val="008B1A7C"/>
    <w:rsid w:val="008B28BD"/>
    <w:rsid w:val="008B28F3"/>
    <w:rsid w:val="008B2923"/>
    <w:rsid w:val="008B2ECA"/>
    <w:rsid w:val="008B358E"/>
    <w:rsid w:val="008B3C56"/>
    <w:rsid w:val="008B3FE7"/>
    <w:rsid w:val="008B4660"/>
    <w:rsid w:val="008B55B4"/>
    <w:rsid w:val="008B5E60"/>
    <w:rsid w:val="008B6BBD"/>
    <w:rsid w:val="008B6D53"/>
    <w:rsid w:val="008B7682"/>
    <w:rsid w:val="008B77BA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C14"/>
    <w:rsid w:val="008C408B"/>
    <w:rsid w:val="008C4EAF"/>
    <w:rsid w:val="008C5388"/>
    <w:rsid w:val="008D09E7"/>
    <w:rsid w:val="008D0A34"/>
    <w:rsid w:val="008D2453"/>
    <w:rsid w:val="008D28ED"/>
    <w:rsid w:val="008D7517"/>
    <w:rsid w:val="008E03AF"/>
    <w:rsid w:val="008E0F12"/>
    <w:rsid w:val="008E127E"/>
    <w:rsid w:val="008E142E"/>
    <w:rsid w:val="008E284D"/>
    <w:rsid w:val="008E39C8"/>
    <w:rsid w:val="008E57AC"/>
    <w:rsid w:val="008E6930"/>
    <w:rsid w:val="008E788F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FD2"/>
    <w:rsid w:val="0090129E"/>
    <w:rsid w:val="00901848"/>
    <w:rsid w:val="00902232"/>
    <w:rsid w:val="009027EF"/>
    <w:rsid w:val="00902842"/>
    <w:rsid w:val="00902B30"/>
    <w:rsid w:val="00902BC3"/>
    <w:rsid w:val="0090308B"/>
    <w:rsid w:val="009039F6"/>
    <w:rsid w:val="009039FE"/>
    <w:rsid w:val="0090431A"/>
    <w:rsid w:val="0090572C"/>
    <w:rsid w:val="009069AE"/>
    <w:rsid w:val="0090733A"/>
    <w:rsid w:val="00910672"/>
    <w:rsid w:val="00910DDF"/>
    <w:rsid w:val="0091110A"/>
    <w:rsid w:val="009118D4"/>
    <w:rsid w:val="0091197E"/>
    <w:rsid w:val="00912ACD"/>
    <w:rsid w:val="009131B0"/>
    <w:rsid w:val="00913AAF"/>
    <w:rsid w:val="00914662"/>
    <w:rsid w:val="00914A9F"/>
    <w:rsid w:val="009152BE"/>
    <w:rsid w:val="009161E4"/>
    <w:rsid w:val="0091696F"/>
    <w:rsid w:val="00916D75"/>
    <w:rsid w:val="00920A52"/>
    <w:rsid w:val="009218E0"/>
    <w:rsid w:val="00922CCB"/>
    <w:rsid w:val="00923B12"/>
    <w:rsid w:val="0092433A"/>
    <w:rsid w:val="0092527C"/>
    <w:rsid w:val="00927424"/>
    <w:rsid w:val="00931154"/>
    <w:rsid w:val="00932F32"/>
    <w:rsid w:val="00933E33"/>
    <w:rsid w:val="00934056"/>
    <w:rsid w:val="0093443F"/>
    <w:rsid w:val="00934F6F"/>
    <w:rsid w:val="009358B8"/>
    <w:rsid w:val="00935917"/>
    <w:rsid w:val="009364DC"/>
    <w:rsid w:val="00937391"/>
    <w:rsid w:val="00937433"/>
    <w:rsid w:val="00940BB4"/>
    <w:rsid w:val="00940D96"/>
    <w:rsid w:val="009412E9"/>
    <w:rsid w:val="00942595"/>
    <w:rsid w:val="00943026"/>
    <w:rsid w:val="0094307F"/>
    <w:rsid w:val="0094399B"/>
    <w:rsid w:val="009447A5"/>
    <w:rsid w:val="00944A3C"/>
    <w:rsid w:val="00945C1E"/>
    <w:rsid w:val="00947532"/>
    <w:rsid w:val="009476A1"/>
    <w:rsid w:val="00947ADA"/>
    <w:rsid w:val="00947CEB"/>
    <w:rsid w:val="00951235"/>
    <w:rsid w:val="00951504"/>
    <w:rsid w:val="00951A6A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510"/>
    <w:rsid w:val="0096127C"/>
    <w:rsid w:val="0096175B"/>
    <w:rsid w:val="00961914"/>
    <w:rsid w:val="00961AD6"/>
    <w:rsid w:val="00962373"/>
    <w:rsid w:val="0096451E"/>
    <w:rsid w:val="009656EC"/>
    <w:rsid w:val="00966E6D"/>
    <w:rsid w:val="00967C05"/>
    <w:rsid w:val="00971C6B"/>
    <w:rsid w:val="00971E06"/>
    <w:rsid w:val="00971FF4"/>
    <w:rsid w:val="0097234F"/>
    <w:rsid w:val="009725B8"/>
    <w:rsid w:val="0097316B"/>
    <w:rsid w:val="0097430B"/>
    <w:rsid w:val="009745E7"/>
    <w:rsid w:val="00974D2D"/>
    <w:rsid w:val="009754A9"/>
    <w:rsid w:val="00977429"/>
    <w:rsid w:val="009802DD"/>
    <w:rsid w:val="00980A67"/>
    <w:rsid w:val="00981166"/>
    <w:rsid w:val="00982BEB"/>
    <w:rsid w:val="00983F8E"/>
    <w:rsid w:val="00984453"/>
    <w:rsid w:val="00985634"/>
    <w:rsid w:val="00985AAA"/>
    <w:rsid w:val="009866DB"/>
    <w:rsid w:val="009868D3"/>
    <w:rsid w:val="00986E50"/>
    <w:rsid w:val="00987364"/>
    <w:rsid w:val="00990047"/>
    <w:rsid w:val="00991244"/>
    <w:rsid w:val="00991432"/>
    <w:rsid w:val="009914FF"/>
    <w:rsid w:val="00991B71"/>
    <w:rsid w:val="00991F69"/>
    <w:rsid w:val="0099217B"/>
    <w:rsid w:val="00992BE5"/>
    <w:rsid w:val="00993200"/>
    <w:rsid w:val="0099326D"/>
    <w:rsid w:val="00994404"/>
    <w:rsid w:val="009947FE"/>
    <w:rsid w:val="00994A4F"/>
    <w:rsid w:val="0099579F"/>
    <w:rsid w:val="00996E50"/>
    <w:rsid w:val="0099709A"/>
    <w:rsid w:val="009972C3"/>
    <w:rsid w:val="0099737F"/>
    <w:rsid w:val="009A0294"/>
    <w:rsid w:val="009A1775"/>
    <w:rsid w:val="009A298F"/>
    <w:rsid w:val="009A2B88"/>
    <w:rsid w:val="009A35A4"/>
    <w:rsid w:val="009A394F"/>
    <w:rsid w:val="009A4389"/>
    <w:rsid w:val="009A5F9B"/>
    <w:rsid w:val="009B08E9"/>
    <w:rsid w:val="009B0BA1"/>
    <w:rsid w:val="009B234E"/>
    <w:rsid w:val="009B253E"/>
    <w:rsid w:val="009B2782"/>
    <w:rsid w:val="009B2E23"/>
    <w:rsid w:val="009B4D55"/>
    <w:rsid w:val="009B50B0"/>
    <w:rsid w:val="009B51E4"/>
    <w:rsid w:val="009B5211"/>
    <w:rsid w:val="009B6A05"/>
    <w:rsid w:val="009B6E34"/>
    <w:rsid w:val="009B77FB"/>
    <w:rsid w:val="009B784C"/>
    <w:rsid w:val="009C0DCF"/>
    <w:rsid w:val="009C1212"/>
    <w:rsid w:val="009C211F"/>
    <w:rsid w:val="009C21BD"/>
    <w:rsid w:val="009C2394"/>
    <w:rsid w:val="009C28A6"/>
    <w:rsid w:val="009C2C2B"/>
    <w:rsid w:val="009C2C70"/>
    <w:rsid w:val="009C30B2"/>
    <w:rsid w:val="009C40BA"/>
    <w:rsid w:val="009C4338"/>
    <w:rsid w:val="009C437E"/>
    <w:rsid w:val="009C5AEF"/>
    <w:rsid w:val="009C5E5D"/>
    <w:rsid w:val="009C5FFB"/>
    <w:rsid w:val="009C6F90"/>
    <w:rsid w:val="009C7643"/>
    <w:rsid w:val="009D0477"/>
    <w:rsid w:val="009D0634"/>
    <w:rsid w:val="009D0994"/>
    <w:rsid w:val="009D1786"/>
    <w:rsid w:val="009D2B71"/>
    <w:rsid w:val="009D327A"/>
    <w:rsid w:val="009D336C"/>
    <w:rsid w:val="009D3745"/>
    <w:rsid w:val="009D416A"/>
    <w:rsid w:val="009D6206"/>
    <w:rsid w:val="009D76DF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958"/>
    <w:rsid w:val="009E5AF4"/>
    <w:rsid w:val="009E6EE5"/>
    <w:rsid w:val="009F0162"/>
    <w:rsid w:val="009F26BB"/>
    <w:rsid w:val="009F28D1"/>
    <w:rsid w:val="009F2CD7"/>
    <w:rsid w:val="009F3323"/>
    <w:rsid w:val="009F3451"/>
    <w:rsid w:val="009F3982"/>
    <w:rsid w:val="009F499C"/>
    <w:rsid w:val="009F5869"/>
    <w:rsid w:val="009F63C4"/>
    <w:rsid w:val="009F6A0E"/>
    <w:rsid w:val="009F7082"/>
    <w:rsid w:val="009F776D"/>
    <w:rsid w:val="009F7DF6"/>
    <w:rsid w:val="00A019AE"/>
    <w:rsid w:val="00A02489"/>
    <w:rsid w:val="00A0262E"/>
    <w:rsid w:val="00A0280D"/>
    <w:rsid w:val="00A0325F"/>
    <w:rsid w:val="00A035CD"/>
    <w:rsid w:val="00A037FD"/>
    <w:rsid w:val="00A03A19"/>
    <w:rsid w:val="00A04868"/>
    <w:rsid w:val="00A050F7"/>
    <w:rsid w:val="00A05CC7"/>
    <w:rsid w:val="00A06AB6"/>
    <w:rsid w:val="00A07374"/>
    <w:rsid w:val="00A0762B"/>
    <w:rsid w:val="00A10E68"/>
    <w:rsid w:val="00A117B5"/>
    <w:rsid w:val="00A11A50"/>
    <w:rsid w:val="00A11AF1"/>
    <w:rsid w:val="00A12BEB"/>
    <w:rsid w:val="00A12CCB"/>
    <w:rsid w:val="00A13039"/>
    <w:rsid w:val="00A139AB"/>
    <w:rsid w:val="00A14046"/>
    <w:rsid w:val="00A14822"/>
    <w:rsid w:val="00A14ABD"/>
    <w:rsid w:val="00A16E50"/>
    <w:rsid w:val="00A16E95"/>
    <w:rsid w:val="00A17251"/>
    <w:rsid w:val="00A1737F"/>
    <w:rsid w:val="00A219A4"/>
    <w:rsid w:val="00A21D66"/>
    <w:rsid w:val="00A21ECF"/>
    <w:rsid w:val="00A22967"/>
    <w:rsid w:val="00A22D8E"/>
    <w:rsid w:val="00A23B39"/>
    <w:rsid w:val="00A23B42"/>
    <w:rsid w:val="00A25343"/>
    <w:rsid w:val="00A253DD"/>
    <w:rsid w:val="00A257E8"/>
    <w:rsid w:val="00A25812"/>
    <w:rsid w:val="00A25C86"/>
    <w:rsid w:val="00A25D2E"/>
    <w:rsid w:val="00A25ECC"/>
    <w:rsid w:val="00A2644B"/>
    <w:rsid w:val="00A26D06"/>
    <w:rsid w:val="00A26E5E"/>
    <w:rsid w:val="00A31A74"/>
    <w:rsid w:val="00A31AD5"/>
    <w:rsid w:val="00A3201C"/>
    <w:rsid w:val="00A32464"/>
    <w:rsid w:val="00A32D28"/>
    <w:rsid w:val="00A332E3"/>
    <w:rsid w:val="00A33605"/>
    <w:rsid w:val="00A35C25"/>
    <w:rsid w:val="00A40CE0"/>
    <w:rsid w:val="00A41E06"/>
    <w:rsid w:val="00A42A14"/>
    <w:rsid w:val="00A42C01"/>
    <w:rsid w:val="00A42E4B"/>
    <w:rsid w:val="00A4475C"/>
    <w:rsid w:val="00A44891"/>
    <w:rsid w:val="00A44C00"/>
    <w:rsid w:val="00A44FF0"/>
    <w:rsid w:val="00A4538F"/>
    <w:rsid w:val="00A45819"/>
    <w:rsid w:val="00A4584C"/>
    <w:rsid w:val="00A45E71"/>
    <w:rsid w:val="00A45F9A"/>
    <w:rsid w:val="00A470A6"/>
    <w:rsid w:val="00A47A5E"/>
    <w:rsid w:val="00A51521"/>
    <w:rsid w:val="00A51DD3"/>
    <w:rsid w:val="00A51EFC"/>
    <w:rsid w:val="00A52587"/>
    <w:rsid w:val="00A525A8"/>
    <w:rsid w:val="00A5289A"/>
    <w:rsid w:val="00A52BD4"/>
    <w:rsid w:val="00A52E79"/>
    <w:rsid w:val="00A53860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65A8"/>
    <w:rsid w:val="00A67508"/>
    <w:rsid w:val="00A676CA"/>
    <w:rsid w:val="00A71654"/>
    <w:rsid w:val="00A71697"/>
    <w:rsid w:val="00A718E5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EC"/>
    <w:rsid w:val="00A774F2"/>
    <w:rsid w:val="00A77C0F"/>
    <w:rsid w:val="00A77C3F"/>
    <w:rsid w:val="00A80C73"/>
    <w:rsid w:val="00A81E20"/>
    <w:rsid w:val="00A829E2"/>
    <w:rsid w:val="00A82E79"/>
    <w:rsid w:val="00A83370"/>
    <w:rsid w:val="00A83792"/>
    <w:rsid w:val="00A83A23"/>
    <w:rsid w:val="00A845A6"/>
    <w:rsid w:val="00A854E1"/>
    <w:rsid w:val="00A869EC"/>
    <w:rsid w:val="00A86B3D"/>
    <w:rsid w:val="00A87353"/>
    <w:rsid w:val="00A876FF"/>
    <w:rsid w:val="00A90BF8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FB3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5016"/>
    <w:rsid w:val="00AA517F"/>
    <w:rsid w:val="00AA5ADB"/>
    <w:rsid w:val="00AA5BDE"/>
    <w:rsid w:val="00AB0646"/>
    <w:rsid w:val="00AB0AC4"/>
    <w:rsid w:val="00AB1795"/>
    <w:rsid w:val="00AB32BC"/>
    <w:rsid w:val="00AB3D4D"/>
    <w:rsid w:val="00AB3DF3"/>
    <w:rsid w:val="00AB5993"/>
    <w:rsid w:val="00AB5A2C"/>
    <w:rsid w:val="00AB5BA2"/>
    <w:rsid w:val="00AB6477"/>
    <w:rsid w:val="00AB6FCB"/>
    <w:rsid w:val="00AC07A2"/>
    <w:rsid w:val="00AC1CB6"/>
    <w:rsid w:val="00AC1D6B"/>
    <w:rsid w:val="00AC39EC"/>
    <w:rsid w:val="00AC41B5"/>
    <w:rsid w:val="00AC48D1"/>
    <w:rsid w:val="00AC57A4"/>
    <w:rsid w:val="00AC5CBC"/>
    <w:rsid w:val="00AC5DD2"/>
    <w:rsid w:val="00AC7016"/>
    <w:rsid w:val="00AC71C5"/>
    <w:rsid w:val="00AD018C"/>
    <w:rsid w:val="00AD01F1"/>
    <w:rsid w:val="00AD137C"/>
    <w:rsid w:val="00AD18E8"/>
    <w:rsid w:val="00AD1DA0"/>
    <w:rsid w:val="00AD1F1B"/>
    <w:rsid w:val="00AD1F5F"/>
    <w:rsid w:val="00AD238A"/>
    <w:rsid w:val="00AD2DA0"/>
    <w:rsid w:val="00AD45CA"/>
    <w:rsid w:val="00AD5803"/>
    <w:rsid w:val="00AD5C19"/>
    <w:rsid w:val="00AD70F9"/>
    <w:rsid w:val="00AD7A37"/>
    <w:rsid w:val="00AE002D"/>
    <w:rsid w:val="00AE0F69"/>
    <w:rsid w:val="00AE101F"/>
    <w:rsid w:val="00AE16EA"/>
    <w:rsid w:val="00AE1E98"/>
    <w:rsid w:val="00AE45BB"/>
    <w:rsid w:val="00AE4DD7"/>
    <w:rsid w:val="00AE6E0F"/>
    <w:rsid w:val="00AE6EF5"/>
    <w:rsid w:val="00AE6FF6"/>
    <w:rsid w:val="00AE7AD6"/>
    <w:rsid w:val="00AF0027"/>
    <w:rsid w:val="00AF05A7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4FB0"/>
    <w:rsid w:val="00AF5358"/>
    <w:rsid w:val="00AF5910"/>
    <w:rsid w:val="00B004B2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3678"/>
    <w:rsid w:val="00B049D8"/>
    <w:rsid w:val="00B050ED"/>
    <w:rsid w:val="00B06933"/>
    <w:rsid w:val="00B06E8A"/>
    <w:rsid w:val="00B07016"/>
    <w:rsid w:val="00B0728F"/>
    <w:rsid w:val="00B07CDB"/>
    <w:rsid w:val="00B07D0D"/>
    <w:rsid w:val="00B110B8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74"/>
    <w:rsid w:val="00B22252"/>
    <w:rsid w:val="00B22EEA"/>
    <w:rsid w:val="00B2354D"/>
    <w:rsid w:val="00B23AF3"/>
    <w:rsid w:val="00B243B6"/>
    <w:rsid w:val="00B244AE"/>
    <w:rsid w:val="00B24873"/>
    <w:rsid w:val="00B26123"/>
    <w:rsid w:val="00B26662"/>
    <w:rsid w:val="00B26714"/>
    <w:rsid w:val="00B275C1"/>
    <w:rsid w:val="00B30057"/>
    <w:rsid w:val="00B30591"/>
    <w:rsid w:val="00B318C7"/>
    <w:rsid w:val="00B322D9"/>
    <w:rsid w:val="00B33431"/>
    <w:rsid w:val="00B33A93"/>
    <w:rsid w:val="00B357C6"/>
    <w:rsid w:val="00B35B70"/>
    <w:rsid w:val="00B36EF8"/>
    <w:rsid w:val="00B40CA6"/>
    <w:rsid w:val="00B41088"/>
    <w:rsid w:val="00B433F1"/>
    <w:rsid w:val="00B4484F"/>
    <w:rsid w:val="00B449D7"/>
    <w:rsid w:val="00B44FFA"/>
    <w:rsid w:val="00B45743"/>
    <w:rsid w:val="00B46D68"/>
    <w:rsid w:val="00B46E80"/>
    <w:rsid w:val="00B50AC7"/>
    <w:rsid w:val="00B50F70"/>
    <w:rsid w:val="00B51D64"/>
    <w:rsid w:val="00B535BB"/>
    <w:rsid w:val="00B54C43"/>
    <w:rsid w:val="00B54CCB"/>
    <w:rsid w:val="00B554A6"/>
    <w:rsid w:val="00B55685"/>
    <w:rsid w:val="00B55833"/>
    <w:rsid w:val="00B56035"/>
    <w:rsid w:val="00B567EA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4239"/>
    <w:rsid w:val="00B64C87"/>
    <w:rsid w:val="00B654C5"/>
    <w:rsid w:val="00B65643"/>
    <w:rsid w:val="00B67396"/>
    <w:rsid w:val="00B677D6"/>
    <w:rsid w:val="00B67B06"/>
    <w:rsid w:val="00B7045E"/>
    <w:rsid w:val="00B70A64"/>
    <w:rsid w:val="00B70D32"/>
    <w:rsid w:val="00B71170"/>
    <w:rsid w:val="00B71F91"/>
    <w:rsid w:val="00B71FA3"/>
    <w:rsid w:val="00B72F06"/>
    <w:rsid w:val="00B743C5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6324"/>
    <w:rsid w:val="00B8695E"/>
    <w:rsid w:val="00B86F71"/>
    <w:rsid w:val="00B908E4"/>
    <w:rsid w:val="00B91BB6"/>
    <w:rsid w:val="00B91D8F"/>
    <w:rsid w:val="00B921B8"/>
    <w:rsid w:val="00B93812"/>
    <w:rsid w:val="00B93AC3"/>
    <w:rsid w:val="00B93E27"/>
    <w:rsid w:val="00B94393"/>
    <w:rsid w:val="00B9472B"/>
    <w:rsid w:val="00B94E1F"/>
    <w:rsid w:val="00B94F3D"/>
    <w:rsid w:val="00B961D9"/>
    <w:rsid w:val="00BA012F"/>
    <w:rsid w:val="00BA0464"/>
    <w:rsid w:val="00BA0C83"/>
    <w:rsid w:val="00BA0FAB"/>
    <w:rsid w:val="00BA0FF4"/>
    <w:rsid w:val="00BA15D0"/>
    <w:rsid w:val="00BA2CA9"/>
    <w:rsid w:val="00BA3F48"/>
    <w:rsid w:val="00BA4714"/>
    <w:rsid w:val="00BA47FE"/>
    <w:rsid w:val="00BA5557"/>
    <w:rsid w:val="00BA6A5A"/>
    <w:rsid w:val="00BA71FD"/>
    <w:rsid w:val="00BA72AE"/>
    <w:rsid w:val="00BA7340"/>
    <w:rsid w:val="00BB026F"/>
    <w:rsid w:val="00BB0E52"/>
    <w:rsid w:val="00BB1148"/>
    <w:rsid w:val="00BB2294"/>
    <w:rsid w:val="00BB2F7A"/>
    <w:rsid w:val="00BB35CB"/>
    <w:rsid w:val="00BB3D35"/>
    <w:rsid w:val="00BB47C3"/>
    <w:rsid w:val="00BB69E2"/>
    <w:rsid w:val="00BC0829"/>
    <w:rsid w:val="00BC13AB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EEB"/>
    <w:rsid w:val="00BD795C"/>
    <w:rsid w:val="00BE1076"/>
    <w:rsid w:val="00BE13E0"/>
    <w:rsid w:val="00BE1545"/>
    <w:rsid w:val="00BE27F3"/>
    <w:rsid w:val="00BE2BD1"/>
    <w:rsid w:val="00BE2D01"/>
    <w:rsid w:val="00BE4F12"/>
    <w:rsid w:val="00BE509C"/>
    <w:rsid w:val="00BE74E0"/>
    <w:rsid w:val="00BE774D"/>
    <w:rsid w:val="00BF127F"/>
    <w:rsid w:val="00BF30FF"/>
    <w:rsid w:val="00BF349D"/>
    <w:rsid w:val="00BF34ED"/>
    <w:rsid w:val="00BF44F3"/>
    <w:rsid w:val="00BF58E0"/>
    <w:rsid w:val="00BF6A98"/>
    <w:rsid w:val="00BF6B5C"/>
    <w:rsid w:val="00BF6F78"/>
    <w:rsid w:val="00C00120"/>
    <w:rsid w:val="00C00A28"/>
    <w:rsid w:val="00C00B75"/>
    <w:rsid w:val="00C01157"/>
    <w:rsid w:val="00C01269"/>
    <w:rsid w:val="00C021B7"/>
    <w:rsid w:val="00C0318A"/>
    <w:rsid w:val="00C03949"/>
    <w:rsid w:val="00C04B00"/>
    <w:rsid w:val="00C04B8D"/>
    <w:rsid w:val="00C056B7"/>
    <w:rsid w:val="00C05A1F"/>
    <w:rsid w:val="00C06284"/>
    <w:rsid w:val="00C06B81"/>
    <w:rsid w:val="00C06C7D"/>
    <w:rsid w:val="00C10507"/>
    <w:rsid w:val="00C110D4"/>
    <w:rsid w:val="00C113FD"/>
    <w:rsid w:val="00C1283E"/>
    <w:rsid w:val="00C130B5"/>
    <w:rsid w:val="00C1546D"/>
    <w:rsid w:val="00C1598E"/>
    <w:rsid w:val="00C160E8"/>
    <w:rsid w:val="00C1658E"/>
    <w:rsid w:val="00C2080B"/>
    <w:rsid w:val="00C20ED8"/>
    <w:rsid w:val="00C232F1"/>
    <w:rsid w:val="00C23417"/>
    <w:rsid w:val="00C23A3D"/>
    <w:rsid w:val="00C23B02"/>
    <w:rsid w:val="00C23B24"/>
    <w:rsid w:val="00C2404F"/>
    <w:rsid w:val="00C243A4"/>
    <w:rsid w:val="00C24AD9"/>
    <w:rsid w:val="00C26CCE"/>
    <w:rsid w:val="00C302B6"/>
    <w:rsid w:val="00C31341"/>
    <w:rsid w:val="00C313E3"/>
    <w:rsid w:val="00C31D33"/>
    <w:rsid w:val="00C32786"/>
    <w:rsid w:val="00C32C00"/>
    <w:rsid w:val="00C34E9B"/>
    <w:rsid w:val="00C35A6F"/>
    <w:rsid w:val="00C378CB"/>
    <w:rsid w:val="00C402A4"/>
    <w:rsid w:val="00C40919"/>
    <w:rsid w:val="00C4316F"/>
    <w:rsid w:val="00C43209"/>
    <w:rsid w:val="00C442ED"/>
    <w:rsid w:val="00C4519F"/>
    <w:rsid w:val="00C45766"/>
    <w:rsid w:val="00C479BB"/>
    <w:rsid w:val="00C47FDC"/>
    <w:rsid w:val="00C50361"/>
    <w:rsid w:val="00C5077B"/>
    <w:rsid w:val="00C50E5F"/>
    <w:rsid w:val="00C527A7"/>
    <w:rsid w:val="00C5305C"/>
    <w:rsid w:val="00C53119"/>
    <w:rsid w:val="00C54FE6"/>
    <w:rsid w:val="00C55629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D3"/>
    <w:rsid w:val="00C67898"/>
    <w:rsid w:val="00C70465"/>
    <w:rsid w:val="00C70D21"/>
    <w:rsid w:val="00C70F89"/>
    <w:rsid w:val="00C71044"/>
    <w:rsid w:val="00C710A2"/>
    <w:rsid w:val="00C71EE1"/>
    <w:rsid w:val="00C72252"/>
    <w:rsid w:val="00C7577B"/>
    <w:rsid w:val="00C75BF9"/>
    <w:rsid w:val="00C77624"/>
    <w:rsid w:val="00C77B5B"/>
    <w:rsid w:val="00C8051D"/>
    <w:rsid w:val="00C809F2"/>
    <w:rsid w:val="00C80BFD"/>
    <w:rsid w:val="00C81007"/>
    <w:rsid w:val="00C8154A"/>
    <w:rsid w:val="00C81DC4"/>
    <w:rsid w:val="00C82461"/>
    <w:rsid w:val="00C82785"/>
    <w:rsid w:val="00C84136"/>
    <w:rsid w:val="00C8515C"/>
    <w:rsid w:val="00C8520B"/>
    <w:rsid w:val="00C87B02"/>
    <w:rsid w:val="00C87E1B"/>
    <w:rsid w:val="00C87F31"/>
    <w:rsid w:val="00C92BC6"/>
    <w:rsid w:val="00C93889"/>
    <w:rsid w:val="00C93C8D"/>
    <w:rsid w:val="00C94373"/>
    <w:rsid w:val="00C94387"/>
    <w:rsid w:val="00C9438E"/>
    <w:rsid w:val="00C94431"/>
    <w:rsid w:val="00C94D2C"/>
    <w:rsid w:val="00C967E0"/>
    <w:rsid w:val="00C96E76"/>
    <w:rsid w:val="00CA017A"/>
    <w:rsid w:val="00CA27AE"/>
    <w:rsid w:val="00CA27F7"/>
    <w:rsid w:val="00CA2A9D"/>
    <w:rsid w:val="00CA3229"/>
    <w:rsid w:val="00CA36ED"/>
    <w:rsid w:val="00CA3C2E"/>
    <w:rsid w:val="00CA4C2C"/>
    <w:rsid w:val="00CA5659"/>
    <w:rsid w:val="00CA6C6E"/>
    <w:rsid w:val="00CA7571"/>
    <w:rsid w:val="00CA7D40"/>
    <w:rsid w:val="00CB028C"/>
    <w:rsid w:val="00CB0B59"/>
    <w:rsid w:val="00CB2174"/>
    <w:rsid w:val="00CB27CA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BA5"/>
    <w:rsid w:val="00CB669E"/>
    <w:rsid w:val="00CB6802"/>
    <w:rsid w:val="00CB6A1B"/>
    <w:rsid w:val="00CC0269"/>
    <w:rsid w:val="00CC041C"/>
    <w:rsid w:val="00CC0C1C"/>
    <w:rsid w:val="00CC1D2B"/>
    <w:rsid w:val="00CC2A55"/>
    <w:rsid w:val="00CC2C1A"/>
    <w:rsid w:val="00CC438F"/>
    <w:rsid w:val="00CC56B9"/>
    <w:rsid w:val="00CC5F86"/>
    <w:rsid w:val="00CC7989"/>
    <w:rsid w:val="00CC7D5A"/>
    <w:rsid w:val="00CD13D3"/>
    <w:rsid w:val="00CD1E38"/>
    <w:rsid w:val="00CD209F"/>
    <w:rsid w:val="00CD2B89"/>
    <w:rsid w:val="00CD388A"/>
    <w:rsid w:val="00CD4996"/>
    <w:rsid w:val="00CD6D7B"/>
    <w:rsid w:val="00CD6F40"/>
    <w:rsid w:val="00CD7A33"/>
    <w:rsid w:val="00CE05EE"/>
    <w:rsid w:val="00CE05F3"/>
    <w:rsid w:val="00CE1708"/>
    <w:rsid w:val="00CE1969"/>
    <w:rsid w:val="00CE1C36"/>
    <w:rsid w:val="00CE1E89"/>
    <w:rsid w:val="00CE37AF"/>
    <w:rsid w:val="00CE3EF6"/>
    <w:rsid w:val="00CE3F5B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4E82"/>
    <w:rsid w:val="00CF51AC"/>
    <w:rsid w:val="00CF55C0"/>
    <w:rsid w:val="00CF64DF"/>
    <w:rsid w:val="00CF6840"/>
    <w:rsid w:val="00CF7757"/>
    <w:rsid w:val="00CF7C03"/>
    <w:rsid w:val="00D0339D"/>
    <w:rsid w:val="00D037F3"/>
    <w:rsid w:val="00D04086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1409"/>
    <w:rsid w:val="00D11995"/>
    <w:rsid w:val="00D11F1E"/>
    <w:rsid w:val="00D11F67"/>
    <w:rsid w:val="00D12313"/>
    <w:rsid w:val="00D12CE3"/>
    <w:rsid w:val="00D1316B"/>
    <w:rsid w:val="00D14B62"/>
    <w:rsid w:val="00D1588F"/>
    <w:rsid w:val="00D16592"/>
    <w:rsid w:val="00D16E49"/>
    <w:rsid w:val="00D171FE"/>
    <w:rsid w:val="00D206E4"/>
    <w:rsid w:val="00D20843"/>
    <w:rsid w:val="00D21CA2"/>
    <w:rsid w:val="00D2395A"/>
    <w:rsid w:val="00D24FA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5887"/>
    <w:rsid w:val="00D36EA0"/>
    <w:rsid w:val="00D37A44"/>
    <w:rsid w:val="00D40CD4"/>
    <w:rsid w:val="00D4132F"/>
    <w:rsid w:val="00D41D62"/>
    <w:rsid w:val="00D42150"/>
    <w:rsid w:val="00D421F4"/>
    <w:rsid w:val="00D424FD"/>
    <w:rsid w:val="00D43044"/>
    <w:rsid w:val="00D4305E"/>
    <w:rsid w:val="00D4431C"/>
    <w:rsid w:val="00D44C6D"/>
    <w:rsid w:val="00D44DC9"/>
    <w:rsid w:val="00D46BC2"/>
    <w:rsid w:val="00D47115"/>
    <w:rsid w:val="00D471B4"/>
    <w:rsid w:val="00D47518"/>
    <w:rsid w:val="00D47EC2"/>
    <w:rsid w:val="00D508CE"/>
    <w:rsid w:val="00D50D06"/>
    <w:rsid w:val="00D50FAB"/>
    <w:rsid w:val="00D53AE0"/>
    <w:rsid w:val="00D54D59"/>
    <w:rsid w:val="00D55475"/>
    <w:rsid w:val="00D5617E"/>
    <w:rsid w:val="00D602F2"/>
    <w:rsid w:val="00D62B7E"/>
    <w:rsid w:val="00D634C5"/>
    <w:rsid w:val="00D64032"/>
    <w:rsid w:val="00D64C63"/>
    <w:rsid w:val="00D653DE"/>
    <w:rsid w:val="00D6653A"/>
    <w:rsid w:val="00D6692C"/>
    <w:rsid w:val="00D6713F"/>
    <w:rsid w:val="00D677FC"/>
    <w:rsid w:val="00D67D5E"/>
    <w:rsid w:val="00D70C1F"/>
    <w:rsid w:val="00D7185F"/>
    <w:rsid w:val="00D723CD"/>
    <w:rsid w:val="00D72F0D"/>
    <w:rsid w:val="00D73171"/>
    <w:rsid w:val="00D73733"/>
    <w:rsid w:val="00D75FD8"/>
    <w:rsid w:val="00D761AA"/>
    <w:rsid w:val="00D775B7"/>
    <w:rsid w:val="00D7797D"/>
    <w:rsid w:val="00D8000E"/>
    <w:rsid w:val="00D80990"/>
    <w:rsid w:val="00D81598"/>
    <w:rsid w:val="00D81725"/>
    <w:rsid w:val="00D8195C"/>
    <w:rsid w:val="00D81AFB"/>
    <w:rsid w:val="00D81DC9"/>
    <w:rsid w:val="00D820C7"/>
    <w:rsid w:val="00D8239C"/>
    <w:rsid w:val="00D82456"/>
    <w:rsid w:val="00D82901"/>
    <w:rsid w:val="00D82C17"/>
    <w:rsid w:val="00D82E76"/>
    <w:rsid w:val="00D832B5"/>
    <w:rsid w:val="00D83902"/>
    <w:rsid w:val="00D84418"/>
    <w:rsid w:val="00D84F8F"/>
    <w:rsid w:val="00D86B23"/>
    <w:rsid w:val="00D86EA4"/>
    <w:rsid w:val="00D90F9D"/>
    <w:rsid w:val="00D921A2"/>
    <w:rsid w:val="00D922CE"/>
    <w:rsid w:val="00D92B68"/>
    <w:rsid w:val="00D937AD"/>
    <w:rsid w:val="00D94AB4"/>
    <w:rsid w:val="00D94E2C"/>
    <w:rsid w:val="00D951F3"/>
    <w:rsid w:val="00D95F7F"/>
    <w:rsid w:val="00D962F2"/>
    <w:rsid w:val="00D96E9E"/>
    <w:rsid w:val="00DA008F"/>
    <w:rsid w:val="00DA014D"/>
    <w:rsid w:val="00DA0B81"/>
    <w:rsid w:val="00DA1295"/>
    <w:rsid w:val="00DA294A"/>
    <w:rsid w:val="00DA357C"/>
    <w:rsid w:val="00DA3910"/>
    <w:rsid w:val="00DA4739"/>
    <w:rsid w:val="00DA478C"/>
    <w:rsid w:val="00DA4A3C"/>
    <w:rsid w:val="00DA5D2F"/>
    <w:rsid w:val="00DA5D79"/>
    <w:rsid w:val="00DA5E3D"/>
    <w:rsid w:val="00DA6BEC"/>
    <w:rsid w:val="00DA7877"/>
    <w:rsid w:val="00DA7B5F"/>
    <w:rsid w:val="00DB05A6"/>
    <w:rsid w:val="00DB0A62"/>
    <w:rsid w:val="00DB12CA"/>
    <w:rsid w:val="00DB223D"/>
    <w:rsid w:val="00DB2F69"/>
    <w:rsid w:val="00DB43A7"/>
    <w:rsid w:val="00DB4650"/>
    <w:rsid w:val="00DB51D7"/>
    <w:rsid w:val="00DB53CF"/>
    <w:rsid w:val="00DB5435"/>
    <w:rsid w:val="00DB7541"/>
    <w:rsid w:val="00DB792B"/>
    <w:rsid w:val="00DC066E"/>
    <w:rsid w:val="00DC077A"/>
    <w:rsid w:val="00DC13C0"/>
    <w:rsid w:val="00DC1B18"/>
    <w:rsid w:val="00DC1ED0"/>
    <w:rsid w:val="00DC37CE"/>
    <w:rsid w:val="00DC3EB3"/>
    <w:rsid w:val="00DC3EC5"/>
    <w:rsid w:val="00DC4A35"/>
    <w:rsid w:val="00DC4AC0"/>
    <w:rsid w:val="00DC4DDF"/>
    <w:rsid w:val="00DC5C31"/>
    <w:rsid w:val="00DC66CD"/>
    <w:rsid w:val="00DC686A"/>
    <w:rsid w:val="00DC698C"/>
    <w:rsid w:val="00DC6EF1"/>
    <w:rsid w:val="00DC7524"/>
    <w:rsid w:val="00DD00E3"/>
    <w:rsid w:val="00DD05F7"/>
    <w:rsid w:val="00DD0711"/>
    <w:rsid w:val="00DD0D01"/>
    <w:rsid w:val="00DD12B4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4046"/>
    <w:rsid w:val="00DE4B1A"/>
    <w:rsid w:val="00DE553B"/>
    <w:rsid w:val="00DE5AF5"/>
    <w:rsid w:val="00DE7047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E002CE"/>
    <w:rsid w:val="00E026C7"/>
    <w:rsid w:val="00E03533"/>
    <w:rsid w:val="00E04F18"/>
    <w:rsid w:val="00E05752"/>
    <w:rsid w:val="00E05957"/>
    <w:rsid w:val="00E05EED"/>
    <w:rsid w:val="00E0622F"/>
    <w:rsid w:val="00E06B25"/>
    <w:rsid w:val="00E10039"/>
    <w:rsid w:val="00E102DB"/>
    <w:rsid w:val="00E11DC4"/>
    <w:rsid w:val="00E12064"/>
    <w:rsid w:val="00E122B8"/>
    <w:rsid w:val="00E12E3D"/>
    <w:rsid w:val="00E12F9A"/>
    <w:rsid w:val="00E13C72"/>
    <w:rsid w:val="00E13C98"/>
    <w:rsid w:val="00E14BCB"/>
    <w:rsid w:val="00E14FF2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EA8"/>
    <w:rsid w:val="00E25A23"/>
    <w:rsid w:val="00E25A92"/>
    <w:rsid w:val="00E25E27"/>
    <w:rsid w:val="00E26756"/>
    <w:rsid w:val="00E26C78"/>
    <w:rsid w:val="00E26CF2"/>
    <w:rsid w:val="00E26F55"/>
    <w:rsid w:val="00E27C22"/>
    <w:rsid w:val="00E30692"/>
    <w:rsid w:val="00E317EA"/>
    <w:rsid w:val="00E32723"/>
    <w:rsid w:val="00E32B7A"/>
    <w:rsid w:val="00E3302E"/>
    <w:rsid w:val="00E33931"/>
    <w:rsid w:val="00E339D5"/>
    <w:rsid w:val="00E33C57"/>
    <w:rsid w:val="00E34506"/>
    <w:rsid w:val="00E34ADB"/>
    <w:rsid w:val="00E34B71"/>
    <w:rsid w:val="00E363C7"/>
    <w:rsid w:val="00E364B6"/>
    <w:rsid w:val="00E3713D"/>
    <w:rsid w:val="00E37E63"/>
    <w:rsid w:val="00E4053C"/>
    <w:rsid w:val="00E40E1B"/>
    <w:rsid w:val="00E41A31"/>
    <w:rsid w:val="00E426B1"/>
    <w:rsid w:val="00E428E1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746"/>
    <w:rsid w:val="00E53DD6"/>
    <w:rsid w:val="00E53E87"/>
    <w:rsid w:val="00E5508B"/>
    <w:rsid w:val="00E5531A"/>
    <w:rsid w:val="00E5543B"/>
    <w:rsid w:val="00E55DE3"/>
    <w:rsid w:val="00E56AD2"/>
    <w:rsid w:val="00E57B19"/>
    <w:rsid w:val="00E60790"/>
    <w:rsid w:val="00E60874"/>
    <w:rsid w:val="00E610DE"/>
    <w:rsid w:val="00E6324C"/>
    <w:rsid w:val="00E635CF"/>
    <w:rsid w:val="00E636EC"/>
    <w:rsid w:val="00E63768"/>
    <w:rsid w:val="00E63B87"/>
    <w:rsid w:val="00E6633B"/>
    <w:rsid w:val="00E6655F"/>
    <w:rsid w:val="00E66963"/>
    <w:rsid w:val="00E66D78"/>
    <w:rsid w:val="00E67A18"/>
    <w:rsid w:val="00E708C3"/>
    <w:rsid w:val="00E724A2"/>
    <w:rsid w:val="00E726FF"/>
    <w:rsid w:val="00E72B87"/>
    <w:rsid w:val="00E72DA9"/>
    <w:rsid w:val="00E73EBD"/>
    <w:rsid w:val="00E747C4"/>
    <w:rsid w:val="00E74E38"/>
    <w:rsid w:val="00E757B4"/>
    <w:rsid w:val="00E7615D"/>
    <w:rsid w:val="00E76682"/>
    <w:rsid w:val="00E77099"/>
    <w:rsid w:val="00E7783A"/>
    <w:rsid w:val="00E77C0F"/>
    <w:rsid w:val="00E81415"/>
    <w:rsid w:val="00E815A8"/>
    <w:rsid w:val="00E81D1D"/>
    <w:rsid w:val="00E82FDA"/>
    <w:rsid w:val="00E846DD"/>
    <w:rsid w:val="00E8554D"/>
    <w:rsid w:val="00E85B18"/>
    <w:rsid w:val="00E91078"/>
    <w:rsid w:val="00E9110C"/>
    <w:rsid w:val="00E923F7"/>
    <w:rsid w:val="00E92FCA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82D"/>
    <w:rsid w:val="00EA3D04"/>
    <w:rsid w:val="00EA3FFA"/>
    <w:rsid w:val="00EA51B2"/>
    <w:rsid w:val="00EA5E26"/>
    <w:rsid w:val="00EA6AD4"/>
    <w:rsid w:val="00EA7227"/>
    <w:rsid w:val="00EA7D18"/>
    <w:rsid w:val="00EB00DE"/>
    <w:rsid w:val="00EB0B0F"/>
    <w:rsid w:val="00EB0C79"/>
    <w:rsid w:val="00EB24D4"/>
    <w:rsid w:val="00EB2557"/>
    <w:rsid w:val="00EB25C3"/>
    <w:rsid w:val="00EB3067"/>
    <w:rsid w:val="00EB6AE9"/>
    <w:rsid w:val="00EB7FFA"/>
    <w:rsid w:val="00EC0436"/>
    <w:rsid w:val="00EC1E2E"/>
    <w:rsid w:val="00EC1EA7"/>
    <w:rsid w:val="00EC356C"/>
    <w:rsid w:val="00EC3A69"/>
    <w:rsid w:val="00EC3DC6"/>
    <w:rsid w:val="00EC487E"/>
    <w:rsid w:val="00EC66C2"/>
    <w:rsid w:val="00ED2035"/>
    <w:rsid w:val="00ED35C8"/>
    <w:rsid w:val="00ED3DF1"/>
    <w:rsid w:val="00ED4E58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F2E"/>
    <w:rsid w:val="00EE10BB"/>
    <w:rsid w:val="00EE22F1"/>
    <w:rsid w:val="00EE3200"/>
    <w:rsid w:val="00EE40ED"/>
    <w:rsid w:val="00EE4C6D"/>
    <w:rsid w:val="00EE6262"/>
    <w:rsid w:val="00EE683C"/>
    <w:rsid w:val="00EE6FF1"/>
    <w:rsid w:val="00EE74C0"/>
    <w:rsid w:val="00EF08D7"/>
    <w:rsid w:val="00EF0F56"/>
    <w:rsid w:val="00EF120C"/>
    <w:rsid w:val="00EF1615"/>
    <w:rsid w:val="00EF22B5"/>
    <w:rsid w:val="00EF23EC"/>
    <w:rsid w:val="00EF250F"/>
    <w:rsid w:val="00EF3553"/>
    <w:rsid w:val="00EF39CC"/>
    <w:rsid w:val="00EF3B77"/>
    <w:rsid w:val="00EF3F85"/>
    <w:rsid w:val="00EF40E0"/>
    <w:rsid w:val="00EF4781"/>
    <w:rsid w:val="00EF4B1E"/>
    <w:rsid w:val="00EF6491"/>
    <w:rsid w:val="00EF6B22"/>
    <w:rsid w:val="00EF7428"/>
    <w:rsid w:val="00F00C14"/>
    <w:rsid w:val="00F00DB7"/>
    <w:rsid w:val="00F023A3"/>
    <w:rsid w:val="00F025EE"/>
    <w:rsid w:val="00F02CC7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371"/>
    <w:rsid w:val="00F11D59"/>
    <w:rsid w:val="00F120FA"/>
    <w:rsid w:val="00F126E7"/>
    <w:rsid w:val="00F13EBF"/>
    <w:rsid w:val="00F144E4"/>
    <w:rsid w:val="00F168A1"/>
    <w:rsid w:val="00F176B8"/>
    <w:rsid w:val="00F17D21"/>
    <w:rsid w:val="00F213A6"/>
    <w:rsid w:val="00F218D1"/>
    <w:rsid w:val="00F21E16"/>
    <w:rsid w:val="00F22A73"/>
    <w:rsid w:val="00F2324C"/>
    <w:rsid w:val="00F23CF2"/>
    <w:rsid w:val="00F258C5"/>
    <w:rsid w:val="00F26A50"/>
    <w:rsid w:val="00F30323"/>
    <w:rsid w:val="00F30DEA"/>
    <w:rsid w:val="00F30E40"/>
    <w:rsid w:val="00F324DE"/>
    <w:rsid w:val="00F33318"/>
    <w:rsid w:val="00F33FF6"/>
    <w:rsid w:val="00F348CA"/>
    <w:rsid w:val="00F34CB1"/>
    <w:rsid w:val="00F34E61"/>
    <w:rsid w:val="00F35673"/>
    <w:rsid w:val="00F35BEC"/>
    <w:rsid w:val="00F37E97"/>
    <w:rsid w:val="00F4053D"/>
    <w:rsid w:val="00F42595"/>
    <w:rsid w:val="00F4264D"/>
    <w:rsid w:val="00F43A2D"/>
    <w:rsid w:val="00F43A81"/>
    <w:rsid w:val="00F449E4"/>
    <w:rsid w:val="00F45150"/>
    <w:rsid w:val="00F46F06"/>
    <w:rsid w:val="00F46FEF"/>
    <w:rsid w:val="00F4764E"/>
    <w:rsid w:val="00F47E1E"/>
    <w:rsid w:val="00F47FA4"/>
    <w:rsid w:val="00F50972"/>
    <w:rsid w:val="00F50B26"/>
    <w:rsid w:val="00F517E7"/>
    <w:rsid w:val="00F51B25"/>
    <w:rsid w:val="00F51F3A"/>
    <w:rsid w:val="00F535ED"/>
    <w:rsid w:val="00F54F1B"/>
    <w:rsid w:val="00F5609A"/>
    <w:rsid w:val="00F6001C"/>
    <w:rsid w:val="00F60629"/>
    <w:rsid w:val="00F6082A"/>
    <w:rsid w:val="00F60DA3"/>
    <w:rsid w:val="00F61ECE"/>
    <w:rsid w:val="00F61FA4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3026"/>
    <w:rsid w:val="00F7450B"/>
    <w:rsid w:val="00F74701"/>
    <w:rsid w:val="00F75242"/>
    <w:rsid w:val="00F764D2"/>
    <w:rsid w:val="00F76758"/>
    <w:rsid w:val="00F77CF5"/>
    <w:rsid w:val="00F8100D"/>
    <w:rsid w:val="00F816BE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A221A"/>
    <w:rsid w:val="00FA2B69"/>
    <w:rsid w:val="00FA2DCB"/>
    <w:rsid w:val="00FA3EEF"/>
    <w:rsid w:val="00FA4801"/>
    <w:rsid w:val="00FA5838"/>
    <w:rsid w:val="00FA5E2C"/>
    <w:rsid w:val="00FA68DE"/>
    <w:rsid w:val="00FA7B36"/>
    <w:rsid w:val="00FA7C7D"/>
    <w:rsid w:val="00FB03A8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F2A"/>
    <w:rsid w:val="00FB43F4"/>
    <w:rsid w:val="00FB4877"/>
    <w:rsid w:val="00FB4CE3"/>
    <w:rsid w:val="00FB5131"/>
    <w:rsid w:val="00FB6F1E"/>
    <w:rsid w:val="00FB7685"/>
    <w:rsid w:val="00FB7A29"/>
    <w:rsid w:val="00FC1514"/>
    <w:rsid w:val="00FC277A"/>
    <w:rsid w:val="00FC2BC0"/>
    <w:rsid w:val="00FC332C"/>
    <w:rsid w:val="00FC34E8"/>
    <w:rsid w:val="00FC4719"/>
    <w:rsid w:val="00FC474A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C4E"/>
    <w:rsid w:val="00FD5904"/>
    <w:rsid w:val="00FD6BF1"/>
    <w:rsid w:val="00FD70D6"/>
    <w:rsid w:val="00FD7565"/>
    <w:rsid w:val="00FE0101"/>
    <w:rsid w:val="00FE023D"/>
    <w:rsid w:val="00FE03A8"/>
    <w:rsid w:val="00FE10A2"/>
    <w:rsid w:val="00FE126F"/>
    <w:rsid w:val="00FE2600"/>
    <w:rsid w:val="00FE2825"/>
    <w:rsid w:val="00FE2A46"/>
    <w:rsid w:val="00FE2DA5"/>
    <w:rsid w:val="00FE3DF1"/>
    <w:rsid w:val="00FE3FD3"/>
    <w:rsid w:val="00FE41FA"/>
    <w:rsid w:val="00FE4369"/>
    <w:rsid w:val="00FE4C61"/>
    <w:rsid w:val="00FE575C"/>
    <w:rsid w:val="00FE698D"/>
    <w:rsid w:val="00FE7D6D"/>
    <w:rsid w:val="00FE7E72"/>
    <w:rsid w:val="00FE7FB9"/>
    <w:rsid w:val="00FE7FE0"/>
    <w:rsid w:val="00FF1330"/>
    <w:rsid w:val="00FF16F7"/>
    <w:rsid w:val="00FF20AA"/>
    <w:rsid w:val="00FF21A5"/>
    <w:rsid w:val="00FF2B95"/>
    <w:rsid w:val="00FF4B6B"/>
    <w:rsid w:val="00FF5928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e.boi.org.il/he/DataAndStatistics/Pages/MainPage.aspx?Level=2&amp;Sid=15&amp;SubjectType=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2015-09-09T10:25:00+00:00</PublishingStartDate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09FB623-1ECA-4152-8E3D-B8A3524F2777}"/>
</file>

<file path=customXml/itemProps2.xml><?xml version="1.0" encoding="utf-8"?>
<ds:datastoreItem xmlns:ds="http://schemas.openxmlformats.org/officeDocument/2006/customXml" ds:itemID="{2DD1B94A-8E87-40FC-9B76-39182D0E837B}"/>
</file>

<file path=customXml/itemProps3.xml><?xml version="1.0" encoding="utf-8"?>
<ds:datastoreItem xmlns:ds="http://schemas.openxmlformats.org/officeDocument/2006/customXml" ds:itemID="{BBEB0597-E84F-417E-AADD-4365436EF334}"/>
</file>

<file path=customXml/itemProps4.xml><?xml version="1.0" encoding="utf-8"?>
<ds:datastoreItem xmlns:ds="http://schemas.openxmlformats.org/officeDocument/2006/customXml" ds:itemID="{70EA1A11-8D36-445D-B240-1D9E7BB315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5476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2015-09-09T08:27:00Z</dcterms:created>
  <dcterms:modified xsi:type="dcterms:W3CDTF">2015-09-09T08:27:00Z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