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BB1" w:rsidRPr="00200BB1" w:rsidRDefault="00200BB1" w:rsidP="00200BB1">
      <w:pPr>
        <w:spacing w:line="360" w:lineRule="auto"/>
        <w:rPr>
          <w:rFonts w:cstheme="minorHAnsi"/>
          <w:b/>
          <w:bCs/>
          <w:sz w:val="28"/>
          <w:szCs w:val="28"/>
          <w:rtl/>
        </w:rPr>
      </w:pPr>
    </w:p>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200BB1" w:rsidRPr="00200BB1" w:rsidTr="00FD5581">
        <w:tc>
          <w:tcPr>
            <w:tcW w:w="3343" w:type="dxa"/>
            <w:tcBorders>
              <w:top w:val="nil"/>
              <w:left w:val="nil"/>
              <w:bottom w:val="nil"/>
              <w:right w:val="nil"/>
            </w:tcBorders>
            <w:vAlign w:val="center"/>
          </w:tcPr>
          <w:p w:rsidR="00200BB1" w:rsidRPr="00200BB1" w:rsidRDefault="00200BB1" w:rsidP="00200BB1">
            <w:pPr>
              <w:spacing w:after="0" w:line="276" w:lineRule="auto"/>
              <w:jc w:val="center"/>
              <w:rPr>
                <w:rFonts w:eastAsia="Calibri" w:cstheme="minorHAnsi"/>
                <w:b/>
                <w:bCs/>
                <w:sz w:val="24"/>
                <w:szCs w:val="24"/>
                <w:rtl/>
              </w:rPr>
            </w:pPr>
            <w:r w:rsidRPr="00200BB1">
              <w:rPr>
                <w:rFonts w:eastAsia="Calibri" w:cstheme="minorHAnsi"/>
                <w:b/>
                <w:bCs/>
                <w:sz w:val="24"/>
                <w:szCs w:val="24"/>
                <w:rtl/>
              </w:rPr>
              <w:t>בנק ישראל</w:t>
            </w:r>
          </w:p>
          <w:p w:rsidR="00200BB1" w:rsidRPr="00200BB1" w:rsidRDefault="00200BB1" w:rsidP="00200BB1">
            <w:pPr>
              <w:spacing w:after="0" w:line="276" w:lineRule="auto"/>
              <w:jc w:val="center"/>
              <w:rPr>
                <w:rFonts w:eastAsia="Calibri" w:cstheme="minorHAnsi"/>
                <w:b/>
                <w:bCs/>
                <w:sz w:val="24"/>
                <w:szCs w:val="24"/>
              </w:rPr>
            </w:pPr>
            <w:r w:rsidRPr="00200BB1">
              <w:rPr>
                <w:rFonts w:eastAsia="Calibri" w:cstheme="minorHAnsi"/>
                <w:sz w:val="24"/>
                <w:szCs w:val="24"/>
                <w:rtl/>
              </w:rPr>
              <w:t>דוברות והסברה כלכלית</w:t>
            </w:r>
          </w:p>
        </w:tc>
        <w:tc>
          <w:tcPr>
            <w:tcW w:w="2596" w:type="dxa"/>
            <w:tcBorders>
              <w:top w:val="nil"/>
              <w:left w:val="nil"/>
              <w:bottom w:val="nil"/>
              <w:right w:val="nil"/>
            </w:tcBorders>
            <w:shd w:val="clear" w:color="auto" w:fill="FFFFFF"/>
          </w:tcPr>
          <w:p w:rsidR="00200BB1" w:rsidRPr="00200BB1" w:rsidRDefault="00200BB1" w:rsidP="00200BB1">
            <w:pPr>
              <w:spacing w:after="0" w:line="360" w:lineRule="auto"/>
              <w:jc w:val="center"/>
              <w:rPr>
                <w:rFonts w:eastAsia="Calibri" w:cstheme="minorHAnsi"/>
                <w:sz w:val="24"/>
                <w:szCs w:val="24"/>
              </w:rPr>
            </w:pPr>
            <w:r w:rsidRPr="00200BB1">
              <w:rPr>
                <w:rFonts w:eastAsia="Calibri" w:cstheme="minorHAnsi"/>
                <w:noProof/>
                <w:sz w:val="24"/>
                <w:szCs w:val="24"/>
              </w:rPr>
              <w:drawing>
                <wp:inline distT="0" distB="0" distL="0" distR="0" wp14:anchorId="214E5BE1" wp14:editId="56278813">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200BB1" w:rsidRPr="00200BB1" w:rsidRDefault="00200BB1" w:rsidP="00200BB1">
            <w:pPr>
              <w:spacing w:after="0" w:line="276" w:lineRule="auto"/>
              <w:jc w:val="center"/>
              <w:rPr>
                <w:rFonts w:eastAsia="Calibri" w:cstheme="minorHAnsi"/>
                <w:sz w:val="24"/>
                <w:szCs w:val="24"/>
                <w:rtl/>
              </w:rPr>
            </w:pPr>
            <w:r w:rsidRPr="00200BB1">
              <w:rPr>
                <w:rFonts w:eastAsia="Calibri" w:cstheme="minorHAnsi"/>
                <w:sz w:val="24"/>
                <w:szCs w:val="24"/>
                <w:highlight w:val="green"/>
                <w:rtl/>
              </w:rPr>
              <w:t>‏</w:t>
            </w:r>
            <w:r w:rsidRPr="00200BB1">
              <w:rPr>
                <w:rFonts w:eastAsia="Calibri" w:cstheme="minorHAnsi"/>
                <w:sz w:val="24"/>
                <w:szCs w:val="24"/>
                <w:rtl/>
              </w:rPr>
              <w:t xml:space="preserve">ירושלים, </w:t>
            </w:r>
            <w:r w:rsidRPr="00200BB1">
              <w:rPr>
                <w:rFonts w:eastAsia="Calibri" w:cstheme="minorHAnsi"/>
                <w:sz w:val="24"/>
                <w:szCs w:val="24"/>
                <w:rtl/>
              </w:rPr>
              <w:fldChar w:fldCharType="begin"/>
            </w:r>
            <w:r w:rsidRPr="00200BB1">
              <w:rPr>
                <w:rFonts w:eastAsia="Calibri" w:cstheme="minorHAnsi"/>
                <w:sz w:val="24"/>
                <w:szCs w:val="24"/>
                <w:rtl/>
              </w:rPr>
              <w:instrText xml:space="preserve"> </w:instrText>
            </w:r>
            <w:r w:rsidRPr="00200BB1">
              <w:rPr>
                <w:rFonts w:eastAsia="Calibri" w:cstheme="minorHAnsi"/>
                <w:sz w:val="24"/>
                <w:szCs w:val="24"/>
              </w:rPr>
              <w:instrText>DATE</w:instrText>
            </w:r>
            <w:r w:rsidRPr="00200BB1">
              <w:rPr>
                <w:rFonts w:eastAsia="Calibri" w:cstheme="minorHAnsi"/>
                <w:sz w:val="24"/>
                <w:szCs w:val="24"/>
                <w:rtl/>
              </w:rPr>
              <w:instrText xml:space="preserve"> \@ "</w:instrText>
            </w:r>
            <w:r w:rsidRPr="00200BB1">
              <w:rPr>
                <w:rFonts w:eastAsia="Calibri" w:cstheme="minorHAnsi"/>
                <w:sz w:val="24"/>
                <w:szCs w:val="24"/>
              </w:rPr>
              <w:instrText>d MMMM, yyyy" \h</w:instrText>
            </w:r>
            <w:r w:rsidRPr="00200BB1">
              <w:rPr>
                <w:rFonts w:eastAsia="Calibri" w:cstheme="minorHAnsi"/>
                <w:sz w:val="24"/>
                <w:szCs w:val="24"/>
                <w:rtl/>
              </w:rPr>
              <w:instrText xml:space="preserve"> </w:instrText>
            </w:r>
            <w:r w:rsidRPr="00200BB1">
              <w:rPr>
                <w:rFonts w:eastAsia="Calibri" w:cstheme="minorHAnsi"/>
                <w:sz w:val="24"/>
                <w:szCs w:val="24"/>
                <w:rtl/>
              </w:rPr>
              <w:fldChar w:fldCharType="separate"/>
            </w:r>
            <w:r w:rsidR="00A8206D">
              <w:rPr>
                <w:rFonts w:eastAsia="Calibri" w:cstheme="minorHAnsi"/>
                <w:noProof/>
                <w:sz w:val="24"/>
                <w:szCs w:val="24"/>
                <w:rtl/>
              </w:rPr>
              <w:t>‏כ"ה אייר, תשפ"ו</w:t>
            </w:r>
            <w:r w:rsidRPr="00200BB1">
              <w:rPr>
                <w:rFonts w:eastAsia="Calibri" w:cstheme="minorHAnsi"/>
                <w:sz w:val="24"/>
                <w:szCs w:val="24"/>
                <w:rtl/>
              </w:rPr>
              <w:fldChar w:fldCharType="end"/>
            </w:r>
          </w:p>
          <w:p w:rsidR="00200BB1" w:rsidRPr="00200BB1" w:rsidRDefault="00200BB1" w:rsidP="00200BB1">
            <w:pPr>
              <w:spacing w:after="0" w:line="276" w:lineRule="auto"/>
              <w:jc w:val="center"/>
              <w:rPr>
                <w:rFonts w:eastAsia="Calibri" w:cstheme="minorHAnsi"/>
                <w:sz w:val="24"/>
                <w:szCs w:val="24"/>
                <w:highlight w:val="green"/>
              </w:rPr>
            </w:pPr>
            <w:r w:rsidRPr="00200BB1">
              <w:rPr>
                <w:rFonts w:eastAsia="Calibri" w:cstheme="minorHAnsi"/>
                <w:sz w:val="24"/>
                <w:szCs w:val="24"/>
                <w:rtl/>
              </w:rPr>
              <w:fldChar w:fldCharType="begin"/>
            </w:r>
            <w:r w:rsidRPr="00200BB1">
              <w:rPr>
                <w:rFonts w:eastAsia="Calibri" w:cstheme="minorHAnsi"/>
                <w:sz w:val="24"/>
                <w:szCs w:val="24"/>
                <w:rtl/>
              </w:rPr>
              <w:instrText xml:space="preserve"> </w:instrText>
            </w:r>
            <w:r w:rsidRPr="00200BB1">
              <w:rPr>
                <w:rFonts w:eastAsia="Calibri" w:cstheme="minorHAnsi"/>
                <w:sz w:val="24"/>
                <w:szCs w:val="24"/>
              </w:rPr>
              <w:instrText>DATE</w:instrText>
            </w:r>
            <w:r w:rsidRPr="00200BB1">
              <w:rPr>
                <w:rFonts w:eastAsia="Calibri" w:cstheme="minorHAnsi"/>
                <w:sz w:val="24"/>
                <w:szCs w:val="24"/>
                <w:rtl/>
              </w:rPr>
              <w:instrText xml:space="preserve"> \@ "</w:instrText>
            </w:r>
            <w:r w:rsidRPr="00200BB1">
              <w:rPr>
                <w:rFonts w:eastAsia="Calibri" w:cstheme="minorHAnsi"/>
                <w:sz w:val="24"/>
                <w:szCs w:val="24"/>
              </w:rPr>
              <w:instrText>d MMMM, yyyy</w:instrText>
            </w:r>
            <w:r w:rsidRPr="00200BB1">
              <w:rPr>
                <w:rFonts w:eastAsia="Calibri" w:cstheme="minorHAnsi"/>
                <w:sz w:val="24"/>
                <w:szCs w:val="24"/>
                <w:rtl/>
              </w:rPr>
              <w:instrText xml:space="preserve">" </w:instrText>
            </w:r>
            <w:r w:rsidRPr="00200BB1">
              <w:rPr>
                <w:rFonts w:eastAsia="Calibri" w:cstheme="minorHAnsi"/>
                <w:sz w:val="24"/>
                <w:szCs w:val="24"/>
                <w:rtl/>
              </w:rPr>
              <w:fldChar w:fldCharType="separate"/>
            </w:r>
            <w:r w:rsidR="00A8206D">
              <w:rPr>
                <w:rFonts w:eastAsia="Calibri" w:cstheme="minorHAnsi"/>
                <w:noProof/>
                <w:sz w:val="24"/>
                <w:szCs w:val="24"/>
                <w:rtl/>
              </w:rPr>
              <w:t>‏12 מאי, 2026</w:t>
            </w:r>
            <w:r w:rsidRPr="00200BB1">
              <w:rPr>
                <w:rFonts w:eastAsia="Calibri" w:cstheme="minorHAnsi"/>
                <w:sz w:val="24"/>
                <w:szCs w:val="24"/>
                <w:rtl/>
              </w:rPr>
              <w:fldChar w:fldCharType="end"/>
            </w:r>
          </w:p>
        </w:tc>
      </w:tr>
    </w:tbl>
    <w:p w:rsidR="00200BB1" w:rsidRPr="00200BB1" w:rsidRDefault="00200BB1" w:rsidP="00200BB1">
      <w:pPr>
        <w:shd w:val="clear" w:color="auto" w:fill="FFFFFF"/>
        <w:spacing w:before="100" w:beforeAutospacing="1" w:after="100" w:afterAutospacing="1" w:line="360" w:lineRule="auto"/>
        <w:jc w:val="both"/>
        <w:outlineLvl w:val="0"/>
        <w:rPr>
          <w:rFonts w:eastAsia="Times New Roman" w:cstheme="minorHAnsi"/>
          <w:sz w:val="24"/>
          <w:szCs w:val="24"/>
          <w:rtl/>
        </w:rPr>
      </w:pPr>
      <w:r w:rsidRPr="00200BB1">
        <w:rPr>
          <w:rFonts w:eastAsia="Times New Roman" w:cstheme="minorHAnsi" w:hint="cs"/>
          <w:sz w:val="24"/>
          <w:szCs w:val="24"/>
          <w:rtl/>
        </w:rPr>
        <w:t>הודעה לעיתונות:</w:t>
      </w:r>
    </w:p>
    <w:p w:rsidR="00200BB1" w:rsidRPr="00200BB1" w:rsidRDefault="00200BB1" w:rsidP="00200BB1">
      <w:pPr>
        <w:pStyle w:val="a3"/>
        <w:spacing w:line="360" w:lineRule="auto"/>
        <w:ind w:left="360"/>
        <w:jc w:val="center"/>
        <w:rPr>
          <w:rFonts w:cstheme="minorHAnsi"/>
          <w:b/>
          <w:bCs/>
          <w:sz w:val="28"/>
          <w:szCs w:val="28"/>
          <w:rtl/>
        </w:rPr>
      </w:pPr>
      <w:r w:rsidRPr="00200BB1">
        <w:rPr>
          <w:rFonts w:eastAsia="Times New Roman" w:cstheme="minorHAnsi"/>
          <w:b/>
          <w:bCs/>
          <w:sz w:val="28"/>
          <w:szCs w:val="28"/>
          <w:rtl/>
        </w:rPr>
        <w:t>תיבה מתוך סקירת מערכת הבנקאות בישראל לשנת 2025 שתפורסם בקרוב</w:t>
      </w:r>
      <w:r w:rsidRPr="00200BB1">
        <w:rPr>
          <w:rFonts w:eastAsia="Times New Roman" w:cstheme="minorHAnsi"/>
          <w:b/>
          <w:bCs/>
          <w:sz w:val="28"/>
          <w:szCs w:val="28"/>
        </w:rPr>
        <w:t>:</w:t>
      </w:r>
    </w:p>
    <w:p w:rsidR="00200BB1" w:rsidRPr="00316868" w:rsidRDefault="00200BB1" w:rsidP="00200BB1">
      <w:pPr>
        <w:pStyle w:val="a3"/>
        <w:spacing w:line="360" w:lineRule="auto"/>
        <w:ind w:left="360"/>
        <w:jc w:val="center"/>
        <w:rPr>
          <w:rFonts w:cstheme="minorHAnsi"/>
          <w:b/>
          <w:bCs/>
          <w:sz w:val="28"/>
          <w:szCs w:val="28"/>
          <w:rtl/>
        </w:rPr>
      </w:pPr>
      <w:r w:rsidRPr="00316868">
        <w:rPr>
          <w:rFonts w:cstheme="minorHAnsi"/>
          <w:b/>
          <w:bCs/>
          <w:sz w:val="28"/>
          <w:szCs w:val="28"/>
          <w:rtl/>
        </w:rPr>
        <w:t>מגמות בביצועי הלוואות למטרת מגורים</w:t>
      </w:r>
    </w:p>
    <w:p w:rsidR="00200BB1" w:rsidRPr="00A8206D" w:rsidRDefault="00200BB1" w:rsidP="00200BB1">
      <w:pPr>
        <w:pStyle w:val="a3"/>
        <w:numPr>
          <w:ilvl w:val="0"/>
          <w:numId w:val="1"/>
        </w:numPr>
        <w:spacing w:after="0" w:line="360" w:lineRule="auto"/>
        <w:jc w:val="both"/>
        <w:rPr>
          <w:rFonts w:cstheme="minorHAnsi"/>
        </w:rPr>
      </w:pPr>
      <w:bookmarkStart w:id="0" w:name="_GoBack"/>
      <w:r w:rsidRPr="00A8206D">
        <w:rPr>
          <w:rFonts w:cstheme="minorHAnsi"/>
          <w:rtl/>
        </w:rPr>
        <w:t>בתיבה זו נתייחס למגמות בשוק האשראי למטרת מגורים שמסבירות, בחלקן, את המגמות ההפוכות בין האשראי למטרת מגורים ובין שוק הדיור.</w:t>
      </w:r>
    </w:p>
    <w:p w:rsidR="00200BB1" w:rsidRPr="00A8206D" w:rsidRDefault="00200BB1" w:rsidP="00200BB1">
      <w:pPr>
        <w:pStyle w:val="a3"/>
        <w:numPr>
          <w:ilvl w:val="0"/>
          <w:numId w:val="1"/>
        </w:numPr>
        <w:spacing w:after="0" w:line="360" w:lineRule="auto"/>
        <w:jc w:val="both"/>
        <w:rPr>
          <w:rFonts w:cstheme="minorHAnsi"/>
          <w:rtl/>
        </w:rPr>
      </w:pPr>
      <w:r w:rsidRPr="00A8206D">
        <w:rPr>
          <w:rFonts w:cstheme="minorHAnsi"/>
          <w:rtl/>
        </w:rPr>
        <w:t xml:space="preserve">בשנת 2025 נמשכה צמיחה גבוהה באשראי למטרת מגורים (7.4 אחוזים), אף שהיקף העסקאות בשוק הדיור ירד (במיוחד בעסקאות מקבלן). </w:t>
      </w:r>
    </w:p>
    <w:p w:rsidR="00200BB1" w:rsidRPr="00A8206D" w:rsidRDefault="00200BB1" w:rsidP="00200BB1">
      <w:pPr>
        <w:pStyle w:val="a3"/>
        <w:numPr>
          <w:ilvl w:val="0"/>
          <w:numId w:val="1"/>
        </w:numPr>
        <w:spacing w:after="0" w:line="360" w:lineRule="auto"/>
        <w:jc w:val="both"/>
        <w:rPr>
          <w:rFonts w:cstheme="minorHAnsi"/>
        </w:rPr>
      </w:pPr>
      <w:r w:rsidRPr="00A8206D">
        <w:rPr>
          <w:rFonts w:cstheme="minorHAnsi"/>
          <w:rtl/>
        </w:rPr>
        <w:t>באופן טבעי קיים פער עיתוי בין מועד חתימת העסקה על רכישת הדירה ובין מועד נטילת ההלוואה למטרת מגורים, אם קיימת (להלן: "פער העיתוי"). להרחבת פער עיתוי זה תרמו הטבות המימון של יזמים בשנים האחרונות, שהביאו להגדלת המכירות בשנת 2024 וכן התארכות משך הבנייה.</w:t>
      </w:r>
    </w:p>
    <w:p w:rsidR="00200BB1" w:rsidRPr="00A8206D" w:rsidRDefault="00200BB1" w:rsidP="00200BB1">
      <w:pPr>
        <w:pStyle w:val="a3"/>
        <w:numPr>
          <w:ilvl w:val="0"/>
          <w:numId w:val="1"/>
        </w:numPr>
        <w:spacing w:after="0" w:line="360" w:lineRule="auto"/>
        <w:jc w:val="both"/>
        <w:rPr>
          <w:rFonts w:cstheme="minorHAnsi"/>
          <w:rtl/>
        </w:rPr>
      </w:pPr>
      <w:r w:rsidRPr="00A8206D">
        <w:rPr>
          <w:rFonts w:cstheme="minorHAnsi"/>
          <w:rtl/>
        </w:rPr>
        <w:t>פער העיתוי משתנה בהתאם לסוג הרוכש (רוכשי דירה ראשונה, רוכשי דירה חליפית ומשקיעים) ולסוג המוכר (רכישה מקבלן ויד שנייה). פער העיתוי הממוצע בשנים 2022-2018 עמד על כחצי שנה, כאשר החל משנת 2023 פער זה התרחב ובשנת 2025 פער העיתוי הממוצע הגיע לכ-8 חודשים.</w:t>
      </w:r>
    </w:p>
    <w:p w:rsidR="00200BB1" w:rsidRPr="00A8206D" w:rsidRDefault="00200BB1" w:rsidP="00200BB1">
      <w:pPr>
        <w:pStyle w:val="a3"/>
        <w:numPr>
          <w:ilvl w:val="0"/>
          <w:numId w:val="1"/>
        </w:numPr>
        <w:spacing w:after="0" w:line="360" w:lineRule="auto"/>
        <w:jc w:val="both"/>
        <w:rPr>
          <w:rFonts w:cstheme="minorHAnsi"/>
          <w:rtl/>
        </w:rPr>
      </w:pPr>
      <w:r w:rsidRPr="00A8206D">
        <w:rPr>
          <w:rFonts w:cstheme="minorHAnsi"/>
          <w:rtl/>
        </w:rPr>
        <w:t>מלבד הבדלים בפער העיתוי קיימים הבדלים נוספים בין סוגי הרוכשים: רוכשי דירה ראשונה נשענים יותר על הלוואות למטרת מגורים לעומת רוכשי דירה חליפית ומשקיעים. כלומר, חלק מהעסקאות לרכישת דירה של משקיעים ורוכשי דירה חלופית ממומנות ללא צורך בהלוואה למטרת מגורים ממערכת הבנקאות. נוסף על כך, קיימים הבדלים קלים בגובה ההלוואה הממוצעת בין סוגי הרוכשים.</w:t>
      </w:r>
    </w:p>
    <w:p w:rsidR="00200BB1" w:rsidRPr="00A8206D" w:rsidRDefault="00200BB1" w:rsidP="00200BB1">
      <w:pPr>
        <w:pStyle w:val="a3"/>
        <w:numPr>
          <w:ilvl w:val="0"/>
          <w:numId w:val="1"/>
        </w:numPr>
        <w:spacing w:after="0" w:line="360" w:lineRule="auto"/>
        <w:jc w:val="both"/>
        <w:rPr>
          <w:rFonts w:cstheme="minorHAnsi"/>
        </w:rPr>
      </w:pPr>
      <w:r w:rsidRPr="00A8206D">
        <w:rPr>
          <w:rFonts w:cstheme="minorHAnsi"/>
          <w:rtl/>
        </w:rPr>
        <w:t>כ-46 אחוזים מההלוואות מבוצעות במספר חלקים, כאשר בהלוואות אלו השלמת משיכת כספי ההלוואה מתבצעת בתוך פחות משנה. ככלל, אפשר לומר כי כ-80 אחוזים מביצועי האשראי החודשיים הם ביצוע ראשון של הלוואה חדשה.</w:t>
      </w:r>
    </w:p>
    <w:p w:rsidR="00200BB1" w:rsidRPr="00A8206D" w:rsidRDefault="00200BB1" w:rsidP="00200BB1">
      <w:pPr>
        <w:pStyle w:val="a3"/>
        <w:numPr>
          <w:ilvl w:val="0"/>
          <w:numId w:val="1"/>
        </w:numPr>
        <w:spacing w:after="0" w:line="360" w:lineRule="auto"/>
        <w:jc w:val="both"/>
        <w:rPr>
          <w:rFonts w:cstheme="minorHAnsi"/>
        </w:rPr>
      </w:pPr>
      <w:r w:rsidRPr="00A8206D">
        <w:rPr>
          <w:rFonts w:cstheme="minorHAnsi"/>
          <w:rtl/>
        </w:rPr>
        <w:t xml:space="preserve">אין בהתרחבות פער העיתוי סממן של התפתחות סיכון באשראי למטרת מגורים. אף־על־פי־כן, ככל שפער־הזמן בין מועד רכישת הדירה ובין מועד השלמת מימון העסקה מתארך - אי־הוודאות לגבי מחירי ההלוואות לדיור שישררו במועד השלמת העסקה ולגבי היכולת של הצד הרוכש להשלים את העסקה גדלה. </w:t>
      </w:r>
    </w:p>
    <w:p w:rsidR="00200BB1" w:rsidRPr="00A8206D" w:rsidRDefault="00200BB1" w:rsidP="00200BB1">
      <w:pPr>
        <w:pStyle w:val="a3"/>
        <w:numPr>
          <w:ilvl w:val="0"/>
          <w:numId w:val="1"/>
        </w:numPr>
        <w:spacing w:after="0" w:line="360" w:lineRule="auto"/>
        <w:jc w:val="both"/>
        <w:rPr>
          <w:rFonts w:cstheme="minorHAnsi"/>
        </w:rPr>
      </w:pPr>
      <w:r w:rsidRPr="00A8206D">
        <w:rPr>
          <w:rFonts w:cstheme="minorHAnsi"/>
          <w:rtl/>
        </w:rPr>
        <w:t xml:space="preserve">ככל שיתקרב מועד מסירת הדירות שנרכשו בהטבות מימון ומשקי־הבית יידרשו להשלים את מימון הדירות שנרכשו, אנו צפויים לראות המשך גידול באשראי למטרת מגורים. </w:t>
      </w:r>
    </w:p>
    <w:p w:rsidR="00200BB1" w:rsidRPr="00A8206D" w:rsidRDefault="00200BB1" w:rsidP="00200BB1">
      <w:pPr>
        <w:pStyle w:val="a3"/>
        <w:numPr>
          <w:ilvl w:val="0"/>
          <w:numId w:val="1"/>
        </w:numPr>
        <w:spacing w:after="0" w:line="360" w:lineRule="auto"/>
        <w:jc w:val="both"/>
        <w:rPr>
          <w:rFonts w:cstheme="minorHAnsi"/>
        </w:rPr>
      </w:pPr>
      <w:r w:rsidRPr="00A8206D">
        <w:rPr>
          <w:rFonts w:cstheme="minorHAnsi"/>
          <w:rtl/>
        </w:rPr>
        <w:t>הפיקוח על הבנקים ממשיך לעקוב אחר ההתפתחויות באשראי למטרת מגורים כדי לוודא כי הסיכונים בתיק האשראי לדיור מנוטרים ומתנהלים בהתאם לפרקטיקות מקובלות ונאותות של ניהול סיכונים.</w:t>
      </w:r>
    </w:p>
    <w:bookmarkEnd w:id="0"/>
    <w:p w:rsidR="003E05EC" w:rsidRPr="00200BB1" w:rsidRDefault="003E05EC"/>
    <w:sectPr w:rsidR="003E05EC" w:rsidRPr="00200BB1" w:rsidSect="00FA276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3FFE"/>
    <w:multiLevelType w:val="hybridMultilevel"/>
    <w:tmpl w:val="2AA0BAB2"/>
    <w:lvl w:ilvl="0" w:tplc="5BFE83A0">
      <w:numFmt w:val="bullet"/>
      <w:lvlText w:val=""/>
      <w:lvlJc w:val="left"/>
      <w:pPr>
        <w:ind w:left="360" w:hanging="360"/>
      </w:pPr>
      <w:rPr>
        <w:rFonts w:ascii="Symbol" w:eastAsiaTheme="minorHAnsi" w:hAnsi="Symbol" w:cstheme="minorBidi" w:hint="default"/>
      </w:rPr>
    </w:lvl>
    <w:lvl w:ilvl="1" w:tplc="285CCD5E">
      <w:start w:val="1"/>
      <w:numFmt w:val="bullet"/>
      <w:lvlText w:val="o"/>
      <w:lvlJc w:val="left"/>
      <w:pPr>
        <w:ind w:left="1080" w:hanging="360"/>
      </w:pPr>
      <w:rPr>
        <w:rFonts w:ascii="Courier New" w:hAnsi="Courier New" w:cs="Courier New" w:hint="default"/>
      </w:rPr>
    </w:lvl>
    <w:lvl w:ilvl="2" w:tplc="24866DDA" w:tentative="1">
      <w:start w:val="1"/>
      <w:numFmt w:val="bullet"/>
      <w:lvlText w:val=""/>
      <w:lvlJc w:val="left"/>
      <w:pPr>
        <w:ind w:left="1800" w:hanging="360"/>
      </w:pPr>
      <w:rPr>
        <w:rFonts w:ascii="Wingdings" w:hAnsi="Wingdings" w:hint="default"/>
      </w:rPr>
    </w:lvl>
    <w:lvl w:ilvl="3" w:tplc="C7D8432C" w:tentative="1">
      <w:start w:val="1"/>
      <w:numFmt w:val="bullet"/>
      <w:lvlText w:val=""/>
      <w:lvlJc w:val="left"/>
      <w:pPr>
        <w:ind w:left="2520" w:hanging="360"/>
      </w:pPr>
      <w:rPr>
        <w:rFonts w:ascii="Symbol" w:hAnsi="Symbol" w:hint="default"/>
      </w:rPr>
    </w:lvl>
    <w:lvl w:ilvl="4" w:tplc="7CC03228" w:tentative="1">
      <w:start w:val="1"/>
      <w:numFmt w:val="bullet"/>
      <w:lvlText w:val="o"/>
      <w:lvlJc w:val="left"/>
      <w:pPr>
        <w:ind w:left="3240" w:hanging="360"/>
      </w:pPr>
      <w:rPr>
        <w:rFonts w:ascii="Courier New" w:hAnsi="Courier New" w:cs="Courier New" w:hint="default"/>
      </w:rPr>
    </w:lvl>
    <w:lvl w:ilvl="5" w:tplc="ACB4F5AA" w:tentative="1">
      <w:start w:val="1"/>
      <w:numFmt w:val="bullet"/>
      <w:lvlText w:val=""/>
      <w:lvlJc w:val="left"/>
      <w:pPr>
        <w:ind w:left="3960" w:hanging="360"/>
      </w:pPr>
      <w:rPr>
        <w:rFonts w:ascii="Wingdings" w:hAnsi="Wingdings" w:hint="default"/>
      </w:rPr>
    </w:lvl>
    <w:lvl w:ilvl="6" w:tplc="298AE9B8" w:tentative="1">
      <w:start w:val="1"/>
      <w:numFmt w:val="bullet"/>
      <w:lvlText w:val=""/>
      <w:lvlJc w:val="left"/>
      <w:pPr>
        <w:ind w:left="4680" w:hanging="360"/>
      </w:pPr>
      <w:rPr>
        <w:rFonts w:ascii="Symbol" w:hAnsi="Symbol" w:hint="default"/>
      </w:rPr>
    </w:lvl>
    <w:lvl w:ilvl="7" w:tplc="EF06771C" w:tentative="1">
      <w:start w:val="1"/>
      <w:numFmt w:val="bullet"/>
      <w:lvlText w:val="o"/>
      <w:lvlJc w:val="left"/>
      <w:pPr>
        <w:ind w:left="5400" w:hanging="360"/>
      </w:pPr>
      <w:rPr>
        <w:rFonts w:ascii="Courier New" w:hAnsi="Courier New" w:cs="Courier New" w:hint="default"/>
      </w:rPr>
    </w:lvl>
    <w:lvl w:ilvl="8" w:tplc="F2E00B12"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72"/>
    <w:rsid w:val="00050AA1"/>
    <w:rsid w:val="00066C04"/>
    <w:rsid w:val="000D699D"/>
    <w:rsid w:val="00125DC0"/>
    <w:rsid w:val="0013258C"/>
    <w:rsid w:val="001B29B9"/>
    <w:rsid w:val="00200BB1"/>
    <w:rsid w:val="00372822"/>
    <w:rsid w:val="003C2838"/>
    <w:rsid w:val="003E05EC"/>
    <w:rsid w:val="0043782F"/>
    <w:rsid w:val="00476252"/>
    <w:rsid w:val="00536F7B"/>
    <w:rsid w:val="00572E7D"/>
    <w:rsid w:val="006479D6"/>
    <w:rsid w:val="006A7C22"/>
    <w:rsid w:val="009002B2"/>
    <w:rsid w:val="009554E0"/>
    <w:rsid w:val="00A8206D"/>
    <w:rsid w:val="00AD49BB"/>
    <w:rsid w:val="00AE3A72"/>
    <w:rsid w:val="00B25D00"/>
    <w:rsid w:val="00D36A9A"/>
    <w:rsid w:val="00DC337E"/>
    <w:rsid w:val="00ED2AC7"/>
    <w:rsid w:val="00F10B65"/>
    <w:rsid w:val="00F726A6"/>
    <w:rsid w:val="00F80107"/>
    <w:rsid w:val="00FA2761"/>
    <w:rsid w:val="00FC3B9A"/>
    <w:rsid w:val="00FF71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5A157-DB0B-4EBC-B1A1-03A6EC3A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_0,Use Case List Paragraph"/>
    <w:basedOn w:val="a"/>
    <w:link w:val="a4"/>
    <w:uiPriority w:val="34"/>
    <w:qFormat/>
    <w:rsid w:val="00200BB1"/>
    <w:pPr>
      <w:ind w:left="720"/>
      <w:contextualSpacing/>
    </w:pPr>
  </w:style>
  <w:style w:type="character" w:customStyle="1" w:styleId="a4">
    <w:name w:val="פיסקת רשימה תו"/>
    <w:aliases w:val="List Paragraph_0 תו,Use Case List Paragraph תו"/>
    <w:basedOn w:val="a0"/>
    <w:link w:val="a3"/>
    <w:uiPriority w:val="34"/>
    <w:locked/>
    <w:rsid w:val="00200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1752</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לירון בן עמוס</dc:creator>
  <cp:keywords/>
  <dc:description/>
  <cp:lastModifiedBy>לירון בן עמוס</cp:lastModifiedBy>
  <cp:revision>7</cp:revision>
  <dcterms:created xsi:type="dcterms:W3CDTF">2026-05-12T06:58:00Z</dcterms:created>
  <dcterms:modified xsi:type="dcterms:W3CDTF">2026-05-12T07:09:00Z</dcterms:modified>
</cp:coreProperties>
</file>