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A38B3" w:rsidRPr="00724D4A" w:rsidTr="001B67D1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8B3" w:rsidRPr="00724D4A" w:rsidRDefault="000A38B3" w:rsidP="001B67D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724D4A">
              <w:rPr>
                <w:rFonts w:ascii="Calibri" w:eastAsia="Calibri" w:hAnsi="Calibri" w:cs="Calibri"/>
                <w:b/>
                <w:bCs/>
                <w:rtl/>
              </w:rPr>
              <w:t>בנק ישראל</w:t>
            </w:r>
          </w:p>
          <w:p w:rsidR="000A38B3" w:rsidRPr="00724D4A" w:rsidRDefault="000A38B3" w:rsidP="001B67D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24D4A">
              <w:rPr>
                <w:rFonts w:ascii="Calibri" w:eastAsia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38B3" w:rsidRPr="00724D4A" w:rsidRDefault="000A38B3" w:rsidP="001B67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724D4A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3F312A20" wp14:editId="5C29F45A">
                  <wp:extent cx="914400" cy="914400"/>
                  <wp:effectExtent l="0" t="0" r="0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8B3" w:rsidRPr="00724D4A" w:rsidRDefault="000A38B3" w:rsidP="001B67D1">
            <w:pPr>
              <w:spacing w:after="0" w:line="276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724D4A">
              <w:rPr>
                <w:rFonts w:ascii="Calibri" w:eastAsia="Calibri" w:hAnsi="Calibri" w:cs="Calibri"/>
                <w:highlight w:val="green"/>
                <w:rtl/>
              </w:rPr>
              <w:t>‏</w:t>
            </w:r>
            <w:r w:rsidRPr="00724D4A">
              <w:rPr>
                <w:rFonts w:ascii="Calibri" w:eastAsia="Calibri" w:hAnsi="Calibri" w:cs="Calibri"/>
                <w:rtl/>
              </w:rPr>
              <w:t xml:space="preserve">ירושלים, </w:t>
            </w: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yyyy" \h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rtl/>
              </w:rPr>
              <w:t>‏כ"ז אייר, תשפ"ו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  <w:p w:rsidR="000A38B3" w:rsidRPr="00724D4A" w:rsidRDefault="000A38B3" w:rsidP="000A38B3">
            <w:pPr>
              <w:spacing w:after="0" w:line="276" w:lineRule="auto"/>
              <w:jc w:val="center"/>
              <w:rPr>
                <w:rFonts w:ascii="Calibri" w:eastAsia="Calibri" w:hAnsi="Calibri" w:cs="Calibri"/>
                <w:highlight w:val="green"/>
              </w:rPr>
            </w:pPr>
            <w:r w:rsidRPr="00724D4A">
              <w:rPr>
                <w:rFonts w:ascii="Calibri" w:eastAsia="Calibri" w:hAnsi="Calibri" w:cs="Calibri"/>
                <w:rtl/>
              </w:rPr>
              <w:fldChar w:fldCharType="begin"/>
            </w:r>
            <w:r w:rsidRPr="00724D4A">
              <w:rPr>
                <w:rFonts w:ascii="Calibri" w:eastAsia="Calibri" w:hAnsi="Calibri" w:cs="Calibri"/>
                <w:rtl/>
              </w:rPr>
              <w:instrText xml:space="preserve"> </w:instrText>
            </w:r>
            <w:r w:rsidRPr="00724D4A">
              <w:rPr>
                <w:rFonts w:ascii="Calibri" w:eastAsia="Calibri" w:hAnsi="Calibri" w:cs="Calibri"/>
              </w:rPr>
              <w:instrText>DATE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 \@ "</w:instrText>
            </w:r>
            <w:r w:rsidRPr="00724D4A">
              <w:rPr>
                <w:rFonts w:ascii="Calibri" w:eastAsia="Calibri" w:hAnsi="Calibri" w:cs="Calibri"/>
              </w:rPr>
              <w:instrText>d MMMM, yyyy</w:instrText>
            </w:r>
            <w:r w:rsidRPr="00724D4A">
              <w:rPr>
                <w:rFonts w:ascii="Calibri" w:eastAsia="Calibri" w:hAnsi="Calibri" w:cs="Calibri"/>
                <w:rtl/>
              </w:rPr>
              <w:instrText xml:space="preserve">" </w:instrText>
            </w:r>
            <w:r w:rsidRPr="00724D4A">
              <w:rPr>
                <w:rFonts w:ascii="Calibri" w:eastAsia="Calibri" w:hAnsi="Calibri" w:cs="Calibri"/>
                <w:rtl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rtl/>
              </w:rPr>
              <w:t>‏</w:t>
            </w:r>
            <w:r>
              <w:rPr>
                <w:rFonts w:ascii="Calibri" w:eastAsia="Calibri" w:hAnsi="Calibri" w:cs="Calibri" w:hint="cs"/>
                <w:noProof/>
                <w:rtl/>
              </w:rPr>
              <w:t>13</w:t>
            </w:r>
            <w:r>
              <w:rPr>
                <w:rFonts w:ascii="Calibri" w:eastAsia="Calibri" w:hAnsi="Calibri" w:cs="Calibri"/>
                <w:noProof/>
                <w:rtl/>
              </w:rPr>
              <w:t xml:space="preserve"> מאי, 2026</w:t>
            </w:r>
            <w:r w:rsidRPr="00724D4A">
              <w:rPr>
                <w:rFonts w:ascii="Calibri" w:eastAsia="Calibri" w:hAnsi="Calibri" w:cs="Calibri"/>
                <w:rtl/>
              </w:rPr>
              <w:fldChar w:fldCharType="end"/>
            </w:r>
          </w:p>
        </w:tc>
      </w:tr>
    </w:tbl>
    <w:p w:rsidR="000A38B3" w:rsidRDefault="000A38B3" w:rsidP="000A38B3">
      <w:pPr>
        <w:pStyle w:val="-"/>
        <w:rPr>
          <w:rtl/>
        </w:rPr>
      </w:pPr>
      <w:r>
        <w:rPr>
          <w:rFonts w:hint="cs"/>
          <w:rtl/>
        </w:rPr>
        <w:t>הודעה לעיתונות:</w:t>
      </w:r>
    </w:p>
    <w:p w:rsidR="000A38B3" w:rsidRDefault="000A38B3" w:rsidP="000A38B3">
      <w:pPr>
        <w:pStyle w:val="-"/>
        <w:rPr>
          <w:rtl/>
        </w:rPr>
      </w:pPr>
      <w:r>
        <w:rPr>
          <w:rFonts w:hint="cs"/>
          <w:rtl/>
        </w:rPr>
        <w:t>מחקר חדש בסדרת "מאמרים לדיון" של חטיבת המחקר</w:t>
      </w:r>
    </w:p>
    <w:p w:rsidR="000A38B3" w:rsidRPr="005A5630" w:rsidRDefault="000A38B3" w:rsidP="000A38B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5A5630">
        <w:rPr>
          <w:rFonts w:ascii="Calibri" w:hAnsi="Calibri" w:cs="Calibri"/>
          <w:b/>
          <w:bCs/>
          <w:sz w:val="28"/>
          <w:szCs w:val="28"/>
          <w:rtl/>
        </w:rPr>
        <w:t>מאגר נתוני האשראי והשפעתו על תמחור הלוואות רכב בשוק החוץ</w:t>
      </w:r>
      <w:r w:rsidRPr="005A5630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5A5630">
        <w:rPr>
          <w:rFonts w:ascii="Calibri" w:hAnsi="Calibri" w:cs="Calibri"/>
          <w:b/>
          <w:bCs/>
          <w:sz w:val="28"/>
          <w:szCs w:val="28"/>
          <w:rtl/>
        </w:rPr>
        <w:t>בנקאי</w:t>
      </w:r>
    </w:p>
    <w:p w:rsidR="00BA5804" w:rsidRPr="000812EB" w:rsidRDefault="004C08C6" w:rsidP="000A38B3">
      <w:pPr>
        <w:spacing w:line="360" w:lineRule="auto"/>
        <w:jc w:val="center"/>
        <w:rPr>
          <w:rFonts w:ascii="Calibri" w:hAnsi="Calibri" w:cs="Calibri"/>
        </w:rPr>
      </w:pPr>
      <w:r w:rsidRPr="00321C2F">
        <w:rPr>
          <w:rFonts w:ascii="Calibri" w:hAnsi="Calibri" w:cs="Calibri"/>
        </w:rPr>
        <w:br/>
      </w:r>
      <w:r w:rsidRPr="00BA5804">
        <w:rPr>
          <w:rFonts w:ascii="Calibri" w:hAnsi="Calibri" w:cs="Calibri"/>
          <w:rtl/>
        </w:rPr>
        <w:t xml:space="preserve">מחקר </w:t>
      </w:r>
      <w:r w:rsidR="008474EA" w:rsidRPr="00BA5804">
        <w:rPr>
          <w:rFonts w:ascii="Calibri" w:hAnsi="Calibri" w:cs="Calibri"/>
          <w:rtl/>
        </w:rPr>
        <w:t xml:space="preserve">זה </w:t>
      </w:r>
      <w:r w:rsidRPr="00BA5804">
        <w:rPr>
          <w:rFonts w:ascii="Calibri" w:hAnsi="Calibri" w:cs="Calibri"/>
          <w:rtl/>
        </w:rPr>
        <w:t xml:space="preserve">בוחן </w:t>
      </w:r>
      <w:r w:rsidR="002C64DA">
        <w:rPr>
          <w:rFonts w:ascii="Calibri" w:hAnsi="Calibri" w:cs="Calibri" w:hint="cs"/>
          <w:rtl/>
        </w:rPr>
        <w:t xml:space="preserve">לראשונה </w:t>
      </w:r>
      <w:r w:rsidRPr="00BA5804">
        <w:rPr>
          <w:rFonts w:ascii="Calibri" w:hAnsi="Calibri" w:cs="Calibri"/>
          <w:rtl/>
        </w:rPr>
        <w:t>את השפעת הקמת מאגר נתוני האשראי הקמעונאי על פעילות נותני אשראי חוץ</w:t>
      </w:r>
      <w:r w:rsidR="00382824">
        <w:rPr>
          <w:rFonts w:ascii="Calibri" w:hAnsi="Calibri" w:cs="Calibri" w:hint="cs"/>
          <w:rtl/>
        </w:rPr>
        <w:t>-</w:t>
      </w:r>
      <w:r w:rsidRPr="00BA5804">
        <w:rPr>
          <w:rFonts w:ascii="Calibri" w:hAnsi="Calibri" w:cs="Calibri"/>
          <w:rtl/>
        </w:rPr>
        <w:t>בנקאי, תוך התמקד</w:t>
      </w:r>
      <w:r w:rsidRPr="000812EB">
        <w:rPr>
          <w:rFonts w:ascii="Calibri" w:hAnsi="Calibri" w:cs="Calibri"/>
          <w:rtl/>
        </w:rPr>
        <w:t>ות בשוק הלווא</w:t>
      </w:r>
      <w:bookmarkStart w:id="0" w:name="_GoBack"/>
      <w:bookmarkEnd w:id="0"/>
      <w:r w:rsidRPr="000812EB">
        <w:rPr>
          <w:rFonts w:ascii="Calibri" w:hAnsi="Calibri" w:cs="Calibri"/>
          <w:rtl/>
        </w:rPr>
        <w:t>ות הרכב</w:t>
      </w:r>
      <w:r w:rsidRPr="000812EB">
        <w:rPr>
          <w:rFonts w:ascii="Calibri" w:hAnsi="Calibri" w:cs="Calibri"/>
        </w:rPr>
        <w:t>.</w:t>
      </w:r>
      <w:r w:rsidR="00B30BBC" w:rsidRPr="000812EB">
        <w:rPr>
          <w:rFonts w:ascii="Calibri" w:hAnsi="Calibri" w:cs="Calibri" w:hint="cs"/>
          <w:rtl/>
        </w:rPr>
        <w:t xml:space="preserve"> </w:t>
      </w:r>
    </w:p>
    <w:p w:rsidR="00076858" w:rsidRDefault="004C08C6" w:rsidP="00235666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35666">
        <w:rPr>
          <w:rFonts w:ascii="Calibri" w:hAnsi="Calibri" w:cs="Calibri"/>
          <w:rtl/>
        </w:rPr>
        <w:t>נ</w:t>
      </w:r>
      <w:r w:rsidRPr="00235666">
        <w:rPr>
          <w:rFonts w:ascii="Calibri" w:hAnsi="Calibri" w:cs="Calibri"/>
          <w:rtl/>
        </w:rPr>
        <w:t xml:space="preserve">מצא כי </w:t>
      </w:r>
      <w:r w:rsidR="00E70C24">
        <w:rPr>
          <w:rFonts w:ascii="Calibri" w:hAnsi="Calibri" w:cs="Calibri" w:hint="cs"/>
          <w:rtl/>
        </w:rPr>
        <w:t>ה</w:t>
      </w:r>
      <w:r w:rsidRPr="00235666">
        <w:rPr>
          <w:rFonts w:ascii="Calibri" w:hAnsi="Calibri" w:cs="Calibri"/>
          <w:rtl/>
        </w:rPr>
        <w:t xml:space="preserve">שימוש בנתוני מאגר האשראי לצורך מתן הלוואות </w:t>
      </w:r>
      <w:r w:rsidRPr="00235666">
        <w:rPr>
          <w:rFonts w:ascii="Calibri" w:hAnsi="Calibri" w:cs="Calibri"/>
          <w:rtl/>
        </w:rPr>
        <w:t>הוביל לירידה</w:t>
      </w:r>
      <w:r w:rsidRPr="00235666">
        <w:rPr>
          <w:rFonts w:ascii="Calibri" w:hAnsi="Calibri" w:cs="Calibri" w:hint="cs"/>
          <w:rtl/>
        </w:rPr>
        <w:t xml:space="preserve"> </w:t>
      </w:r>
      <w:r w:rsidRPr="00235666">
        <w:rPr>
          <w:rFonts w:ascii="Calibri" w:hAnsi="Calibri" w:cs="Calibri"/>
          <w:rtl/>
        </w:rPr>
        <w:t>במרווחי הריבית בהלוואות רכב שניתנו על ידי נותני אשראי חוץ בנקא</w:t>
      </w:r>
      <w:r w:rsidRPr="00235666">
        <w:rPr>
          <w:rFonts w:ascii="Calibri" w:hAnsi="Calibri" w:cs="Calibri" w:hint="cs"/>
          <w:rtl/>
        </w:rPr>
        <w:t xml:space="preserve">י. </w:t>
      </w:r>
      <w:r w:rsidRPr="00235666">
        <w:rPr>
          <w:rFonts w:ascii="Calibri" w:hAnsi="Calibri" w:cs="Calibri"/>
          <w:rtl/>
        </w:rPr>
        <w:t>הירידה הגיעה ל</w:t>
      </w:r>
      <w:r w:rsidRPr="00235666">
        <w:rPr>
          <w:rFonts w:ascii="Calibri" w:hAnsi="Calibri" w:cs="Calibri" w:hint="cs"/>
          <w:rtl/>
        </w:rPr>
        <w:t>יותר</w:t>
      </w:r>
      <w:r w:rsidRPr="00235666">
        <w:rPr>
          <w:rFonts w:ascii="Calibri" w:hAnsi="Calibri" w:cs="Calibri"/>
          <w:rtl/>
        </w:rPr>
        <w:t xml:space="preserve"> </w:t>
      </w:r>
      <w:r w:rsidRPr="00235666">
        <w:rPr>
          <w:rFonts w:ascii="Calibri" w:hAnsi="Calibri" w:cs="Calibri" w:hint="cs"/>
          <w:rtl/>
        </w:rPr>
        <w:t>מ</w:t>
      </w:r>
      <w:r w:rsidRPr="00235666">
        <w:rPr>
          <w:rFonts w:ascii="Calibri" w:hAnsi="Calibri" w:cs="Calibri"/>
          <w:rtl/>
        </w:rPr>
        <w:t>נקודת אחוז בסוף התקופה</w:t>
      </w:r>
      <w:r w:rsidRPr="00235666">
        <w:rPr>
          <w:rFonts w:ascii="Calibri" w:hAnsi="Calibri" w:cs="Calibri" w:hint="cs"/>
          <w:rtl/>
        </w:rPr>
        <w:t xml:space="preserve">, לעומת כ-0.3 נקודות אחוז בממוצע על פני התקופה כולה. </w:t>
      </w:r>
    </w:p>
    <w:p w:rsidR="00391276" w:rsidRPr="00235666" w:rsidRDefault="004C08C6" w:rsidP="00235666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35666">
        <w:rPr>
          <w:rFonts w:ascii="Calibri" w:hAnsi="Calibri" w:cs="Calibri" w:hint="cs"/>
          <w:rtl/>
        </w:rPr>
        <w:t xml:space="preserve">בעקבות השימוש במאגר </w:t>
      </w:r>
      <w:r w:rsidR="008D5469" w:rsidRPr="00235666">
        <w:rPr>
          <w:rFonts w:ascii="Calibri" w:hAnsi="Calibri" w:cs="Calibri" w:hint="cs"/>
          <w:rtl/>
        </w:rPr>
        <w:t>נצפתה ירידה בהישענות על שיעור המינוף כמדד סיכון</w:t>
      </w:r>
      <w:r w:rsidR="0074546A" w:rsidRPr="00235666">
        <w:rPr>
          <w:rFonts w:ascii="Calibri" w:hAnsi="Calibri" w:cs="Calibri" w:hint="cs"/>
          <w:rtl/>
        </w:rPr>
        <w:t>,</w:t>
      </w:r>
      <w:r w:rsidR="006055D7" w:rsidRPr="00235666">
        <w:rPr>
          <w:rFonts w:ascii="Calibri" w:hAnsi="Calibri" w:cs="Calibri" w:hint="cs"/>
          <w:rtl/>
        </w:rPr>
        <w:t xml:space="preserve"> </w:t>
      </w:r>
      <w:r w:rsidR="008D5469" w:rsidRPr="00235666">
        <w:rPr>
          <w:rFonts w:ascii="Calibri" w:hAnsi="Calibri" w:cs="Calibri" w:hint="cs"/>
          <w:rtl/>
        </w:rPr>
        <w:t xml:space="preserve">ומעבר לתמחור מדויק יותר </w:t>
      </w:r>
      <w:r w:rsidR="006055D7" w:rsidRPr="00235666">
        <w:rPr>
          <w:rFonts w:ascii="Calibri" w:hAnsi="Calibri" w:cs="Calibri" w:hint="cs"/>
          <w:rtl/>
        </w:rPr>
        <w:t xml:space="preserve">על בסיס מאפייני הסיכון של הלווה. </w:t>
      </w:r>
    </w:p>
    <w:p w:rsidR="00321C2F" w:rsidRPr="00BA5804" w:rsidRDefault="004C08C6" w:rsidP="00FC4078">
      <w:pPr>
        <w:pStyle w:val="a9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בנוסף, נרשמה </w:t>
      </w:r>
      <w:r w:rsidR="00D15F3D" w:rsidRPr="00BA5804">
        <w:rPr>
          <w:rFonts w:ascii="Calibri" w:hAnsi="Calibri" w:cs="Calibri"/>
          <w:rtl/>
        </w:rPr>
        <w:t xml:space="preserve">ירידה בשיעורי הפיגור </w:t>
      </w:r>
      <w:r w:rsidR="00D15F3D" w:rsidRPr="00235666">
        <w:rPr>
          <w:rFonts w:ascii="Calibri" w:hAnsi="Calibri" w:cs="Calibri"/>
          <w:rtl/>
        </w:rPr>
        <w:t>בהלוואות ש</w:t>
      </w:r>
      <w:r w:rsidR="006055D7" w:rsidRPr="00235666">
        <w:rPr>
          <w:rFonts w:ascii="Calibri" w:hAnsi="Calibri" w:cs="Calibri" w:hint="cs"/>
          <w:rtl/>
        </w:rPr>
        <w:t>ניתנו על ידי</w:t>
      </w:r>
      <w:r w:rsidR="00D15F3D" w:rsidRPr="00235666">
        <w:rPr>
          <w:rFonts w:ascii="Calibri" w:hAnsi="Calibri" w:cs="Calibri"/>
          <w:rtl/>
        </w:rPr>
        <w:t xml:space="preserve"> נותני</w:t>
      </w:r>
      <w:r w:rsidR="00D15F3D" w:rsidRPr="00BA5804">
        <w:rPr>
          <w:rFonts w:ascii="Calibri" w:hAnsi="Calibri" w:cs="Calibri"/>
          <w:rtl/>
        </w:rPr>
        <w:t xml:space="preserve"> אשראי חוץ</w:t>
      </w:r>
      <w:r w:rsidR="00933D97">
        <w:rPr>
          <w:rFonts w:ascii="Calibri" w:hAnsi="Calibri" w:cs="Calibri" w:hint="cs"/>
          <w:rtl/>
        </w:rPr>
        <w:t>-</w:t>
      </w:r>
      <w:r w:rsidR="00D15F3D" w:rsidRPr="00BA5804">
        <w:rPr>
          <w:rFonts w:ascii="Calibri" w:hAnsi="Calibri" w:cs="Calibri"/>
          <w:rtl/>
        </w:rPr>
        <w:t xml:space="preserve">בנקאי </w:t>
      </w:r>
      <w:r w:rsidR="002979E5">
        <w:rPr>
          <w:rFonts w:ascii="Calibri" w:hAnsi="Calibri" w:cs="Calibri" w:hint="cs"/>
          <w:rtl/>
        </w:rPr>
        <w:t>לעומת הלוואות בנקאיות</w:t>
      </w:r>
      <w:r w:rsidR="00D15F3D" w:rsidRPr="00BA5804">
        <w:rPr>
          <w:rFonts w:ascii="Calibri" w:hAnsi="Calibri" w:cs="Calibri"/>
          <w:rtl/>
        </w:rPr>
        <w:t xml:space="preserve">, ממצא העשוי להעיד על שיפור </w:t>
      </w:r>
      <w:r w:rsidR="002979E5">
        <w:rPr>
          <w:rFonts w:ascii="Calibri" w:hAnsi="Calibri" w:cs="Calibri" w:hint="cs"/>
          <w:rtl/>
        </w:rPr>
        <w:t xml:space="preserve">יחסי </w:t>
      </w:r>
      <w:r w:rsidR="00D15F3D" w:rsidRPr="00BA5804">
        <w:rPr>
          <w:rFonts w:ascii="Calibri" w:hAnsi="Calibri" w:cs="Calibri"/>
          <w:rtl/>
        </w:rPr>
        <w:t xml:space="preserve">ביכולת זיהוי </w:t>
      </w:r>
      <w:r w:rsidR="008E1EBE" w:rsidRPr="00BA5804">
        <w:rPr>
          <w:rFonts w:ascii="Calibri" w:hAnsi="Calibri" w:cs="Calibri" w:hint="cs"/>
          <w:rtl/>
        </w:rPr>
        <w:t xml:space="preserve">והערכת </w:t>
      </w:r>
      <w:r w:rsidR="00D15F3D" w:rsidRPr="00BA5804">
        <w:rPr>
          <w:rFonts w:ascii="Calibri" w:hAnsi="Calibri" w:cs="Calibri"/>
          <w:rtl/>
        </w:rPr>
        <w:t>סיכון</w:t>
      </w:r>
      <w:r w:rsidR="008E1EBE" w:rsidRPr="00BA5804">
        <w:rPr>
          <w:rFonts w:ascii="Calibri" w:hAnsi="Calibri" w:cs="Calibri" w:hint="cs"/>
          <w:rtl/>
        </w:rPr>
        <w:t xml:space="preserve"> הלווה</w:t>
      </w:r>
      <w:r w:rsidR="00D15F3D" w:rsidRPr="00BA5804">
        <w:rPr>
          <w:rFonts w:ascii="Calibri" w:hAnsi="Calibri" w:cs="Calibri"/>
        </w:rPr>
        <w:t>.</w:t>
      </w:r>
    </w:p>
    <w:p w:rsidR="00DB7F4F" w:rsidRPr="00321C2F" w:rsidRDefault="004C08C6" w:rsidP="00DB7F4F">
      <w:pPr>
        <w:spacing w:line="360" w:lineRule="auto"/>
        <w:jc w:val="both"/>
        <w:rPr>
          <w:rFonts w:ascii="Calibri" w:hAnsi="Calibri" w:cs="Calibri"/>
        </w:rPr>
      </w:pPr>
      <w:r w:rsidRPr="00321C2F">
        <w:rPr>
          <w:rFonts w:ascii="Calibri" w:hAnsi="Calibri" w:cs="Calibri"/>
          <w:rtl/>
        </w:rPr>
        <w:t>הקמת מאגר נתוני האשראי נועדה</w:t>
      </w:r>
      <w:r w:rsidR="008428B0">
        <w:rPr>
          <w:rFonts w:ascii="Calibri" w:hAnsi="Calibri" w:cs="Calibri" w:hint="cs"/>
          <w:rtl/>
        </w:rPr>
        <w:t>, בין היתר,</w:t>
      </w:r>
      <w:r w:rsidRPr="00321C2F">
        <w:rPr>
          <w:rFonts w:ascii="Calibri" w:hAnsi="Calibri" w:cs="Calibri"/>
          <w:rtl/>
        </w:rPr>
        <w:t xml:space="preserve"> לצמצם פערי מידע בין מלווים ללווים, </w:t>
      </w:r>
      <w:r w:rsidR="005B675B">
        <w:rPr>
          <w:rFonts w:ascii="Calibri" w:hAnsi="Calibri" w:cs="Calibri" w:hint="cs"/>
          <w:rtl/>
        </w:rPr>
        <w:t>ל</w:t>
      </w:r>
      <w:r>
        <w:rPr>
          <w:rFonts w:ascii="Calibri" w:hAnsi="Calibri" w:cs="Calibri" w:hint="cs"/>
          <w:rtl/>
        </w:rPr>
        <w:t xml:space="preserve">יצור תנאים שווים לתחרות בין מלווים שונים, ולשפר את תפקוד שוק האשראי הצרכני. </w:t>
      </w:r>
      <w:r w:rsidRPr="00321C2F">
        <w:rPr>
          <w:rFonts w:ascii="Calibri" w:hAnsi="Calibri" w:cs="Calibri"/>
          <w:rtl/>
        </w:rPr>
        <w:t xml:space="preserve">פערי </w:t>
      </w:r>
      <w:r w:rsidR="005B675B">
        <w:rPr>
          <w:rFonts w:ascii="Calibri" w:hAnsi="Calibri" w:cs="Calibri" w:hint="cs"/>
          <w:rtl/>
        </w:rPr>
        <w:t>ה</w:t>
      </w:r>
      <w:r w:rsidRPr="00321C2F">
        <w:rPr>
          <w:rFonts w:ascii="Calibri" w:hAnsi="Calibri" w:cs="Calibri"/>
          <w:rtl/>
        </w:rPr>
        <w:t>מידע היו משמעותיים במיוחד בקרב נותני אשראי חוץ</w:t>
      </w:r>
      <w:r w:rsidR="00BA7D56">
        <w:rPr>
          <w:rFonts w:ascii="Calibri" w:hAnsi="Calibri" w:cs="Calibri" w:hint="cs"/>
          <w:rtl/>
        </w:rPr>
        <w:t>-</w:t>
      </w:r>
      <w:r w:rsidRPr="00321C2F">
        <w:rPr>
          <w:rFonts w:ascii="Calibri" w:hAnsi="Calibri" w:cs="Calibri"/>
          <w:rtl/>
        </w:rPr>
        <w:t>בנקאי, שפעלו בעמדת נחיתות ביחס לבנקים</w:t>
      </w:r>
      <w:r>
        <w:rPr>
          <w:rFonts w:ascii="Calibri" w:hAnsi="Calibri" w:cs="Calibri" w:hint="cs"/>
          <w:rtl/>
        </w:rPr>
        <w:t>, ונטו לתמחר אשראי בריביות גבוהות יותר כדי לפצות על א</w:t>
      </w:r>
      <w:r>
        <w:rPr>
          <w:rFonts w:ascii="Calibri" w:hAnsi="Calibri" w:cs="Calibri" w:hint="cs"/>
          <w:rtl/>
        </w:rPr>
        <w:t xml:space="preserve">י-הוודאות באשר לרמת הסיכון של הלווה. </w:t>
      </w:r>
    </w:p>
    <w:p w:rsidR="00321C2F" w:rsidRPr="00321C2F" w:rsidRDefault="004C08C6" w:rsidP="00FC4078">
      <w:pPr>
        <w:spacing w:line="360" w:lineRule="auto"/>
        <w:jc w:val="both"/>
        <w:rPr>
          <w:rFonts w:ascii="Calibri" w:hAnsi="Calibri" w:cs="Calibri"/>
        </w:rPr>
      </w:pPr>
      <w:r w:rsidRPr="00321C2F">
        <w:rPr>
          <w:rFonts w:ascii="Calibri" w:hAnsi="Calibri" w:cs="Calibri"/>
          <w:rtl/>
        </w:rPr>
        <w:t>המחקר, שנערך על ידי כרמל צור מחטיבת המחקר,</w:t>
      </w:r>
      <w:r w:rsidR="00B30BBC">
        <w:rPr>
          <w:rFonts w:ascii="Calibri" w:hAnsi="Calibri" w:cs="Calibri" w:hint="cs"/>
          <w:rtl/>
        </w:rPr>
        <w:t xml:space="preserve"> </w:t>
      </w:r>
      <w:r w:rsidR="005B675B">
        <w:rPr>
          <w:rFonts w:ascii="Calibri" w:hAnsi="Calibri" w:cs="Calibri" w:hint="cs"/>
          <w:rtl/>
        </w:rPr>
        <w:t xml:space="preserve">בוחן לראשונה את </w:t>
      </w:r>
      <w:r w:rsidR="00B30BBC">
        <w:rPr>
          <w:rFonts w:ascii="Calibri" w:hAnsi="Calibri" w:cs="Calibri" w:hint="cs"/>
          <w:rtl/>
        </w:rPr>
        <w:t>השפעת</w:t>
      </w:r>
      <w:r w:rsidR="005B675B">
        <w:rPr>
          <w:rFonts w:ascii="Calibri" w:hAnsi="Calibri" w:cs="Calibri" w:hint="cs"/>
          <w:rtl/>
        </w:rPr>
        <w:t>ו של</w:t>
      </w:r>
      <w:r w:rsidR="00B30BBC">
        <w:rPr>
          <w:rFonts w:ascii="Calibri" w:hAnsi="Calibri" w:cs="Calibri" w:hint="cs"/>
          <w:rtl/>
        </w:rPr>
        <w:t xml:space="preserve"> מאגר</w:t>
      </w:r>
      <w:r w:rsidR="005B675B">
        <w:rPr>
          <w:rFonts w:ascii="Calibri" w:hAnsi="Calibri" w:cs="Calibri" w:hint="cs"/>
          <w:rtl/>
        </w:rPr>
        <w:t xml:space="preserve"> נתוני האשראי הקמעונאי</w:t>
      </w:r>
      <w:r w:rsidR="00B30BBC">
        <w:rPr>
          <w:rFonts w:ascii="Calibri" w:hAnsi="Calibri" w:cs="Calibri" w:hint="cs"/>
          <w:rtl/>
        </w:rPr>
        <w:t xml:space="preserve"> על </w:t>
      </w:r>
      <w:r w:rsidR="007E2D88">
        <w:rPr>
          <w:rFonts w:ascii="Calibri" w:hAnsi="Calibri" w:cs="Calibri" w:hint="cs"/>
          <w:rtl/>
        </w:rPr>
        <w:t xml:space="preserve">פעילות </w:t>
      </w:r>
      <w:r w:rsidR="005601F7">
        <w:rPr>
          <w:rFonts w:ascii="Calibri" w:hAnsi="Calibri" w:cs="Calibri" w:hint="cs"/>
          <w:rtl/>
        </w:rPr>
        <w:t>נותני האשראי</w:t>
      </w:r>
      <w:r w:rsidR="00B30BBC">
        <w:rPr>
          <w:rFonts w:ascii="Calibri" w:hAnsi="Calibri" w:cs="Calibri" w:hint="cs"/>
          <w:rtl/>
        </w:rPr>
        <w:t xml:space="preserve"> החוץ</w:t>
      </w:r>
      <w:r w:rsidR="00C37745">
        <w:rPr>
          <w:rFonts w:ascii="Calibri" w:hAnsi="Calibri" w:cs="Calibri" w:hint="cs"/>
          <w:rtl/>
        </w:rPr>
        <w:t>-</w:t>
      </w:r>
      <w:r w:rsidR="00B30BBC">
        <w:rPr>
          <w:rFonts w:ascii="Calibri" w:hAnsi="Calibri" w:cs="Calibri" w:hint="cs"/>
          <w:rtl/>
        </w:rPr>
        <w:t>בנקאי. המחקר</w:t>
      </w:r>
      <w:r w:rsidRPr="00321C2F">
        <w:rPr>
          <w:rFonts w:ascii="Calibri" w:hAnsi="Calibri" w:cs="Calibri"/>
          <w:rtl/>
        </w:rPr>
        <w:t xml:space="preserve"> מתמקד בשוק הלוואות הרכב,</w:t>
      </w:r>
      <w:r w:rsidR="00B30BBC" w:rsidRPr="008E1EBE">
        <w:rPr>
          <w:rFonts w:ascii="Calibri" w:hAnsi="Calibri" w:cs="Calibri" w:hint="cs"/>
          <w:rtl/>
        </w:rPr>
        <w:t xml:space="preserve"> </w:t>
      </w:r>
      <w:r w:rsidR="005601F7">
        <w:rPr>
          <w:rFonts w:ascii="Calibri" w:hAnsi="Calibri" w:cs="Calibri" w:hint="cs"/>
          <w:rtl/>
        </w:rPr>
        <w:t>ש</w:t>
      </w:r>
      <w:r w:rsidR="007E2D88">
        <w:rPr>
          <w:rFonts w:ascii="Calibri" w:hAnsi="Calibri" w:cs="Calibri" w:hint="cs"/>
          <w:rtl/>
        </w:rPr>
        <w:t xml:space="preserve">בו למעלה מ-80% מההלוואות ניתנות על ידי </w:t>
      </w:r>
      <w:r w:rsidR="005601F7">
        <w:rPr>
          <w:rFonts w:ascii="Calibri" w:hAnsi="Calibri" w:cs="Calibri" w:hint="cs"/>
          <w:rtl/>
        </w:rPr>
        <w:t>נותני אשראי חוץ-בנקאי, ו</w:t>
      </w:r>
      <w:r w:rsidR="007E2D88">
        <w:rPr>
          <w:rFonts w:ascii="Calibri" w:hAnsi="Calibri" w:cs="Calibri" w:hint="cs"/>
          <w:rtl/>
        </w:rPr>
        <w:t>ש</w:t>
      </w:r>
      <w:r w:rsidR="005601F7">
        <w:rPr>
          <w:rFonts w:ascii="Calibri" w:hAnsi="Calibri" w:cs="Calibri" w:hint="cs"/>
          <w:rtl/>
        </w:rPr>
        <w:t>מהווה רכיב מרכזי מאוד בפעילותם</w:t>
      </w:r>
      <w:r w:rsidR="00B30BBC">
        <w:rPr>
          <w:rFonts w:ascii="Calibri" w:hAnsi="Calibri" w:cs="Calibri" w:hint="cs"/>
          <w:rtl/>
        </w:rPr>
        <w:t xml:space="preserve">. </w:t>
      </w:r>
      <w:r w:rsidRPr="00321C2F">
        <w:rPr>
          <w:rFonts w:ascii="Calibri" w:hAnsi="Calibri" w:cs="Calibri"/>
          <w:rtl/>
        </w:rPr>
        <w:t xml:space="preserve">לצורך זיהוי ההשפעה של המאגר נעשה שימוש </w:t>
      </w:r>
      <w:r w:rsidR="00DE46ED">
        <w:rPr>
          <w:rFonts w:ascii="Calibri" w:hAnsi="Calibri" w:cs="Calibri" w:hint="cs"/>
          <w:rtl/>
        </w:rPr>
        <w:t>ב</w:t>
      </w:r>
      <w:r w:rsidR="0074546A">
        <w:rPr>
          <w:rFonts w:ascii="Calibri" w:hAnsi="Calibri" w:cs="Calibri" w:hint="cs"/>
          <w:rtl/>
        </w:rPr>
        <w:t>מתודולוגיית</w:t>
      </w:r>
      <w:r w:rsidRPr="00321C2F">
        <w:rPr>
          <w:rFonts w:ascii="Calibri" w:hAnsi="Calibri" w:cs="Calibri"/>
          <w:rtl/>
        </w:rPr>
        <w:t xml:space="preserve"> הפרש ההפרשים</w:t>
      </w:r>
      <w:r w:rsidR="00DE46ED">
        <w:rPr>
          <w:rFonts w:ascii="Calibri" w:hAnsi="Calibri" w:cs="Calibri" w:hint="cs"/>
          <w:rtl/>
        </w:rPr>
        <w:t xml:space="preserve"> </w:t>
      </w:r>
      <w:r w:rsidR="007E2D88">
        <w:rPr>
          <w:rFonts w:ascii="Calibri" w:hAnsi="Calibri" w:cs="Calibri"/>
        </w:rPr>
        <w:t>(</w:t>
      </w:r>
      <w:r w:rsidR="0074546A" w:rsidRPr="0074546A">
        <w:rPr>
          <w:rFonts w:ascii="David" w:hAnsi="David" w:cs="David"/>
        </w:rPr>
        <w:t>Difference-in-</w:t>
      </w:r>
      <w:r w:rsidR="007E2D88">
        <w:rPr>
          <w:rFonts w:ascii="David" w:hAnsi="David" w:cs="David"/>
        </w:rPr>
        <w:t>Differences)</w:t>
      </w:r>
      <w:r w:rsidRPr="00321C2F">
        <w:rPr>
          <w:rFonts w:ascii="Calibri" w:hAnsi="Calibri" w:cs="Calibri"/>
          <w:rtl/>
        </w:rPr>
        <w:t xml:space="preserve"> תוך השוואה בין נותני אשראי חוץ</w:t>
      </w:r>
      <w:r w:rsidR="00A269ED">
        <w:rPr>
          <w:rFonts w:ascii="Calibri" w:hAnsi="Calibri" w:cs="Calibri" w:hint="cs"/>
          <w:rtl/>
        </w:rPr>
        <w:t>-</w:t>
      </w:r>
      <w:r w:rsidRPr="00321C2F">
        <w:rPr>
          <w:rFonts w:ascii="Calibri" w:hAnsi="Calibri" w:cs="Calibri"/>
          <w:rtl/>
        </w:rPr>
        <w:t xml:space="preserve">בנקאי שעשו שימוש במאגר </w:t>
      </w:r>
      <w:r w:rsidR="008428B0" w:rsidRPr="001A2C98">
        <w:rPr>
          <w:rFonts w:ascii="Calibri" w:hAnsi="Calibri" w:cs="Calibri" w:hint="cs"/>
          <w:rtl/>
        </w:rPr>
        <w:t xml:space="preserve">לצורך </w:t>
      </w:r>
      <w:r w:rsidR="00A269ED" w:rsidRPr="001A2C98">
        <w:rPr>
          <w:rFonts w:ascii="Calibri" w:hAnsi="Calibri" w:cs="Calibri" w:hint="cs"/>
          <w:rtl/>
        </w:rPr>
        <w:t xml:space="preserve">מתן </w:t>
      </w:r>
      <w:r w:rsidR="008428B0" w:rsidRPr="001A2C98">
        <w:rPr>
          <w:rFonts w:ascii="Calibri" w:hAnsi="Calibri" w:cs="Calibri" w:hint="cs"/>
          <w:rtl/>
        </w:rPr>
        <w:t xml:space="preserve">ההלוואות, </w:t>
      </w:r>
      <w:r w:rsidRPr="00321C2F">
        <w:rPr>
          <w:rFonts w:ascii="Calibri" w:hAnsi="Calibri" w:cs="Calibri"/>
          <w:rtl/>
        </w:rPr>
        <w:t>לבין נותני</w:t>
      </w:r>
      <w:r w:rsidR="00A269ED" w:rsidRPr="001A2C98">
        <w:rPr>
          <w:rFonts w:ascii="Calibri" w:hAnsi="Calibri" w:cs="Calibri" w:hint="cs"/>
          <w:rtl/>
        </w:rPr>
        <w:t xml:space="preserve"> אשראי חוץ-בנקאי</w:t>
      </w:r>
      <w:r w:rsidRPr="00321C2F">
        <w:rPr>
          <w:rFonts w:ascii="Calibri" w:hAnsi="Calibri" w:cs="Calibri"/>
          <w:rtl/>
        </w:rPr>
        <w:t xml:space="preserve"> שלא השתמשו בו, לפ</w:t>
      </w:r>
      <w:r w:rsidRPr="00321C2F">
        <w:rPr>
          <w:rFonts w:ascii="Calibri" w:hAnsi="Calibri" w:cs="Calibri"/>
          <w:rtl/>
        </w:rPr>
        <w:t>ני ואחרי תחילת השימוש ב</w:t>
      </w:r>
      <w:r w:rsidR="007E2D88">
        <w:rPr>
          <w:rFonts w:ascii="Calibri" w:hAnsi="Calibri" w:cs="Calibri" w:hint="cs"/>
          <w:rtl/>
        </w:rPr>
        <w:t>מידע.</w:t>
      </w:r>
    </w:p>
    <w:p w:rsidR="007E2D88" w:rsidRDefault="004C08C6" w:rsidP="00170B6E">
      <w:pPr>
        <w:spacing w:line="360" w:lineRule="auto"/>
        <w:jc w:val="both"/>
        <w:rPr>
          <w:rFonts w:ascii="Calibri" w:hAnsi="Calibri" w:cs="Calibri"/>
          <w:rtl/>
        </w:rPr>
      </w:pPr>
      <w:r w:rsidRPr="001A2C98">
        <w:rPr>
          <w:rFonts w:ascii="Calibri" w:hAnsi="Calibri" w:cs="Calibri"/>
          <w:rtl/>
        </w:rPr>
        <w:t xml:space="preserve">הממצאים מצביעים על כך שהשימוש במאגר הוביל </w:t>
      </w:r>
      <w:r w:rsidR="00170B6E">
        <w:rPr>
          <w:rFonts w:ascii="Calibri" w:hAnsi="Calibri" w:cs="Calibri" w:hint="cs"/>
          <w:rtl/>
        </w:rPr>
        <w:t xml:space="preserve">לאחר תקופה קצרה </w:t>
      </w:r>
      <w:r w:rsidRPr="001A2C98">
        <w:rPr>
          <w:rFonts w:ascii="Calibri" w:hAnsi="Calibri" w:cs="Calibri"/>
          <w:rtl/>
        </w:rPr>
        <w:t xml:space="preserve">לירידה </w:t>
      </w:r>
      <w:r w:rsidR="00170B6E">
        <w:rPr>
          <w:rFonts w:ascii="Calibri" w:hAnsi="Calibri" w:cs="Calibri" w:hint="cs"/>
          <w:rtl/>
        </w:rPr>
        <w:t xml:space="preserve">ניכרת של יותר מנקודת אחוז </w:t>
      </w:r>
      <w:r w:rsidR="00E80E91" w:rsidRPr="001A2C98">
        <w:rPr>
          <w:rFonts w:ascii="Calibri" w:hAnsi="Calibri" w:cs="Calibri"/>
          <w:rtl/>
        </w:rPr>
        <w:t>במ</w:t>
      </w:r>
      <w:r w:rsidR="00E80E91">
        <w:rPr>
          <w:rFonts w:ascii="Calibri" w:hAnsi="Calibri" w:cs="Calibri" w:hint="cs"/>
          <w:rtl/>
        </w:rPr>
        <w:t>רווחי</w:t>
      </w:r>
      <w:r>
        <w:rPr>
          <w:rStyle w:val="af8"/>
          <w:rFonts w:ascii="Calibri" w:hAnsi="Calibri" w:cs="Calibri"/>
          <w:rtl/>
        </w:rPr>
        <w:footnoteReference w:id="1"/>
      </w:r>
      <w:r w:rsidR="00E80E91" w:rsidRPr="001A2C98">
        <w:rPr>
          <w:rFonts w:ascii="Calibri" w:hAnsi="Calibri" w:cs="Calibri"/>
          <w:rtl/>
        </w:rPr>
        <w:t xml:space="preserve"> </w:t>
      </w:r>
      <w:r w:rsidR="00CD61DE" w:rsidRPr="001A2C98">
        <w:rPr>
          <w:rFonts w:ascii="Calibri" w:hAnsi="Calibri" w:cs="Calibri"/>
          <w:rtl/>
        </w:rPr>
        <w:t>ה</w:t>
      </w:r>
      <w:r w:rsidR="00CD61DE">
        <w:rPr>
          <w:rFonts w:ascii="Calibri" w:hAnsi="Calibri" w:cs="Calibri" w:hint="cs"/>
          <w:rtl/>
        </w:rPr>
        <w:t>ריביות</w:t>
      </w:r>
      <w:r w:rsidR="00CD61DE" w:rsidRPr="001A2C98">
        <w:rPr>
          <w:rFonts w:ascii="Calibri" w:hAnsi="Calibri" w:cs="Calibri"/>
          <w:rtl/>
        </w:rPr>
        <w:t xml:space="preserve"> </w:t>
      </w:r>
      <w:r w:rsidRPr="001A2C98">
        <w:rPr>
          <w:rFonts w:ascii="Calibri" w:hAnsi="Calibri" w:cs="Calibri"/>
          <w:rtl/>
        </w:rPr>
        <w:t>שנגבו על ידי נותני האשראי החוץ בנקאיים</w:t>
      </w:r>
      <w:r w:rsidR="00C20A75">
        <w:rPr>
          <w:rFonts w:ascii="Calibri" w:hAnsi="Calibri" w:cs="Calibri" w:hint="cs"/>
          <w:rtl/>
        </w:rPr>
        <w:t xml:space="preserve">, ולירידה של כ-0.3 נקודות </w:t>
      </w:r>
      <w:r w:rsidR="00C20A75">
        <w:rPr>
          <w:rFonts w:ascii="Calibri" w:hAnsi="Calibri" w:cs="Calibri" w:hint="cs"/>
          <w:rtl/>
        </w:rPr>
        <w:lastRenderedPageBreak/>
        <w:t>אחוז בממוצע על פני התקופה כולה.</w:t>
      </w:r>
      <w:r w:rsidR="00170B6E">
        <w:rPr>
          <w:rFonts w:ascii="Calibri" w:hAnsi="Calibri" w:cs="Calibri" w:hint="cs"/>
          <w:rtl/>
        </w:rPr>
        <w:t xml:space="preserve"> </w:t>
      </w:r>
      <w:r w:rsidRPr="001A2C98">
        <w:rPr>
          <w:rFonts w:ascii="Calibri" w:hAnsi="Calibri" w:cs="Calibri"/>
          <w:rtl/>
        </w:rPr>
        <w:t xml:space="preserve">בחינה של דפוסי התמחור </w:t>
      </w:r>
      <w:r w:rsidRPr="001A2C98">
        <w:rPr>
          <w:rFonts w:ascii="Calibri" w:hAnsi="Calibri" w:cs="Calibri"/>
          <w:rtl/>
        </w:rPr>
        <w:t>מצביעה על כך ש</w:t>
      </w:r>
      <w:r w:rsidR="00170B6E" w:rsidRPr="001A2C98">
        <w:rPr>
          <w:rFonts w:ascii="Calibri" w:hAnsi="Calibri" w:cs="Calibri"/>
          <w:rtl/>
        </w:rPr>
        <w:t xml:space="preserve">בהלוואות במינוף גבוה </w:t>
      </w:r>
      <w:r w:rsidRPr="001A2C98">
        <w:rPr>
          <w:rFonts w:ascii="Calibri" w:hAnsi="Calibri" w:cs="Calibri"/>
          <w:rtl/>
        </w:rPr>
        <w:t xml:space="preserve">ירידת </w:t>
      </w:r>
      <w:r w:rsidR="00CD61DE" w:rsidRPr="001A2C98">
        <w:rPr>
          <w:rFonts w:ascii="Calibri" w:hAnsi="Calibri" w:cs="Calibri"/>
          <w:rtl/>
        </w:rPr>
        <w:t>המ</w:t>
      </w:r>
      <w:r w:rsidR="00CD61DE">
        <w:rPr>
          <w:rFonts w:ascii="Calibri" w:hAnsi="Calibri" w:cs="Calibri" w:hint="cs"/>
          <w:rtl/>
        </w:rPr>
        <w:t>רווחים</w:t>
      </w:r>
      <w:r w:rsidR="00CD61DE" w:rsidRPr="001A2C98">
        <w:rPr>
          <w:rFonts w:ascii="Calibri" w:hAnsi="Calibri" w:cs="Calibri"/>
          <w:rtl/>
        </w:rPr>
        <w:t xml:space="preserve"> </w:t>
      </w:r>
      <w:r w:rsidRPr="001A2C98">
        <w:rPr>
          <w:rFonts w:ascii="Calibri" w:hAnsi="Calibri" w:cs="Calibri"/>
          <w:rtl/>
        </w:rPr>
        <w:t xml:space="preserve">לוותה בירידה בהישענות על </w:t>
      </w:r>
      <w:r w:rsidR="00783185">
        <w:rPr>
          <w:rFonts w:ascii="Calibri" w:hAnsi="Calibri" w:cs="Calibri" w:hint="cs"/>
          <w:rtl/>
        </w:rPr>
        <w:t>מדדי סיכון</w:t>
      </w:r>
      <w:r w:rsidRPr="001A2C98">
        <w:rPr>
          <w:rFonts w:ascii="Calibri" w:hAnsi="Calibri" w:cs="Calibri"/>
          <w:rtl/>
        </w:rPr>
        <w:t xml:space="preserve"> גסים כגון שיעור המינוף של ההלוואה, ובמעבר לתמחור מדויק יותר המבוסס על מידע פרטני על הלווה.</w:t>
      </w:r>
      <w:r>
        <w:rPr>
          <w:rFonts w:ascii="Calibri" w:hAnsi="Calibri" w:cs="Calibri" w:hint="cs"/>
          <w:rtl/>
        </w:rPr>
        <w:t xml:space="preserve"> </w:t>
      </w:r>
      <w:r w:rsidRPr="005C1F08">
        <w:rPr>
          <w:rFonts w:ascii="Calibri" w:hAnsi="Calibri" w:cs="Calibri"/>
          <w:rtl/>
        </w:rPr>
        <w:t>שינוי זה אפשר הפחתת סבסוד צולב בין לווים ב</w:t>
      </w:r>
      <w:r>
        <w:rPr>
          <w:rFonts w:ascii="Calibri" w:hAnsi="Calibri" w:cs="Calibri" w:hint="cs"/>
          <w:rtl/>
        </w:rPr>
        <w:t xml:space="preserve">רמת </w:t>
      </w:r>
      <w:r w:rsidRPr="005C1F08">
        <w:rPr>
          <w:rFonts w:ascii="Calibri" w:hAnsi="Calibri" w:cs="Calibri"/>
          <w:rtl/>
        </w:rPr>
        <w:t>סיכון שונה</w:t>
      </w:r>
      <w:r w:rsidRPr="005C1F08">
        <w:rPr>
          <w:rFonts w:ascii="Calibri" w:hAnsi="Calibri" w:cs="Calibri"/>
        </w:rPr>
        <w:t>.</w:t>
      </w:r>
      <w:r w:rsidRPr="001A2C98">
        <w:rPr>
          <w:rFonts w:ascii="Calibri" w:hAnsi="Calibri" w:cs="Calibri"/>
          <w:rtl/>
        </w:rPr>
        <w:t xml:space="preserve"> </w:t>
      </w:r>
    </w:p>
    <w:p w:rsidR="007E2D88" w:rsidRDefault="004C08C6" w:rsidP="007E2D88">
      <w:pPr>
        <w:spacing w:line="360" w:lineRule="auto"/>
        <w:jc w:val="both"/>
        <w:rPr>
          <w:rFonts w:ascii="Calibri" w:hAnsi="Calibri" w:cs="Calibri"/>
          <w:rtl/>
        </w:rPr>
      </w:pPr>
      <w:r w:rsidRPr="005C1F08">
        <w:rPr>
          <w:rFonts w:ascii="Calibri" w:hAnsi="Calibri" w:cs="Calibri"/>
          <w:rtl/>
        </w:rPr>
        <w:t>בנוסף,</w:t>
      </w:r>
      <w:r>
        <w:rPr>
          <w:rFonts w:ascii="Calibri" w:hAnsi="Calibri" w:cs="Calibri" w:hint="cs"/>
          <w:rtl/>
        </w:rPr>
        <w:t xml:space="preserve"> לאחר תחילת הש</w:t>
      </w:r>
      <w:r>
        <w:rPr>
          <w:rFonts w:ascii="Calibri" w:hAnsi="Calibri" w:cs="Calibri" w:hint="cs"/>
          <w:rtl/>
        </w:rPr>
        <w:t>ימוש במאגר</w:t>
      </w:r>
      <w:r w:rsidRPr="005C1F08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 xml:space="preserve">נרשמה ירידה גדולה יותר בשיעורי הפיגור בהלוואות שניתנו על ידי </w:t>
      </w:r>
      <w:r w:rsidRPr="005C1F08">
        <w:rPr>
          <w:rFonts w:ascii="Calibri" w:hAnsi="Calibri" w:cs="Calibri"/>
          <w:rtl/>
        </w:rPr>
        <w:t>נותני אשראי חוץ</w:t>
      </w:r>
      <w:r w:rsidRPr="005C1F08">
        <w:rPr>
          <w:rFonts w:ascii="Calibri" w:hAnsi="Calibri" w:cs="Calibri"/>
          <w:rtl/>
        </w:rPr>
        <w:noBreakHyphen/>
        <w:t>בנקאי שהשתמשו במאגר</w:t>
      </w:r>
      <w:r>
        <w:rPr>
          <w:rFonts w:ascii="Calibri" w:hAnsi="Calibri" w:cs="Calibri" w:hint="cs"/>
          <w:rtl/>
        </w:rPr>
        <w:t>, בהשוואה לבנקים.</w:t>
      </w:r>
      <w:r w:rsidRPr="005C1F08">
        <w:rPr>
          <w:rFonts w:ascii="Calibri" w:hAnsi="Calibri" w:cs="Calibri"/>
          <w:rtl/>
        </w:rPr>
        <w:t xml:space="preserve"> ממצא זה </w:t>
      </w:r>
      <w:r>
        <w:rPr>
          <w:rFonts w:ascii="Calibri" w:hAnsi="Calibri" w:cs="Calibri" w:hint="cs"/>
          <w:rtl/>
        </w:rPr>
        <w:t>תומך ב</w:t>
      </w:r>
      <w:r w:rsidRPr="005C1F08">
        <w:rPr>
          <w:rFonts w:ascii="Calibri" w:hAnsi="Calibri" w:cs="Calibri"/>
          <w:rtl/>
        </w:rPr>
        <w:t>שיפור</w:t>
      </w:r>
      <w:r>
        <w:rPr>
          <w:rFonts w:ascii="Calibri" w:hAnsi="Calibri" w:cs="Calibri" w:hint="cs"/>
          <w:rtl/>
        </w:rPr>
        <w:t xml:space="preserve"> יחסי</w:t>
      </w:r>
      <w:r w:rsidRPr="005C1F08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 xml:space="preserve">ביכולת הערכת הסיכון וסינון הלווים של נותני האשראי החוץ-בנקאי. </w:t>
      </w:r>
    </w:p>
    <w:p w:rsidR="002F1CB5" w:rsidRDefault="004C08C6" w:rsidP="00546203">
      <w:pPr>
        <w:spacing w:line="360" w:lineRule="auto"/>
        <w:jc w:val="both"/>
        <w:rPr>
          <w:rFonts w:ascii="Calibri" w:hAnsi="Calibri" w:cs="Calibri"/>
          <w:rtl/>
        </w:rPr>
      </w:pPr>
      <w:r w:rsidRPr="005C1F08">
        <w:rPr>
          <w:rFonts w:ascii="Calibri" w:hAnsi="Calibri" w:cs="Calibri"/>
          <w:rtl/>
        </w:rPr>
        <w:t xml:space="preserve">ממצאי המחקר </w:t>
      </w:r>
      <w:r>
        <w:rPr>
          <w:rFonts w:ascii="Calibri" w:hAnsi="Calibri" w:cs="Calibri" w:hint="cs"/>
          <w:rtl/>
        </w:rPr>
        <w:t>מעידים על כך</w:t>
      </w:r>
      <w:r w:rsidRPr="005C1F08">
        <w:rPr>
          <w:rFonts w:ascii="Calibri" w:hAnsi="Calibri" w:cs="Calibri"/>
          <w:rtl/>
        </w:rPr>
        <w:t xml:space="preserve"> ש</w:t>
      </w:r>
      <w:r>
        <w:rPr>
          <w:rFonts w:ascii="Calibri" w:hAnsi="Calibri" w:cs="Calibri" w:hint="cs"/>
          <w:rtl/>
        </w:rPr>
        <w:t>ל</w:t>
      </w:r>
      <w:r w:rsidRPr="005C1F08">
        <w:rPr>
          <w:rFonts w:ascii="Calibri" w:hAnsi="Calibri" w:cs="Calibri"/>
          <w:rtl/>
        </w:rPr>
        <w:t xml:space="preserve">מאגר נתוני </w:t>
      </w:r>
      <w:r w:rsidRPr="005C1F08">
        <w:rPr>
          <w:rFonts w:ascii="Calibri" w:hAnsi="Calibri" w:cs="Calibri"/>
          <w:rtl/>
        </w:rPr>
        <w:t>האשראי תפקיד משמעותי ב</w:t>
      </w:r>
      <w:r>
        <w:rPr>
          <w:rFonts w:ascii="Calibri" w:hAnsi="Calibri" w:cs="Calibri" w:hint="cs"/>
          <w:rtl/>
        </w:rPr>
        <w:t xml:space="preserve">צמצום הכשלים הנובעים מאי-סימטריה במידע </w:t>
      </w:r>
      <w:r w:rsidRPr="005C1F08">
        <w:rPr>
          <w:rFonts w:ascii="Calibri" w:hAnsi="Calibri" w:cs="Calibri"/>
          <w:rtl/>
        </w:rPr>
        <w:t>ו</w:t>
      </w:r>
      <w:r>
        <w:rPr>
          <w:rFonts w:ascii="Calibri" w:hAnsi="Calibri" w:cs="Calibri" w:hint="cs"/>
          <w:rtl/>
        </w:rPr>
        <w:t>ב</w:t>
      </w:r>
      <w:r w:rsidRPr="005C1F08">
        <w:rPr>
          <w:rFonts w:ascii="Calibri" w:hAnsi="Calibri" w:cs="Calibri"/>
          <w:rtl/>
        </w:rPr>
        <w:t>ייעול תפקוד שוק</w:t>
      </w:r>
      <w:r>
        <w:rPr>
          <w:rFonts w:ascii="Calibri" w:hAnsi="Calibri" w:cs="Calibri" w:hint="cs"/>
          <w:rtl/>
        </w:rPr>
        <w:t xml:space="preserve"> האשראי החוץ-בנקאי, שבו </w:t>
      </w:r>
      <w:r w:rsidRPr="005C1F08">
        <w:rPr>
          <w:rFonts w:ascii="Calibri" w:hAnsi="Calibri" w:cs="Calibri"/>
          <w:rtl/>
        </w:rPr>
        <w:t xml:space="preserve">פעלו </w:t>
      </w:r>
      <w:r>
        <w:rPr>
          <w:rFonts w:ascii="Calibri" w:hAnsi="Calibri" w:cs="Calibri" w:hint="cs"/>
          <w:rtl/>
        </w:rPr>
        <w:t xml:space="preserve">נותני אשראי </w:t>
      </w:r>
      <w:r w:rsidRPr="005C1F08">
        <w:rPr>
          <w:rFonts w:ascii="Calibri" w:hAnsi="Calibri" w:cs="Calibri"/>
          <w:rtl/>
        </w:rPr>
        <w:t>בנחיתות מידע בהשוואה לבנקים</w:t>
      </w:r>
      <w:r>
        <w:rPr>
          <w:rFonts w:ascii="Calibri" w:hAnsi="Calibri" w:cs="Calibri" w:hint="cs"/>
          <w:rtl/>
        </w:rPr>
        <w:t xml:space="preserve">. הממצאים מדגישים את חשיבות המאגר ככלי רגולטורי לשיפור הקצאת האשראי במשק ולהגברת התחרות. </w:t>
      </w:r>
    </w:p>
    <w:p w:rsidR="002F1CB5" w:rsidRDefault="004C08C6" w:rsidP="002D16A7">
      <w:pPr>
        <w:spacing w:line="240" w:lineRule="auto"/>
        <w:jc w:val="center"/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 xml:space="preserve">הפרש במרווחי הריבית </w:t>
      </w:r>
      <w:r>
        <w:rPr>
          <w:rFonts w:ascii="Calibri" w:hAnsi="Calibri" w:cs="Calibri" w:hint="cs"/>
          <w:b/>
          <w:bCs/>
          <w:rtl/>
        </w:rPr>
        <w:t>לאורך זמן</w:t>
      </w:r>
    </w:p>
    <w:p w:rsidR="002D16A7" w:rsidRPr="002D16A7" w:rsidRDefault="004C08C6" w:rsidP="002D16A7">
      <w:pPr>
        <w:spacing w:line="240" w:lineRule="auto"/>
        <w:jc w:val="center"/>
        <w:rPr>
          <w:rFonts w:ascii="Calibri" w:hAnsi="Calibri" w:cs="Calibri"/>
          <w:sz w:val="20"/>
          <w:szCs w:val="20"/>
          <w:rtl/>
        </w:rPr>
      </w:pPr>
      <w:r w:rsidRPr="002D16A7">
        <w:rPr>
          <w:rFonts w:ascii="Calibri" w:hAnsi="Calibri" w:cs="Calibri" w:hint="cs"/>
          <w:sz w:val="20"/>
          <w:szCs w:val="20"/>
          <w:rtl/>
        </w:rPr>
        <w:t>חודש בסיס</w:t>
      </w:r>
      <w:r w:rsidR="00730206">
        <w:rPr>
          <w:rFonts w:ascii="Calibri" w:hAnsi="Calibri" w:cs="Calibri" w:hint="cs"/>
          <w:sz w:val="20"/>
          <w:szCs w:val="20"/>
          <w:rtl/>
        </w:rPr>
        <w:t xml:space="preserve"> אפריל 2019</w:t>
      </w:r>
    </w:p>
    <w:p w:rsidR="008428B0" w:rsidRPr="008428B0" w:rsidRDefault="004C08C6" w:rsidP="00546203">
      <w:pPr>
        <w:spacing w:line="360" w:lineRule="auto"/>
        <w:jc w:val="both"/>
        <w:rPr>
          <w:rFonts w:ascii="Calibri" w:hAnsi="Calibri" w:cs="Calibri"/>
        </w:rPr>
      </w:pPr>
      <w:r w:rsidRPr="008428B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680357</wp:posOffset>
            </wp:positionH>
            <wp:positionV relativeFrom="paragraph">
              <wp:posOffset>106952</wp:posOffset>
            </wp:positionV>
            <wp:extent cx="4016829" cy="2393365"/>
            <wp:effectExtent l="0" t="0" r="3175" b="6985"/>
            <wp:wrapSquare wrapText="bothSides"/>
            <wp:docPr id="2033823409" name="תמונה 2" descr="תמונה שמכילה קו, עלילה, טקסט, תרשים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23409" name="תמונה 2" descr="תמונה שמכילה קו, עלילה, טקסט, תרשים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29" cy="23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1C2F" w:rsidRPr="00546203" w:rsidRDefault="004C08C6" w:rsidP="00546203">
      <w:pPr>
        <w:spacing w:line="360" w:lineRule="auto"/>
        <w:jc w:val="both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>
        <w:rPr>
          <w:rFonts w:ascii="Calibri" w:hAnsi="Calibri" w:cs="Calibri"/>
          <w:b/>
          <w:bCs/>
          <w:sz w:val="20"/>
          <w:szCs w:val="20"/>
          <w:rtl/>
        </w:rPr>
        <w:br/>
      </w:r>
      <w:r w:rsidR="008428B0" w:rsidRPr="00546203">
        <w:rPr>
          <w:rFonts w:ascii="Calibri" w:hAnsi="Calibri" w:cs="Calibri" w:hint="cs"/>
          <w:b/>
          <w:bCs/>
          <w:sz w:val="20"/>
          <w:szCs w:val="20"/>
          <w:rtl/>
        </w:rPr>
        <w:t xml:space="preserve">מקור: </w:t>
      </w:r>
      <w:r w:rsidR="008428B0" w:rsidRPr="00546203">
        <w:rPr>
          <w:rFonts w:ascii="Calibri" w:hAnsi="Calibri" w:cs="Calibri" w:hint="cs"/>
          <w:sz w:val="20"/>
          <w:szCs w:val="20"/>
          <w:rtl/>
        </w:rPr>
        <w:t>מאגר נתוני האשראי ועיבודי בנק ישראל.</w:t>
      </w:r>
    </w:p>
    <w:p w:rsidR="008428B0" w:rsidRPr="00546203" w:rsidRDefault="004C08C6" w:rsidP="00DF214A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46203">
        <w:rPr>
          <w:rFonts w:ascii="Calibri" w:hAnsi="Calibri" w:cs="Calibri" w:hint="cs"/>
          <w:sz w:val="20"/>
          <w:szCs w:val="20"/>
          <w:rtl/>
        </w:rPr>
        <w:t xml:space="preserve">האיור מציג את </w:t>
      </w:r>
      <w:r w:rsidR="002D16A7">
        <w:rPr>
          <w:rFonts w:ascii="Calibri" w:hAnsi="Calibri" w:cs="Calibri" w:hint="cs"/>
          <w:sz w:val="20"/>
          <w:szCs w:val="20"/>
          <w:rtl/>
        </w:rPr>
        <w:t>תוצאות אמידת הה</w:t>
      </w:r>
      <w:r w:rsidR="00E32080" w:rsidRPr="00546203">
        <w:rPr>
          <w:rFonts w:ascii="Calibri" w:hAnsi="Calibri" w:cs="Calibri" w:hint="cs"/>
          <w:sz w:val="20"/>
          <w:szCs w:val="20"/>
          <w:rtl/>
        </w:rPr>
        <w:t xml:space="preserve">פרש </w:t>
      </w:r>
      <w:r w:rsidRPr="00546203">
        <w:rPr>
          <w:rFonts w:ascii="Calibri" w:hAnsi="Calibri" w:cs="Calibri" w:hint="cs"/>
          <w:sz w:val="20"/>
          <w:szCs w:val="20"/>
          <w:rtl/>
        </w:rPr>
        <w:t xml:space="preserve">בין מרווח 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 xml:space="preserve">הריבית </w:t>
      </w:r>
      <w:r w:rsidRPr="00222AB1">
        <w:rPr>
          <w:rFonts w:ascii="Calibri" w:hAnsi="Calibri" w:cs="Calibri" w:hint="cs"/>
          <w:sz w:val="20"/>
          <w:szCs w:val="20"/>
          <w:rtl/>
        </w:rPr>
        <w:t>הממוצע שנ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 xml:space="preserve">גבה על ידי </w:t>
      </w:r>
      <w:r w:rsidRPr="00222AB1">
        <w:rPr>
          <w:rFonts w:ascii="Calibri" w:hAnsi="Calibri" w:cs="Calibri" w:hint="cs"/>
          <w:sz w:val="20"/>
          <w:szCs w:val="20"/>
          <w:rtl/>
        </w:rPr>
        <w:t>נותני האשראי החוץ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>-</w:t>
      </w:r>
      <w:r w:rsidRPr="00222AB1">
        <w:rPr>
          <w:rFonts w:ascii="Calibri" w:hAnsi="Calibri" w:cs="Calibri" w:hint="cs"/>
          <w:sz w:val="20"/>
          <w:szCs w:val="20"/>
          <w:rtl/>
        </w:rPr>
        <w:t>בנקאי ש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 xml:space="preserve">עשו שימוש </w:t>
      </w:r>
      <w:r w:rsidRPr="00222AB1">
        <w:rPr>
          <w:rFonts w:ascii="Calibri" w:hAnsi="Calibri" w:cs="Calibri" w:hint="cs"/>
          <w:sz w:val="20"/>
          <w:szCs w:val="20"/>
          <w:rtl/>
        </w:rPr>
        <w:t>במאגר</w:t>
      </w:r>
      <w:r w:rsidR="002F1CB5" w:rsidRPr="00222AB1">
        <w:rPr>
          <w:rFonts w:ascii="Calibri" w:hAnsi="Calibri" w:cs="Calibri" w:hint="cs"/>
          <w:sz w:val="20"/>
          <w:szCs w:val="20"/>
          <w:rtl/>
        </w:rPr>
        <w:t xml:space="preserve"> 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>נתוני האשראי לצורך מתן ההלוואות</w:t>
      </w:r>
      <w:r w:rsidRPr="00222AB1">
        <w:rPr>
          <w:rFonts w:ascii="Calibri" w:hAnsi="Calibri" w:cs="Calibri" w:hint="cs"/>
          <w:sz w:val="20"/>
          <w:szCs w:val="20"/>
          <w:rtl/>
        </w:rPr>
        <w:t>, לבין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 xml:space="preserve"> מרווח הריבית שנגבה על ידי</w:t>
      </w:r>
      <w:r w:rsidRPr="00222AB1">
        <w:rPr>
          <w:rFonts w:ascii="Calibri" w:hAnsi="Calibri" w:cs="Calibri" w:hint="cs"/>
          <w:sz w:val="20"/>
          <w:szCs w:val="20"/>
          <w:rtl/>
        </w:rPr>
        <w:t xml:space="preserve"> אלה שלא השתמשו בו</w:t>
      </w:r>
      <w:r w:rsidR="002D16A7" w:rsidRPr="00222AB1">
        <w:rPr>
          <w:rFonts w:ascii="Calibri" w:hAnsi="Calibri" w:cs="Calibri" w:hint="cs"/>
          <w:sz w:val="20"/>
          <w:szCs w:val="20"/>
          <w:rtl/>
        </w:rPr>
        <w:t>, לאורך זמן</w:t>
      </w:r>
      <w:r w:rsidRPr="00222AB1">
        <w:rPr>
          <w:rFonts w:ascii="Calibri" w:hAnsi="Calibri" w:cs="Calibri" w:hint="cs"/>
          <w:sz w:val="20"/>
          <w:szCs w:val="20"/>
          <w:rtl/>
        </w:rPr>
        <w:t>.</w:t>
      </w:r>
      <w:r w:rsidR="00546203" w:rsidRPr="00222AB1">
        <w:rPr>
          <w:rFonts w:ascii="Calibri" w:hAnsi="Calibri" w:cs="Calibri" w:hint="cs"/>
          <w:sz w:val="20"/>
          <w:szCs w:val="20"/>
          <w:rtl/>
        </w:rPr>
        <w:t xml:space="preserve"> האמידה כללה </w:t>
      </w:r>
      <w:r w:rsidR="00113F8A">
        <w:rPr>
          <w:rFonts w:ascii="Calibri" w:hAnsi="Calibri" w:cs="Calibri" w:hint="cs"/>
          <w:sz w:val="20"/>
          <w:szCs w:val="20"/>
          <w:rtl/>
        </w:rPr>
        <w:t xml:space="preserve">בקרה על </w:t>
      </w:r>
      <w:r w:rsidR="00546203" w:rsidRPr="00222AB1">
        <w:rPr>
          <w:rFonts w:ascii="Calibri" w:hAnsi="Calibri" w:cs="Calibri" w:hint="cs"/>
          <w:sz w:val="20"/>
          <w:szCs w:val="20"/>
          <w:rtl/>
        </w:rPr>
        <w:t>מאפייני פרט והלוואה, וכן אפקט</w:t>
      </w:r>
      <w:r w:rsidR="00DC6110" w:rsidRPr="00222AB1">
        <w:rPr>
          <w:rFonts w:ascii="Calibri" w:hAnsi="Calibri" w:cs="Calibri" w:hint="cs"/>
          <w:sz w:val="20"/>
          <w:szCs w:val="20"/>
          <w:rtl/>
        </w:rPr>
        <w:t>ים</w:t>
      </w:r>
      <w:r w:rsidR="00546203" w:rsidRPr="00222AB1">
        <w:rPr>
          <w:rFonts w:ascii="Calibri" w:hAnsi="Calibri" w:cs="Calibri" w:hint="cs"/>
          <w:sz w:val="20"/>
          <w:szCs w:val="20"/>
          <w:rtl/>
        </w:rPr>
        <w:t xml:space="preserve"> קבוע</w:t>
      </w:r>
      <w:r w:rsidR="00DC6110" w:rsidRPr="00222AB1">
        <w:rPr>
          <w:rFonts w:ascii="Calibri" w:hAnsi="Calibri" w:cs="Calibri" w:hint="cs"/>
          <w:sz w:val="20"/>
          <w:szCs w:val="20"/>
          <w:rtl/>
        </w:rPr>
        <w:t>ים</w:t>
      </w:r>
      <w:r w:rsidR="00546203" w:rsidRPr="00222AB1">
        <w:rPr>
          <w:rFonts w:ascii="Calibri" w:hAnsi="Calibri" w:cs="Calibri" w:hint="cs"/>
          <w:sz w:val="20"/>
          <w:szCs w:val="20"/>
          <w:rtl/>
        </w:rPr>
        <w:t xml:space="preserve"> למלווה (</w:t>
      </w:r>
      <w:r w:rsidR="00546203" w:rsidRPr="00222AB1">
        <w:rPr>
          <w:rFonts w:ascii="Calibri" w:hAnsi="Calibri" w:cs="Calibri"/>
          <w:sz w:val="20"/>
          <w:szCs w:val="20"/>
        </w:rPr>
        <w:t>FE</w:t>
      </w:r>
      <w:r w:rsidR="00546203" w:rsidRPr="00222AB1">
        <w:rPr>
          <w:rFonts w:ascii="Calibri" w:hAnsi="Calibri" w:cs="Calibri" w:hint="cs"/>
          <w:sz w:val="20"/>
          <w:szCs w:val="20"/>
          <w:rtl/>
        </w:rPr>
        <w:t>).</w:t>
      </w:r>
      <w:r w:rsidRPr="00222AB1">
        <w:rPr>
          <w:rFonts w:ascii="Calibri" w:hAnsi="Calibri" w:cs="Calibri" w:hint="cs"/>
          <w:sz w:val="20"/>
          <w:szCs w:val="20"/>
          <w:rtl/>
        </w:rPr>
        <w:t xml:space="preserve"> </w:t>
      </w:r>
      <w:r w:rsidR="00B30BBC" w:rsidRPr="00222AB1">
        <w:rPr>
          <w:rFonts w:ascii="Calibri" w:hAnsi="Calibri" w:cs="Calibri" w:hint="cs"/>
          <w:sz w:val="20"/>
          <w:szCs w:val="20"/>
          <w:rtl/>
        </w:rPr>
        <w:t xml:space="preserve">הקווים מייצגים רווח סמך של 95%. </w:t>
      </w:r>
      <w:r w:rsidR="002F1CB5" w:rsidRPr="00222AB1">
        <w:rPr>
          <w:rFonts w:ascii="Calibri" w:hAnsi="Calibri" w:cs="Calibri" w:hint="cs"/>
          <w:sz w:val="20"/>
          <w:szCs w:val="20"/>
          <w:rtl/>
        </w:rPr>
        <w:t xml:space="preserve">ניתן לראות </w:t>
      </w:r>
      <w:r w:rsidR="00DC6110" w:rsidRPr="00222AB1">
        <w:rPr>
          <w:rFonts w:ascii="Calibri" w:hAnsi="Calibri" w:cs="Calibri" w:hint="cs"/>
          <w:sz w:val="20"/>
          <w:szCs w:val="20"/>
          <w:rtl/>
        </w:rPr>
        <w:t xml:space="preserve">כי </w:t>
      </w:r>
      <w:r w:rsidR="002F1CB5" w:rsidRPr="00222AB1">
        <w:rPr>
          <w:rFonts w:ascii="Calibri" w:hAnsi="Calibri" w:cs="Calibri" w:hint="cs"/>
          <w:sz w:val="20"/>
          <w:szCs w:val="20"/>
          <w:rtl/>
        </w:rPr>
        <w:t xml:space="preserve">טרם השימוש 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>במידע מה</w:t>
      </w:r>
      <w:r w:rsidR="002F1CB5" w:rsidRPr="00222AB1">
        <w:rPr>
          <w:rFonts w:ascii="Calibri" w:hAnsi="Calibri" w:cs="Calibri" w:hint="cs"/>
          <w:sz w:val="20"/>
          <w:szCs w:val="20"/>
          <w:rtl/>
        </w:rPr>
        <w:t>מאגר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>,</w:t>
      </w:r>
      <w:r w:rsidR="002F1CB5" w:rsidRPr="00222AB1">
        <w:rPr>
          <w:rFonts w:ascii="Calibri" w:hAnsi="Calibri" w:cs="Calibri" w:hint="cs"/>
          <w:sz w:val="20"/>
          <w:szCs w:val="20"/>
          <w:rtl/>
        </w:rPr>
        <w:t xml:space="preserve"> </w:t>
      </w:r>
      <w:r w:rsidR="00A269ED" w:rsidRPr="00222AB1">
        <w:rPr>
          <w:rFonts w:ascii="Calibri" w:hAnsi="Calibri" w:cs="Calibri" w:hint="cs"/>
          <w:sz w:val="20"/>
          <w:szCs w:val="20"/>
          <w:rtl/>
        </w:rPr>
        <w:t>סביב</w:t>
      </w:r>
      <w:r w:rsidR="00A269ED" w:rsidRPr="00546203">
        <w:rPr>
          <w:rFonts w:ascii="Calibri" w:hAnsi="Calibri" w:cs="Calibri" w:hint="cs"/>
          <w:sz w:val="20"/>
          <w:szCs w:val="20"/>
          <w:rtl/>
        </w:rPr>
        <w:t xml:space="preserve"> </w:t>
      </w:r>
      <w:r w:rsidR="002F1CB5" w:rsidRPr="00546203">
        <w:rPr>
          <w:rFonts w:ascii="Calibri" w:hAnsi="Calibri" w:cs="Calibri" w:hint="cs"/>
          <w:sz w:val="20"/>
          <w:szCs w:val="20"/>
          <w:rtl/>
        </w:rPr>
        <w:t>ספטמבר 2019</w:t>
      </w:r>
      <w:r w:rsidR="00A269ED" w:rsidRPr="00546203">
        <w:rPr>
          <w:rFonts w:ascii="Calibri" w:hAnsi="Calibri" w:cs="Calibri" w:hint="cs"/>
          <w:sz w:val="20"/>
          <w:szCs w:val="20"/>
          <w:rtl/>
        </w:rPr>
        <w:t>,</w:t>
      </w:r>
      <w:r w:rsidR="002F1CB5" w:rsidRPr="00546203">
        <w:rPr>
          <w:rFonts w:ascii="Calibri" w:hAnsi="Calibri" w:cs="Calibri" w:hint="cs"/>
          <w:sz w:val="20"/>
          <w:szCs w:val="20"/>
          <w:rtl/>
        </w:rPr>
        <w:t xml:space="preserve"> לא </w:t>
      </w:r>
      <w:r w:rsidR="00A269ED" w:rsidRPr="00546203">
        <w:rPr>
          <w:rFonts w:ascii="Calibri" w:hAnsi="Calibri" w:cs="Calibri" w:hint="cs"/>
          <w:sz w:val="20"/>
          <w:szCs w:val="20"/>
          <w:rtl/>
        </w:rPr>
        <w:t xml:space="preserve">נצפה </w:t>
      </w:r>
      <w:r w:rsidR="00DC6110">
        <w:rPr>
          <w:rFonts w:ascii="Calibri" w:hAnsi="Calibri" w:cs="Calibri" w:hint="cs"/>
          <w:sz w:val="20"/>
          <w:szCs w:val="20"/>
          <w:rtl/>
        </w:rPr>
        <w:t>פער</w:t>
      </w:r>
      <w:r w:rsidR="002F1CB5" w:rsidRPr="00546203">
        <w:rPr>
          <w:rFonts w:ascii="Calibri" w:hAnsi="Calibri" w:cs="Calibri" w:hint="cs"/>
          <w:sz w:val="20"/>
          <w:szCs w:val="20"/>
          <w:rtl/>
        </w:rPr>
        <w:t xml:space="preserve"> מובהק במרווחים בין </w:t>
      </w:r>
      <w:r w:rsidR="00A269ED" w:rsidRPr="00546203">
        <w:rPr>
          <w:rFonts w:ascii="Calibri" w:hAnsi="Calibri" w:cs="Calibri" w:hint="cs"/>
          <w:sz w:val="20"/>
          <w:szCs w:val="20"/>
          <w:rtl/>
        </w:rPr>
        <w:t>שתי הקבוצות</w:t>
      </w:r>
      <w:r w:rsidR="002F1CB5" w:rsidRPr="00546203">
        <w:rPr>
          <w:rFonts w:ascii="Calibri" w:hAnsi="Calibri" w:cs="Calibri" w:hint="cs"/>
          <w:sz w:val="20"/>
          <w:szCs w:val="20"/>
          <w:rtl/>
        </w:rPr>
        <w:t xml:space="preserve">. </w:t>
      </w:r>
      <w:r w:rsidR="002D3D44" w:rsidRPr="00546203">
        <w:rPr>
          <w:rFonts w:ascii="Calibri" w:hAnsi="Calibri" w:cs="Calibri"/>
          <w:sz w:val="20"/>
          <w:szCs w:val="20"/>
          <w:rtl/>
        </w:rPr>
        <w:t xml:space="preserve">לאחר מספר חודשי שימוש במאגר, ניכרת ירידה מובהקת במרווחי הריבית של נותני האשראי שעשו שימוש במידע, </w:t>
      </w:r>
      <w:r w:rsidR="00026C73" w:rsidRPr="00546203">
        <w:rPr>
          <w:rFonts w:ascii="Calibri" w:hAnsi="Calibri" w:cs="Calibri" w:hint="cs"/>
          <w:sz w:val="20"/>
          <w:szCs w:val="20"/>
          <w:rtl/>
        </w:rPr>
        <w:t>ביחס לאלה שלא</w:t>
      </w:r>
      <w:r w:rsidR="002D3D44" w:rsidRPr="00546203">
        <w:rPr>
          <w:rFonts w:ascii="Calibri" w:hAnsi="Calibri" w:cs="Calibri" w:hint="cs"/>
          <w:sz w:val="20"/>
          <w:szCs w:val="20"/>
          <w:rtl/>
        </w:rPr>
        <w:t xml:space="preserve">, כאשר הפער מגיע למעל נקודת אחוז בנתון הקצה. </w:t>
      </w:r>
      <w:r w:rsidR="00B30BBC" w:rsidRPr="00546203">
        <w:rPr>
          <w:rFonts w:ascii="Calibri" w:hAnsi="Calibri" w:cs="Calibri" w:hint="cs"/>
          <w:sz w:val="20"/>
          <w:szCs w:val="20"/>
          <w:rtl/>
        </w:rPr>
        <w:t>תצפיות מתקופת הקורונה אינן נכללות</w:t>
      </w:r>
      <w:r w:rsidR="002D3D44" w:rsidRPr="00546203">
        <w:rPr>
          <w:rFonts w:ascii="Calibri" w:hAnsi="Calibri" w:cs="Calibri" w:hint="cs"/>
          <w:sz w:val="20"/>
          <w:szCs w:val="20"/>
          <w:rtl/>
        </w:rPr>
        <w:t>,</w:t>
      </w:r>
      <w:r w:rsidR="00B30BBC" w:rsidRPr="00546203">
        <w:rPr>
          <w:rFonts w:ascii="Calibri" w:hAnsi="Calibri" w:cs="Calibri" w:hint="cs"/>
          <w:sz w:val="20"/>
          <w:szCs w:val="20"/>
          <w:rtl/>
        </w:rPr>
        <w:t xml:space="preserve"> לאור ה</w:t>
      </w:r>
      <w:r w:rsidR="002D3D44" w:rsidRPr="00546203">
        <w:rPr>
          <w:rFonts w:ascii="Calibri" w:hAnsi="Calibri" w:cs="Calibri" w:hint="cs"/>
          <w:sz w:val="20"/>
          <w:szCs w:val="20"/>
          <w:rtl/>
        </w:rPr>
        <w:t xml:space="preserve">ירידה החדה בהיקף הפעילות בשוק הלוואות הרכב בתקופה זו. </w:t>
      </w:r>
    </w:p>
    <w:sectPr w:rsidR="008428B0" w:rsidRPr="00546203" w:rsidSect="006916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C6" w:rsidRDefault="004C08C6">
      <w:pPr>
        <w:spacing w:after="0" w:line="240" w:lineRule="auto"/>
      </w:pPr>
      <w:r>
        <w:separator/>
      </w:r>
    </w:p>
  </w:endnote>
  <w:endnote w:type="continuationSeparator" w:id="0">
    <w:p w:rsidR="004C08C6" w:rsidRDefault="004C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C6" w:rsidRDefault="004C08C6" w:rsidP="00CD61DE">
      <w:pPr>
        <w:spacing w:after="0" w:line="240" w:lineRule="auto"/>
      </w:pPr>
      <w:r>
        <w:separator/>
      </w:r>
    </w:p>
  </w:footnote>
  <w:footnote w:type="continuationSeparator" w:id="0">
    <w:p w:rsidR="004C08C6" w:rsidRDefault="004C08C6" w:rsidP="00CD61DE">
      <w:pPr>
        <w:spacing w:after="0" w:line="240" w:lineRule="auto"/>
      </w:pPr>
      <w:r>
        <w:continuationSeparator/>
      </w:r>
    </w:p>
  </w:footnote>
  <w:footnote w:id="1">
    <w:p w:rsidR="00CD61DE" w:rsidRDefault="004C08C6">
      <w:pPr>
        <w:pStyle w:val="af6"/>
      </w:pPr>
      <w:r>
        <w:rPr>
          <w:rStyle w:val="af8"/>
        </w:rPr>
        <w:footnoteRef/>
      </w:r>
      <w:r>
        <w:rPr>
          <w:rtl/>
        </w:rPr>
        <w:t xml:space="preserve"> </w:t>
      </w:r>
      <w:r w:rsidRPr="00235666">
        <w:rPr>
          <w:rFonts w:ascii="Calibri" w:hAnsi="Calibri" w:cs="Calibri"/>
          <w:rtl/>
        </w:rPr>
        <w:t>ההפרש בין הריבית שהלווה משלם על ההלוואה, לבין ריבית עוגן, המחושבת על בסיס עקום התשואות של אג"ח ממשלתיות, בהתאם להצמדה ולמח"מ הרלוונטי.</w:t>
      </w:r>
      <w:r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7043"/>
    <w:multiLevelType w:val="hybridMultilevel"/>
    <w:tmpl w:val="DF4AAC82"/>
    <w:lvl w:ilvl="0" w:tplc="CBD8CC5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588A16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E61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D67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7AF4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7A3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5460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D26B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8CC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EB3483"/>
    <w:multiLevelType w:val="hybridMultilevel"/>
    <w:tmpl w:val="6FA6A59E"/>
    <w:lvl w:ilvl="0" w:tplc="969EB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3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29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49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A0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464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46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4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EE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F"/>
    <w:rsid w:val="000043E3"/>
    <w:rsid w:val="00025E02"/>
    <w:rsid w:val="00026C73"/>
    <w:rsid w:val="00046B49"/>
    <w:rsid w:val="00076858"/>
    <w:rsid w:val="000812EB"/>
    <w:rsid w:val="000A38B3"/>
    <w:rsid w:val="00113F8A"/>
    <w:rsid w:val="00170B6E"/>
    <w:rsid w:val="001A2C98"/>
    <w:rsid w:val="00222AB1"/>
    <w:rsid w:val="00235666"/>
    <w:rsid w:val="002979E5"/>
    <w:rsid w:val="002C64DA"/>
    <w:rsid w:val="002D16A7"/>
    <w:rsid w:val="002D26D6"/>
    <w:rsid w:val="002D3D44"/>
    <w:rsid w:val="002F1CB5"/>
    <w:rsid w:val="00321C2F"/>
    <w:rsid w:val="00337459"/>
    <w:rsid w:val="003700E9"/>
    <w:rsid w:val="00382824"/>
    <w:rsid w:val="00391276"/>
    <w:rsid w:val="003F3AE2"/>
    <w:rsid w:val="004C08C6"/>
    <w:rsid w:val="00506484"/>
    <w:rsid w:val="00525DAD"/>
    <w:rsid w:val="00546203"/>
    <w:rsid w:val="005601F7"/>
    <w:rsid w:val="005B675B"/>
    <w:rsid w:val="005C1F08"/>
    <w:rsid w:val="006055D7"/>
    <w:rsid w:val="00676B3D"/>
    <w:rsid w:val="006916D0"/>
    <w:rsid w:val="006973E1"/>
    <w:rsid w:val="00730206"/>
    <w:rsid w:val="00743310"/>
    <w:rsid w:val="0074546A"/>
    <w:rsid w:val="00753A9D"/>
    <w:rsid w:val="0076407F"/>
    <w:rsid w:val="007760CD"/>
    <w:rsid w:val="007774A9"/>
    <w:rsid w:val="00783185"/>
    <w:rsid w:val="007D4BF1"/>
    <w:rsid w:val="007E2D88"/>
    <w:rsid w:val="008428B0"/>
    <w:rsid w:val="008474EA"/>
    <w:rsid w:val="00867D33"/>
    <w:rsid w:val="008D5469"/>
    <w:rsid w:val="008E1EBE"/>
    <w:rsid w:val="00901108"/>
    <w:rsid w:val="00914199"/>
    <w:rsid w:val="00933D97"/>
    <w:rsid w:val="009C54D7"/>
    <w:rsid w:val="00A269ED"/>
    <w:rsid w:val="00AD52A3"/>
    <w:rsid w:val="00B176E0"/>
    <w:rsid w:val="00B30BBC"/>
    <w:rsid w:val="00B56706"/>
    <w:rsid w:val="00BA2BB4"/>
    <w:rsid w:val="00BA5804"/>
    <w:rsid w:val="00BA7D56"/>
    <w:rsid w:val="00BA7E10"/>
    <w:rsid w:val="00C20A75"/>
    <w:rsid w:val="00C3764E"/>
    <w:rsid w:val="00C37745"/>
    <w:rsid w:val="00C540EA"/>
    <w:rsid w:val="00C66693"/>
    <w:rsid w:val="00CD61DE"/>
    <w:rsid w:val="00D13775"/>
    <w:rsid w:val="00D15F3D"/>
    <w:rsid w:val="00D61CFE"/>
    <w:rsid w:val="00DB7F4F"/>
    <w:rsid w:val="00DC6110"/>
    <w:rsid w:val="00DE46ED"/>
    <w:rsid w:val="00DE551C"/>
    <w:rsid w:val="00DF214A"/>
    <w:rsid w:val="00E32080"/>
    <w:rsid w:val="00E70C24"/>
    <w:rsid w:val="00E80E91"/>
    <w:rsid w:val="00F01C6A"/>
    <w:rsid w:val="00F32F0F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FBA8"/>
  <w15:chartTrackingRefBased/>
  <w15:docId w15:val="{FA1FFE9A-2133-4DDE-8934-7E6E1B20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2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2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2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21C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21C2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21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21C2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21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21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2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2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2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C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21C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1C2F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FC407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4078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FC407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4078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FC407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C40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FC4078"/>
    <w:rPr>
      <w:rFonts w:ascii="Tahoma" w:hAnsi="Tahoma" w:cs="Tahoma"/>
      <w:sz w:val="18"/>
      <w:szCs w:val="18"/>
    </w:rPr>
  </w:style>
  <w:style w:type="paragraph" w:styleId="af5">
    <w:name w:val="Revision"/>
    <w:hidden/>
    <w:uiPriority w:val="99"/>
    <w:semiHidden/>
    <w:rsid w:val="00AD52A3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CD61DE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CD61D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D61DE"/>
    <w:rPr>
      <w:vertAlign w:val="superscript"/>
    </w:rPr>
  </w:style>
  <w:style w:type="paragraph" w:customStyle="1" w:styleId="-">
    <w:name w:val="טקסט רגיל - תכנון מוניטרי"/>
    <w:basedOn w:val="a"/>
    <w:link w:val="-0"/>
    <w:autoRedefine/>
    <w:qFormat/>
    <w:rsid w:val="000A38B3"/>
    <w:pPr>
      <w:spacing w:line="360" w:lineRule="auto"/>
      <w:jc w:val="both"/>
    </w:pPr>
    <w:rPr>
      <w:rFonts w:ascii="Calibri" w:hAnsi="Calibri" w:cs="Calibri"/>
      <w:kern w:val="0"/>
      <w14:ligatures w14:val="none"/>
    </w:rPr>
  </w:style>
  <w:style w:type="character" w:customStyle="1" w:styleId="-0">
    <w:name w:val="טקסט רגיל - תכנון מוניטרי תו"/>
    <w:basedOn w:val="a0"/>
    <w:link w:val="-"/>
    <w:rsid w:val="000A38B3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8009-B1F8-4DB1-970B-8E83A7E5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לירון בן עמוס</cp:lastModifiedBy>
  <cp:revision>3</cp:revision>
  <dcterms:created xsi:type="dcterms:W3CDTF">2026-05-14T05:19:00Z</dcterms:created>
  <dcterms:modified xsi:type="dcterms:W3CDTF">2026-05-14T05:20:00Z</dcterms:modified>
</cp:coreProperties>
</file>