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6E1D16" w:rsidTr="00031A9D">
        <w:tc>
          <w:tcPr>
            <w:tcW w:w="3343" w:type="dxa"/>
            <w:tcBorders>
              <w:top w:val="nil"/>
              <w:left w:val="nil"/>
              <w:bottom w:val="nil"/>
              <w:right w:val="nil"/>
            </w:tcBorders>
            <w:vAlign w:val="center"/>
          </w:tcPr>
          <w:p w:rsidR="00031A9D" w:rsidRPr="005E28F6" w:rsidRDefault="006648A8"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6648A8"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6648A8" w:rsidP="005E28F6">
            <w:pPr>
              <w:bidi/>
              <w:jc w:val="center"/>
              <w:rPr>
                <w:rFonts w:asciiTheme="minorHAnsi" w:hAnsiTheme="minorHAnsi" w:cstheme="minorHAnsi"/>
              </w:rPr>
            </w:pPr>
            <w:r w:rsidRPr="005E28F6">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5E28F6" w:rsidRDefault="006648A8"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Pr>
                <w:rFonts w:asciiTheme="minorHAnsi" w:hAnsiTheme="minorHAnsi" w:cstheme="minorHAnsi"/>
                <w:noProof/>
                <w:rtl/>
              </w:rPr>
              <w:t>‏כ"ג טבת, תשפ"ו</w:t>
            </w:r>
            <w:r w:rsidRPr="005E28F6">
              <w:rPr>
                <w:rFonts w:asciiTheme="minorHAnsi" w:hAnsiTheme="minorHAnsi" w:cstheme="minorHAnsi"/>
                <w:rtl/>
              </w:rPr>
              <w:fldChar w:fldCharType="end"/>
            </w:r>
          </w:p>
          <w:p w:rsidR="00031A9D" w:rsidRPr="005E28F6" w:rsidRDefault="006648A8"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Pr>
                <w:rFonts w:asciiTheme="minorHAnsi" w:hAnsiTheme="minorHAnsi" w:cstheme="minorHAnsi"/>
                <w:noProof/>
                <w:rtl/>
              </w:rPr>
              <w:t>‏12 ינואר,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6C5ED9" w:rsidRPr="006C5ED9" w:rsidRDefault="006648A8" w:rsidP="006C5ED9">
      <w:pPr>
        <w:bidi/>
        <w:spacing w:line="360" w:lineRule="auto"/>
        <w:rPr>
          <w:rFonts w:asciiTheme="minorHAnsi" w:hAnsiTheme="minorHAnsi" w:cstheme="minorHAnsi"/>
          <w:rtl/>
          <w:lang w:bidi="ar-SA"/>
        </w:rPr>
      </w:pPr>
      <w:r>
        <w:rPr>
          <w:rFonts w:asciiTheme="minorHAnsi" w:hAnsiTheme="minorHAnsi" w:cstheme="minorHAnsi" w:hint="cs"/>
          <w:rtl/>
          <w:lang w:bidi="ar-SA"/>
        </w:rPr>
        <w:t>بيان صحفي:</w:t>
      </w:r>
    </w:p>
    <w:p w:rsidR="00A43DE4" w:rsidRPr="00D2680F" w:rsidRDefault="006648A8" w:rsidP="00C46713">
      <w:pPr>
        <w:pStyle w:val="p1"/>
        <w:bidi/>
        <w:jc w:val="center"/>
        <w:rPr>
          <w:rFonts w:ascii="Calibri" w:hAnsi="Calibri" w:cs="Calibri"/>
          <w:sz w:val="36"/>
          <w:szCs w:val="36"/>
          <w:rtl/>
          <w:lang w:bidi="he-IL"/>
        </w:rPr>
      </w:pPr>
      <w:r w:rsidRPr="00D2680F">
        <w:rPr>
          <w:rFonts w:ascii="Calibri" w:hAnsi="Calibri" w:cs="Calibri"/>
          <w:b/>
          <w:bCs/>
          <w:sz w:val="36"/>
          <w:szCs w:val="36"/>
          <w:rtl/>
        </w:rPr>
        <w:t>الرقابة على البنوك أجرت تمرينًا سيبرانيًا على مستوى النظام المصرفي بأكمله</w:t>
      </w:r>
    </w:p>
    <w:p w:rsidR="00A43DE4" w:rsidRPr="00D2680F" w:rsidRDefault="006648A8" w:rsidP="00C46713">
      <w:pPr>
        <w:pStyle w:val="p3"/>
        <w:bidi/>
        <w:rPr>
          <w:rFonts w:ascii="Calibri" w:hAnsi="Calibri" w:cs="Calibri"/>
          <w:rtl/>
          <w:lang w:bidi="he-IL"/>
        </w:rPr>
      </w:pPr>
      <w:bookmarkStart w:id="0" w:name="_GoBack"/>
      <w:r w:rsidRPr="00D2680F">
        <w:rPr>
          <w:rFonts w:ascii="Calibri" w:hAnsi="Calibri" w:cs="Calibri"/>
          <w:rtl/>
        </w:rPr>
        <w:t>في العصر الرقمي، أصبح خطر السايبر</w:t>
      </w:r>
      <w:r w:rsidRPr="00D2680F">
        <w:rPr>
          <w:rFonts w:ascii="Calibri" w:hAnsi="Calibri" w:cs="Calibri"/>
          <w:rtl/>
        </w:rPr>
        <w:t xml:space="preserve"> أحد التهديدات المركزية التي تواجه الأنظمة المالية حول العالم. الهجمات السيبرانية، التي تشهد تصاعدًا من حيث التعقيد والوتيرة في السنوات الأخيرة، تتميز بقدرتها على التسبب في تعطيل استمرارية النشاط وتهديد ثقة الجمهور. وبوصفها بنية تحتية حيوية للاقتصاد، تقف ا</w:t>
      </w:r>
      <w:r w:rsidRPr="00D2680F">
        <w:rPr>
          <w:rFonts w:ascii="Calibri" w:hAnsi="Calibri" w:cs="Calibri"/>
          <w:rtl/>
        </w:rPr>
        <w:t>لمنظومة المالية في الخط الأمامي لمواجهة هذه التهديدات، الأمر الذي يتطلب منها جاهزية مستمرة.</w:t>
      </w:r>
    </w:p>
    <w:p w:rsidR="00C46713" w:rsidRPr="00D2680F" w:rsidRDefault="006648A8" w:rsidP="00C46713">
      <w:pPr>
        <w:pStyle w:val="p3"/>
        <w:bidi/>
        <w:rPr>
          <w:rFonts w:ascii="Calibri" w:hAnsi="Calibri" w:cs="Calibri"/>
        </w:rPr>
      </w:pPr>
      <w:r w:rsidRPr="00D2680F">
        <w:rPr>
          <w:rFonts w:ascii="Calibri" w:hAnsi="Calibri" w:cs="Calibri"/>
          <w:rtl/>
        </w:rPr>
        <w:t>ضمن الخطوات العديدة المتخذة لمواجهة هذا الخطر، أجرت الرقابة على البنوك يوم الخميس، 13.11.2025، تمرينًا سيبرانيًا على مستوى النظام ككل. أُجري التمرين بصيغة الطاولة ا</w:t>
      </w:r>
      <w:r w:rsidRPr="00D2680F">
        <w:rPr>
          <w:rFonts w:ascii="Calibri" w:hAnsi="Calibri" w:cs="Calibri"/>
          <w:rtl/>
        </w:rPr>
        <w:t>لمستديرة (</w:t>
      </w:r>
      <w:r w:rsidRPr="00D2680F">
        <w:rPr>
          <w:rFonts w:ascii="Calibri" w:hAnsi="Calibri" w:cs="Calibri"/>
        </w:rPr>
        <w:t>TTX</w:t>
      </w:r>
      <w:r w:rsidRPr="00D2680F">
        <w:rPr>
          <w:rFonts w:ascii="Calibri" w:hAnsi="Calibri" w:cs="Calibri"/>
          <w:rtl/>
        </w:rPr>
        <w:t xml:space="preserve">)، بمشاركة الجهات الخاضعة للرقابة، وبحضور ومرافقة جهات الحماية السيبرانية على المستوى الوطني – الهيئة الوطنية للسايبر والمركز لاستمرارية النظام المالي في وزارة المالية. هدف التمرين كان تعزيز جاهزية الجهات الخاضعة وتدريبها على التعامل مع أحداث </w:t>
      </w:r>
      <w:r w:rsidRPr="00D2680F">
        <w:rPr>
          <w:rFonts w:ascii="Calibri" w:hAnsi="Calibri" w:cs="Calibri"/>
          <w:rtl/>
        </w:rPr>
        <w:t>سايبر جوهرية من الجوانب التكنولوجية والتنظيمية والإجرائية، بما يضمن تعافيًا سريعًا ومدروسًا عند وقوع أحداث فعلية.</w:t>
      </w:r>
    </w:p>
    <w:p w:rsidR="00D2680F" w:rsidRPr="00D2680F" w:rsidRDefault="006648A8" w:rsidP="00D2680F">
      <w:pPr>
        <w:pStyle w:val="p3"/>
        <w:bidi/>
        <w:rPr>
          <w:rFonts w:ascii="Calibri" w:hAnsi="Calibri" w:cs="Calibri"/>
        </w:rPr>
      </w:pPr>
      <w:r w:rsidRPr="00D2680F">
        <w:rPr>
          <w:rFonts w:ascii="Calibri" w:hAnsi="Calibri" w:cs="Calibri"/>
          <w:rtl/>
        </w:rPr>
        <w:t xml:space="preserve">خلال التمرين، تم اختبار سيناريوهات معقدة تتسم بديناميكية متغيرة ودرجة خطورة متصاعدة، بما في ذلك قضايا تتعلق بسلاسل التوريد، والأطراف الثالثة، </w:t>
      </w:r>
      <w:r w:rsidRPr="00D2680F">
        <w:rPr>
          <w:rFonts w:ascii="Calibri" w:hAnsi="Calibri" w:cs="Calibri"/>
          <w:rtl/>
        </w:rPr>
        <w:t>وإمكانية استخدام قدرات الذكاء الاصطناعي من قبل المهاجمين. شارك في جلسات النقاش المتعددة، التي شملت تحديات وتبادلًا للمعرفة، مدراء الحماية السيبرانية، ومدراء نظم المعلومات الرئيسيين، ومدراء المخاطر الرئيسيين – وهم المسؤولون المهنيون الذين يقفون في طليعة الت</w:t>
      </w:r>
      <w:r w:rsidRPr="00D2680F">
        <w:rPr>
          <w:rFonts w:ascii="Calibri" w:hAnsi="Calibri" w:cs="Calibri"/>
          <w:rtl/>
        </w:rPr>
        <w:t>صدي لتهديدات السايبر في النظام المالي.</w:t>
      </w:r>
    </w:p>
    <w:p w:rsidR="00D2680F" w:rsidRPr="00D2680F" w:rsidRDefault="006648A8" w:rsidP="00D2680F">
      <w:pPr>
        <w:pStyle w:val="p3"/>
        <w:bidi/>
        <w:rPr>
          <w:rFonts w:ascii="Calibri" w:hAnsi="Calibri" w:cs="Calibri"/>
        </w:rPr>
      </w:pPr>
      <w:r w:rsidRPr="00D2680F">
        <w:rPr>
          <w:rFonts w:ascii="Calibri" w:hAnsi="Calibri" w:cs="Calibri"/>
          <w:rtl/>
        </w:rPr>
        <w:t>من المهم التذكير بأن منع وقوع أحداث سيبرانية بشكل تام غير ممكن، وأنه دائمًا ما توجد مخاطر قد تمس استمرارية النشاط، مما قد يصعّب على الجمهور استخدام الخدمات المصرفية وإجراء العمليات المالية. ومع ذلك، وكما أبرز التمرين،</w:t>
      </w:r>
      <w:r w:rsidRPr="00D2680F">
        <w:rPr>
          <w:rFonts w:ascii="Calibri" w:hAnsi="Calibri" w:cs="Calibri"/>
          <w:rtl/>
        </w:rPr>
        <w:t xml:space="preserve"> فإن للمنظومة المالية في إسرائيل متانة وقدرات تتيح لها التعافي بسرعة وفعالية من هذه الأحداث، مع الحفاظ على استقرار النظام المالي.</w:t>
      </w:r>
    </w:p>
    <w:p w:rsidR="00A43DE4" w:rsidRPr="00D2680F" w:rsidRDefault="006648A8" w:rsidP="00A43DE4">
      <w:pPr>
        <w:pStyle w:val="p3"/>
        <w:bidi/>
        <w:rPr>
          <w:rFonts w:ascii="Calibri" w:hAnsi="Calibri" w:cs="Calibri"/>
        </w:rPr>
      </w:pPr>
      <w:r w:rsidRPr="00D2680F">
        <w:rPr>
          <w:rStyle w:val="s1"/>
          <w:rFonts w:ascii="Calibri" w:hAnsi="Calibri" w:cs="Calibri"/>
          <w:b/>
          <w:bCs/>
          <w:rtl/>
        </w:rPr>
        <w:t>المراقب على البنوك:</w:t>
      </w:r>
      <w:r w:rsidRPr="00D2680F">
        <w:rPr>
          <w:rFonts w:ascii="Calibri" w:hAnsi="Calibri" w:cs="Calibri"/>
          <w:rtl/>
        </w:rPr>
        <w:t xml:space="preserve"> "إجراء تمارين سيبرانية هو أحد الأدوات العديدة التي تعتمدها الرقابة على البنوك بهدف تعزيز جاهزية النظام الم</w:t>
      </w:r>
      <w:r w:rsidRPr="00D2680F">
        <w:rPr>
          <w:rFonts w:ascii="Calibri" w:hAnsi="Calibri" w:cs="Calibri"/>
          <w:rtl/>
        </w:rPr>
        <w:t>صرفي لمواجهة أحداث سايبرانية. انطلاقًا من إدراكنا بعدم إمكانية منع تحقق خطر السايبر بشكل مطلق، نسعى إلى ضمان أن تتصرف جميع الجهات ذات الصلة بسرعة وفعالية عند وقوع الحدث، من أجل الحفاظ على استقرار النظام وثقة الجمهور في المنظومة المالية. إن التجند والمشاركة</w:t>
      </w:r>
      <w:r w:rsidRPr="00D2680F">
        <w:rPr>
          <w:rFonts w:ascii="Calibri" w:hAnsi="Calibri" w:cs="Calibri"/>
          <w:rtl/>
        </w:rPr>
        <w:t xml:space="preserve"> الواسعة في التمرين الذي أُجري اليوم، يشيران إلى مستوى عالٍ من التعاون وتوفّر بنية تحتية متينة لمتانة المصارف وشركات بطاقات الائتمان في إسرائيل، والتي يتوجب الاستمرار في اختبارها بشكل دوري."</w:t>
      </w:r>
    </w:p>
    <w:bookmarkEnd w:id="0"/>
    <w:p w:rsidR="00A43DE4" w:rsidRPr="00A43DE4" w:rsidRDefault="00A43DE4" w:rsidP="00A43DE4">
      <w:pPr>
        <w:bidi/>
        <w:spacing w:line="360" w:lineRule="auto"/>
        <w:jc w:val="both"/>
        <w:rPr>
          <w:rFonts w:asciiTheme="minorHAnsi" w:hAnsiTheme="minorHAnsi" w:cstheme="minorHAnsi"/>
          <w:lang w:val="" w:bidi="ar-SA"/>
        </w:rPr>
      </w:pPr>
    </w:p>
    <w:sectPr w:rsidR="00A43DE4" w:rsidRPr="00A43DE4"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648A8">
      <w:pPr>
        <w:spacing w:after="0" w:line="240" w:lineRule="auto"/>
      </w:pPr>
      <w:r>
        <w:separator/>
      </w:r>
    </w:p>
  </w:endnote>
  <w:endnote w:type="continuationSeparator" w:id="0">
    <w:p w:rsidR="00000000" w:rsidRDefault="0066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ssistant">
    <w:altName w:val="Courier New"/>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6648A8" w:rsidP="00F20046">
    <w:pPr>
      <w:pStyle w:val="a7"/>
      <w:rPr>
        <w:rtl/>
      </w:rPr>
    </w:pPr>
    <w:r>
      <w:rPr>
        <w:noProof/>
      </w:rPr>
      <mc:AlternateContent>
        <mc:Choice Requires="wps">
          <w:drawing>
            <wp:anchor distT="0" distB="0" distL="114300" distR="114300" simplePos="0" relativeHeight="251663360" behindDoc="0" locked="0" layoutInCell="1" allowOverlap="1">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6648A8" w:rsidP="00F25BB5">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13" o:spid="_x0000_s2049" type="#_x0000_t202" style="width:158.25pt;height:28.5pt;margin-top:8.8pt;margin-left:125.25pt;mso-height-percent:0;mso-height-relative:margin;mso-position-horizontal-relative:margin;mso-width-percent:0;mso-width-relative:margin;mso-wrap-distance-bottom:0;mso-wrap-distance-left:9pt;mso-wrap-distance-right:9pt;mso-wrap-distance-top:0;mso-wrap-style:square;position:absolute;v-text-anchor:top;visibility:visible;z-index:251664384" filled="f" stroked="f" strokeweight="0.5pt">
              <v:textbox>
                <w:txbxContent>
                  <w:p w:rsidR="00972198" w:rsidRPr="00031A9D" w:rsidP="00F25BB5" w14:paraId="3CC98BB6" w14:textId="77777777">
                    <w:pPr>
                      <w:jc w:val="center"/>
                      <w:rPr>
                        <w:rFonts w:ascii="Calibri" w:hAnsi="Calibri" w:cs="Calibri"/>
                        <w:sz w:val="16"/>
                        <w:szCs w:val="16"/>
                        <w:rtl/>
                      </w:rPr>
                    </w:pPr>
                    <w:r w:rsidRPr="00031A9D">
                      <w:rPr>
                        <w:rFonts w:ascii="Calibri" w:hAnsi="Calibri" w:cs="Calibri"/>
                        <w:noProof/>
                        <w:sz w:val="16"/>
                        <w:szCs w:val="16"/>
                        <w:rtl/>
                      </w:rPr>
                      <w:t xml:space="preserve">פודקאסט </w:t>
                    </w:r>
                    <w:r w:rsidRPr="00031A9D">
                      <w:rPr>
                        <w:rFonts w:ascii="Calibri" w:hAnsi="Calibri" w:cs="Calibri"/>
                        <w:noProof/>
                        <w:sz w:val="16"/>
                        <w:szCs w:val="16"/>
                        <w:rtl/>
                      </w:rPr>
                      <w:t xml:space="preserve"> בנק ישראל</w:t>
                    </w:r>
                    <w:r w:rsidRPr="00031A9D">
                      <w:rPr>
                        <w:rFonts w:ascii="Calibri" w:hAnsi="Calibri" w:cs="Calibri"/>
                        <w:noProof/>
                        <w:sz w:val="16"/>
                        <w:szCs w:val="16"/>
                        <w:rtl/>
                      </w:rPr>
                      <w:br/>
                    </w:r>
                    <w:hyperlink r:id="rId2" w:history="1">
                      <w:r w:rsidRPr="00F25BB5" w:rsid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6648A8" w:rsidP="00031A9D">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7"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2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F20046" w:rsidRPr="00031A9D" w:rsidP="00031A9D" w14:paraId="29A05EA4" w14:textId="77777777">
                    <w:pPr>
                      <w:jc w:val="center"/>
                      <w:rPr>
                        <w:rFonts w:ascii="Calibri" w:hAnsi="Calibri" w:cs="Calibri"/>
                        <w:noProof/>
                        <w:sz w:val="16"/>
                        <w:szCs w:val="16"/>
                        <w:rtl/>
                      </w:rPr>
                    </w:pPr>
                    <w:r w:rsidRPr="00031A9D">
                      <w:rPr>
                        <w:rFonts w:ascii="Calibri" w:hAnsi="Calibri" w:cs="Calibri"/>
                        <w:noProof/>
                        <w:sz w:val="16"/>
                        <w:szCs w:val="16"/>
                        <w:rtl/>
                      </w:rPr>
                      <w:t>יוטיוב -</w:t>
                    </w:r>
                    <w:r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6648A8"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2"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9"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1312" filled="f" stroked="f" strokeweight="0.5pt">
              <v:textbox>
                <w:txbxContent>
                  <w:p w:rsidR="00571971" w:rsidRPr="00031A9D" w:rsidP="00031A9D" w14:paraId="3A4A9787" w14:textId="77777777">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Pr="00031A9D">
                      <w:rPr>
                        <w:rFonts w:asciiTheme="minorHAnsi" w:hAnsiTheme="minorHAnsi" w:cstheme="minorHAnsi"/>
                        <w:noProof/>
                        <w:sz w:val="16"/>
                        <w:szCs w:val="16"/>
                        <w:rtl/>
                      </w:rPr>
                      <w:t>בנק ישראל</w:t>
                    </w:r>
                    <w:r w:rsidRPr="00031A9D">
                      <w:rPr>
                        <w:rFonts w:asciiTheme="minorHAnsi" w:hAnsiTheme="minorHAnsi" w:cstheme="minorHAnsi"/>
                        <w:sz w:val="16"/>
                        <w:szCs w:val="16"/>
                        <w:rtl/>
                      </w:rPr>
                      <w:br/>
                    </w:r>
                    <w:hyperlink r:id="rId13"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6648A8"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7"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59264" filled="f" stroked="f" strokeweight="0.5pt">
              <v:textbox>
                <w:txbxContent>
                  <w:p w:rsidR="00571971" w:rsidRPr="00031A9D" w:rsidP="00F20046" w14:paraId="5FA67238" w14:textId="77777777">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15" o:spid="_x0000_s2053" style="flip:x;mso-wrap-distance-bottom:0;mso-wrap-distance-left:9pt;mso-wrap-distance-right:9pt;mso-wrap-distance-top:0;mso-wrap-style:square;position:absolute;visibility:visible;z-index:251666432" from="-6.45pt,-17.55pt" to="483.95pt,-17.55pt" strokecolor="black"/>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648A8">
      <w:pPr>
        <w:spacing w:after="0" w:line="240" w:lineRule="auto"/>
      </w:pPr>
      <w:r>
        <w:separator/>
      </w:r>
    </w:p>
  </w:footnote>
  <w:footnote w:type="continuationSeparator" w:id="0">
    <w:p w:rsidR="00000000" w:rsidRDefault="0066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64906D76">
      <w:numFmt w:val="bullet"/>
      <w:lvlText w:val=""/>
      <w:lvlJc w:val="left"/>
      <w:pPr>
        <w:ind w:left="720" w:hanging="360"/>
      </w:pPr>
      <w:rPr>
        <w:rFonts w:ascii="Symbol" w:eastAsia="David" w:hAnsi="Symbol" w:cstheme="minorHAnsi" w:hint="default"/>
      </w:rPr>
    </w:lvl>
    <w:lvl w:ilvl="1" w:tplc="B8562F0A" w:tentative="1">
      <w:start w:val="1"/>
      <w:numFmt w:val="bullet"/>
      <w:lvlText w:val="o"/>
      <w:lvlJc w:val="left"/>
      <w:pPr>
        <w:ind w:left="1440" w:hanging="360"/>
      </w:pPr>
      <w:rPr>
        <w:rFonts w:ascii="Courier New" w:hAnsi="Courier New" w:cs="Courier New" w:hint="default"/>
      </w:rPr>
    </w:lvl>
    <w:lvl w:ilvl="2" w:tplc="F3FEF360" w:tentative="1">
      <w:start w:val="1"/>
      <w:numFmt w:val="bullet"/>
      <w:lvlText w:val=""/>
      <w:lvlJc w:val="left"/>
      <w:pPr>
        <w:ind w:left="2160" w:hanging="360"/>
      </w:pPr>
      <w:rPr>
        <w:rFonts w:ascii="Wingdings" w:hAnsi="Wingdings" w:hint="default"/>
      </w:rPr>
    </w:lvl>
    <w:lvl w:ilvl="3" w:tplc="51AE099C" w:tentative="1">
      <w:start w:val="1"/>
      <w:numFmt w:val="bullet"/>
      <w:lvlText w:val=""/>
      <w:lvlJc w:val="left"/>
      <w:pPr>
        <w:ind w:left="2880" w:hanging="360"/>
      </w:pPr>
      <w:rPr>
        <w:rFonts w:ascii="Symbol" w:hAnsi="Symbol" w:hint="default"/>
      </w:rPr>
    </w:lvl>
    <w:lvl w:ilvl="4" w:tplc="E3B43620" w:tentative="1">
      <w:start w:val="1"/>
      <w:numFmt w:val="bullet"/>
      <w:lvlText w:val="o"/>
      <w:lvlJc w:val="left"/>
      <w:pPr>
        <w:ind w:left="3600" w:hanging="360"/>
      </w:pPr>
      <w:rPr>
        <w:rFonts w:ascii="Courier New" w:hAnsi="Courier New" w:cs="Courier New" w:hint="default"/>
      </w:rPr>
    </w:lvl>
    <w:lvl w:ilvl="5" w:tplc="F5C29696" w:tentative="1">
      <w:start w:val="1"/>
      <w:numFmt w:val="bullet"/>
      <w:lvlText w:val=""/>
      <w:lvlJc w:val="left"/>
      <w:pPr>
        <w:ind w:left="4320" w:hanging="360"/>
      </w:pPr>
      <w:rPr>
        <w:rFonts w:ascii="Wingdings" w:hAnsi="Wingdings" w:hint="default"/>
      </w:rPr>
    </w:lvl>
    <w:lvl w:ilvl="6" w:tplc="9F5E4DC8" w:tentative="1">
      <w:start w:val="1"/>
      <w:numFmt w:val="bullet"/>
      <w:lvlText w:val=""/>
      <w:lvlJc w:val="left"/>
      <w:pPr>
        <w:ind w:left="5040" w:hanging="360"/>
      </w:pPr>
      <w:rPr>
        <w:rFonts w:ascii="Symbol" w:hAnsi="Symbol" w:hint="default"/>
      </w:rPr>
    </w:lvl>
    <w:lvl w:ilvl="7" w:tplc="4B568424" w:tentative="1">
      <w:start w:val="1"/>
      <w:numFmt w:val="bullet"/>
      <w:lvlText w:val="o"/>
      <w:lvlJc w:val="left"/>
      <w:pPr>
        <w:ind w:left="5760" w:hanging="360"/>
      </w:pPr>
      <w:rPr>
        <w:rFonts w:ascii="Courier New" w:hAnsi="Courier New" w:cs="Courier New" w:hint="default"/>
      </w:rPr>
    </w:lvl>
    <w:lvl w:ilvl="8" w:tplc="EAD8E2FA"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9E12B1A4">
      <w:start w:val="1"/>
      <w:numFmt w:val="bullet"/>
      <w:lvlText w:val=""/>
      <w:lvlJc w:val="left"/>
      <w:pPr>
        <w:ind w:left="1513" w:hanging="360"/>
      </w:pPr>
      <w:rPr>
        <w:rFonts w:ascii="Symbol" w:hAnsi="Symbol" w:hint="default"/>
      </w:rPr>
    </w:lvl>
    <w:lvl w:ilvl="1" w:tplc="50BA5EC6" w:tentative="1">
      <w:start w:val="1"/>
      <w:numFmt w:val="bullet"/>
      <w:lvlText w:val="o"/>
      <w:lvlJc w:val="left"/>
      <w:pPr>
        <w:ind w:left="2233" w:hanging="360"/>
      </w:pPr>
      <w:rPr>
        <w:rFonts w:ascii="Courier New" w:hAnsi="Courier New" w:cs="Courier New" w:hint="default"/>
      </w:rPr>
    </w:lvl>
    <w:lvl w:ilvl="2" w:tplc="59347B5A" w:tentative="1">
      <w:start w:val="1"/>
      <w:numFmt w:val="bullet"/>
      <w:lvlText w:val=""/>
      <w:lvlJc w:val="left"/>
      <w:pPr>
        <w:ind w:left="2953" w:hanging="360"/>
      </w:pPr>
      <w:rPr>
        <w:rFonts w:ascii="Wingdings" w:hAnsi="Wingdings" w:hint="default"/>
      </w:rPr>
    </w:lvl>
    <w:lvl w:ilvl="3" w:tplc="C5FCF600" w:tentative="1">
      <w:start w:val="1"/>
      <w:numFmt w:val="bullet"/>
      <w:lvlText w:val=""/>
      <w:lvlJc w:val="left"/>
      <w:pPr>
        <w:ind w:left="3673" w:hanging="360"/>
      </w:pPr>
      <w:rPr>
        <w:rFonts w:ascii="Symbol" w:hAnsi="Symbol" w:hint="default"/>
      </w:rPr>
    </w:lvl>
    <w:lvl w:ilvl="4" w:tplc="0030A35A" w:tentative="1">
      <w:start w:val="1"/>
      <w:numFmt w:val="bullet"/>
      <w:lvlText w:val="o"/>
      <w:lvlJc w:val="left"/>
      <w:pPr>
        <w:ind w:left="4393" w:hanging="360"/>
      </w:pPr>
      <w:rPr>
        <w:rFonts w:ascii="Courier New" w:hAnsi="Courier New" w:cs="Courier New" w:hint="default"/>
      </w:rPr>
    </w:lvl>
    <w:lvl w:ilvl="5" w:tplc="4982956C" w:tentative="1">
      <w:start w:val="1"/>
      <w:numFmt w:val="bullet"/>
      <w:lvlText w:val=""/>
      <w:lvlJc w:val="left"/>
      <w:pPr>
        <w:ind w:left="5113" w:hanging="360"/>
      </w:pPr>
      <w:rPr>
        <w:rFonts w:ascii="Wingdings" w:hAnsi="Wingdings" w:hint="default"/>
      </w:rPr>
    </w:lvl>
    <w:lvl w:ilvl="6" w:tplc="D1C4D6C4" w:tentative="1">
      <w:start w:val="1"/>
      <w:numFmt w:val="bullet"/>
      <w:lvlText w:val=""/>
      <w:lvlJc w:val="left"/>
      <w:pPr>
        <w:ind w:left="5833" w:hanging="360"/>
      </w:pPr>
      <w:rPr>
        <w:rFonts w:ascii="Symbol" w:hAnsi="Symbol" w:hint="default"/>
      </w:rPr>
    </w:lvl>
    <w:lvl w:ilvl="7" w:tplc="94BECBC2" w:tentative="1">
      <w:start w:val="1"/>
      <w:numFmt w:val="bullet"/>
      <w:lvlText w:val="o"/>
      <w:lvlJc w:val="left"/>
      <w:pPr>
        <w:ind w:left="6553" w:hanging="360"/>
      </w:pPr>
      <w:rPr>
        <w:rFonts w:ascii="Courier New" w:hAnsi="Courier New" w:cs="Courier New" w:hint="default"/>
      </w:rPr>
    </w:lvl>
    <w:lvl w:ilvl="8" w:tplc="58AE842C"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A9046B12">
      <w:numFmt w:val="bullet"/>
      <w:lvlText w:val=""/>
      <w:lvlJc w:val="left"/>
      <w:pPr>
        <w:ind w:left="668" w:hanging="360"/>
      </w:pPr>
      <w:rPr>
        <w:rFonts w:ascii="Symbol" w:eastAsiaTheme="minorHAnsi" w:hAnsi="Symbol" w:cs="Assistant" w:hint="default"/>
      </w:rPr>
    </w:lvl>
    <w:lvl w:ilvl="1" w:tplc="0EB82D16">
      <w:start w:val="1"/>
      <w:numFmt w:val="bullet"/>
      <w:lvlText w:val="o"/>
      <w:lvlJc w:val="left"/>
      <w:pPr>
        <w:ind w:left="1388" w:hanging="360"/>
      </w:pPr>
      <w:rPr>
        <w:rFonts w:ascii="Courier New" w:hAnsi="Courier New" w:cs="Courier New" w:hint="default"/>
      </w:rPr>
    </w:lvl>
    <w:lvl w:ilvl="2" w:tplc="F7D41AB6" w:tentative="1">
      <w:start w:val="1"/>
      <w:numFmt w:val="bullet"/>
      <w:lvlText w:val=""/>
      <w:lvlJc w:val="left"/>
      <w:pPr>
        <w:ind w:left="2108" w:hanging="360"/>
      </w:pPr>
      <w:rPr>
        <w:rFonts w:ascii="Wingdings" w:hAnsi="Wingdings" w:hint="default"/>
      </w:rPr>
    </w:lvl>
    <w:lvl w:ilvl="3" w:tplc="15AA68A6" w:tentative="1">
      <w:start w:val="1"/>
      <w:numFmt w:val="bullet"/>
      <w:lvlText w:val=""/>
      <w:lvlJc w:val="left"/>
      <w:pPr>
        <w:ind w:left="2828" w:hanging="360"/>
      </w:pPr>
      <w:rPr>
        <w:rFonts w:ascii="Symbol" w:hAnsi="Symbol" w:hint="default"/>
      </w:rPr>
    </w:lvl>
    <w:lvl w:ilvl="4" w:tplc="06DC8F94" w:tentative="1">
      <w:start w:val="1"/>
      <w:numFmt w:val="bullet"/>
      <w:lvlText w:val="o"/>
      <w:lvlJc w:val="left"/>
      <w:pPr>
        <w:ind w:left="3548" w:hanging="360"/>
      </w:pPr>
      <w:rPr>
        <w:rFonts w:ascii="Courier New" w:hAnsi="Courier New" w:cs="Courier New" w:hint="default"/>
      </w:rPr>
    </w:lvl>
    <w:lvl w:ilvl="5" w:tplc="A386EEBC" w:tentative="1">
      <w:start w:val="1"/>
      <w:numFmt w:val="bullet"/>
      <w:lvlText w:val=""/>
      <w:lvlJc w:val="left"/>
      <w:pPr>
        <w:ind w:left="4268" w:hanging="360"/>
      </w:pPr>
      <w:rPr>
        <w:rFonts w:ascii="Wingdings" w:hAnsi="Wingdings" w:hint="default"/>
      </w:rPr>
    </w:lvl>
    <w:lvl w:ilvl="6" w:tplc="34227AD6" w:tentative="1">
      <w:start w:val="1"/>
      <w:numFmt w:val="bullet"/>
      <w:lvlText w:val=""/>
      <w:lvlJc w:val="left"/>
      <w:pPr>
        <w:ind w:left="4988" w:hanging="360"/>
      </w:pPr>
      <w:rPr>
        <w:rFonts w:ascii="Symbol" w:hAnsi="Symbol" w:hint="default"/>
      </w:rPr>
    </w:lvl>
    <w:lvl w:ilvl="7" w:tplc="C7B4C604" w:tentative="1">
      <w:start w:val="1"/>
      <w:numFmt w:val="bullet"/>
      <w:lvlText w:val="o"/>
      <w:lvlJc w:val="left"/>
      <w:pPr>
        <w:ind w:left="5708" w:hanging="360"/>
      </w:pPr>
      <w:rPr>
        <w:rFonts w:ascii="Courier New" w:hAnsi="Courier New" w:cs="Courier New" w:hint="default"/>
      </w:rPr>
    </w:lvl>
    <w:lvl w:ilvl="8" w:tplc="3FB0C4E2"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48FE9422">
      <w:start w:val="1"/>
      <w:numFmt w:val="bullet"/>
      <w:lvlText w:val=""/>
      <w:lvlJc w:val="left"/>
      <w:pPr>
        <w:ind w:left="720" w:hanging="360"/>
      </w:pPr>
      <w:rPr>
        <w:rFonts w:ascii="Symbol" w:hAnsi="Symbol" w:hint="default"/>
      </w:rPr>
    </w:lvl>
    <w:lvl w:ilvl="1" w:tplc="795EA5EC" w:tentative="1">
      <w:start w:val="1"/>
      <w:numFmt w:val="bullet"/>
      <w:lvlText w:val="o"/>
      <w:lvlJc w:val="left"/>
      <w:pPr>
        <w:ind w:left="1440" w:hanging="360"/>
      </w:pPr>
      <w:rPr>
        <w:rFonts w:ascii="Courier New" w:hAnsi="Courier New" w:cs="Courier New" w:hint="default"/>
      </w:rPr>
    </w:lvl>
    <w:lvl w:ilvl="2" w:tplc="DFE25B68" w:tentative="1">
      <w:start w:val="1"/>
      <w:numFmt w:val="bullet"/>
      <w:lvlText w:val=""/>
      <w:lvlJc w:val="left"/>
      <w:pPr>
        <w:ind w:left="2160" w:hanging="360"/>
      </w:pPr>
      <w:rPr>
        <w:rFonts w:ascii="Wingdings" w:hAnsi="Wingdings" w:hint="default"/>
      </w:rPr>
    </w:lvl>
    <w:lvl w:ilvl="3" w:tplc="FDB8096E" w:tentative="1">
      <w:start w:val="1"/>
      <w:numFmt w:val="bullet"/>
      <w:lvlText w:val=""/>
      <w:lvlJc w:val="left"/>
      <w:pPr>
        <w:ind w:left="2880" w:hanging="360"/>
      </w:pPr>
      <w:rPr>
        <w:rFonts w:ascii="Symbol" w:hAnsi="Symbol" w:hint="default"/>
      </w:rPr>
    </w:lvl>
    <w:lvl w:ilvl="4" w:tplc="0500522E" w:tentative="1">
      <w:start w:val="1"/>
      <w:numFmt w:val="bullet"/>
      <w:lvlText w:val="o"/>
      <w:lvlJc w:val="left"/>
      <w:pPr>
        <w:ind w:left="3600" w:hanging="360"/>
      </w:pPr>
      <w:rPr>
        <w:rFonts w:ascii="Courier New" w:hAnsi="Courier New" w:cs="Courier New" w:hint="default"/>
      </w:rPr>
    </w:lvl>
    <w:lvl w:ilvl="5" w:tplc="4492061E" w:tentative="1">
      <w:start w:val="1"/>
      <w:numFmt w:val="bullet"/>
      <w:lvlText w:val=""/>
      <w:lvlJc w:val="left"/>
      <w:pPr>
        <w:ind w:left="4320" w:hanging="360"/>
      </w:pPr>
      <w:rPr>
        <w:rFonts w:ascii="Wingdings" w:hAnsi="Wingdings" w:hint="default"/>
      </w:rPr>
    </w:lvl>
    <w:lvl w:ilvl="6" w:tplc="EAC64F60" w:tentative="1">
      <w:start w:val="1"/>
      <w:numFmt w:val="bullet"/>
      <w:lvlText w:val=""/>
      <w:lvlJc w:val="left"/>
      <w:pPr>
        <w:ind w:left="5040" w:hanging="360"/>
      </w:pPr>
      <w:rPr>
        <w:rFonts w:ascii="Symbol" w:hAnsi="Symbol" w:hint="default"/>
      </w:rPr>
    </w:lvl>
    <w:lvl w:ilvl="7" w:tplc="9572C2C4" w:tentative="1">
      <w:start w:val="1"/>
      <w:numFmt w:val="bullet"/>
      <w:lvlText w:val="o"/>
      <w:lvlJc w:val="left"/>
      <w:pPr>
        <w:ind w:left="5760" w:hanging="360"/>
      </w:pPr>
      <w:rPr>
        <w:rFonts w:ascii="Courier New" w:hAnsi="Courier New" w:cs="Courier New" w:hint="default"/>
      </w:rPr>
    </w:lvl>
    <w:lvl w:ilvl="8" w:tplc="55506E46"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1644B2A2">
      <w:start w:val="1"/>
      <w:numFmt w:val="bullet"/>
      <w:lvlText w:val=""/>
      <w:lvlJc w:val="left"/>
      <w:pPr>
        <w:ind w:left="720" w:hanging="360"/>
      </w:pPr>
      <w:rPr>
        <w:rFonts w:ascii="Symbol" w:hAnsi="Symbol" w:hint="default"/>
      </w:rPr>
    </w:lvl>
    <w:lvl w:ilvl="1" w:tplc="8FD2E58A" w:tentative="1">
      <w:start w:val="1"/>
      <w:numFmt w:val="bullet"/>
      <w:lvlText w:val="o"/>
      <w:lvlJc w:val="left"/>
      <w:pPr>
        <w:ind w:left="1440" w:hanging="360"/>
      </w:pPr>
      <w:rPr>
        <w:rFonts w:ascii="Courier New" w:hAnsi="Courier New" w:cs="Courier New" w:hint="default"/>
      </w:rPr>
    </w:lvl>
    <w:lvl w:ilvl="2" w:tplc="9552D0C8" w:tentative="1">
      <w:start w:val="1"/>
      <w:numFmt w:val="bullet"/>
      <w:lvlText w:val=""/>
      <w:lvlJc w:val="left"/>
      <w:pPr>
        <w:ind w:left="2160" w:hanging="360"/>
      </w:pPr>
      <w:rPr>
        <w:rFonts w:ascii="Wingdings" w:hAnsi="Wingdings" w:hint="default"/>
      </w:rPr>
    </w:lvl>
    <w:lvl w:ilvl="3" w:tplc="1C24F9DE" w:tentative="1">
      <w:start w:val="1"/>
      <w:numFmt w:val="bullet"/>
      <w:lvlText w:val=""/>
      <w:lvlJc w:val="left"/>
      <w:pPr>
        <w:ind w:left="2880" w:hanging="360"/>
      </w:pPr>
      <w:rPr>
        <w:rFonts w:ascii="Symbol" w:hAnsi="Symbol" w:hint="default"/>
      </w:rPr>
    </w:lvl>
    <w:lvl w:ilvl="4" w:tplc="77F677FA" w:tentative="1">
      <w:start w:val="1"/>
      <w:numFmt w:val="bullet"/>
      <w:lvlText w:val="o"/>
      <w:lvlJc w:val="left"/>
      <w:pPr>
        <w:ind w:left="3600" w:hanging="360"/>
      </w:pPr>
      <w:rPr>
        <w:rFonts w:ascii="Courier New" w:hAnsi="Courier New" w:cs="Courier New" w:hint="default"/>
      </w:rPr>
    </w:lvl>
    <w:lvl w:ilvl="5" w:tplc="2744DC94" w:tentative="1">
      <w:start w:val="1"/>
      <w:numFmt w:val="bullet"/>
      <w:lvlText w:val=""/>
      <w:lvlJc w:val="left"/>
      <w:pPr>
        <w:ind w:left="4320" w:hanging="360"/>
      </w:pPr>
      <w:rPr>
        <w:rFonts w:ascii="Wingdings" w:hAnsi="Wingdings" w:hint="default"/>
      </w:rPr>
    </w:lvl>
    <w:lvl w:ilvl="6" w:tplc="AAD4FBAA" w:tentative="1">
      <w:start w:val="1"/>
      <w:numFmt w:val="bullet"/>
      <w:lvlText w:val=""/>
      <w:lvlJc w:val="left"/>
      <w:pPr>
        <w:ind w:left="5040" w:hanging="360"/>
      </w:pPr>
      <w:rPr>
        <w:rFonts w:ascii="Symbol" w:hAnsi="Symbol" w:hint="default"/>
      </w:rPr>
    </w:lvl>
    <w:lvl w:ilvl="7" w:tplc="6A466804" w:tentative="1">
      <w:start w:val="1"/>
      <w:numFmt w:val="bullet"/>
      <w:lvlText w:val="o"/>
      <w:lvlJc w:val="left"/>
      <w:pPr>
        <w:ind w:left="5760" w:hanging="360"/>
      </w:pPr>
      <w:rPr>
        <w:rFonts w:ascii="Courier New" w:hAnsi="Courier New" w:cs="Courier New" w:hint="default"/>
      </w:rPr>
    </w:lvl>
    <w:lvl w:ilvl="8" w:tplc="F4DC28E0"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4C16"/>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75F2B"/>
    <w:rsid w:val="0059782C"/>
    <w:rsid w:val="005A52A2"/>
    <w:rsid w:val="005C5BF9"/>
    <w:rsid w:val="005D5F2B"/>
    <w:rsid w:val="005E28F6"/>
    <w:rsid w:val="00614024"/>
    <w:rsid w:val="00632CD2"/>
    <w:rsid w:val="006344CC"/>
    <w:rsid w:val="0063559D"/>
    <w:rsid w:val="0063690B"/>
    <w:rsid w:val="00640309"/>
    <w:rsid w:val="00660075"/>
    <w:rsid w:val="00660F46"/>
    <w:rsid w:val="006648A8"/>
    <w:rsid w:val="006811C3"/>
    <w:rsid w:val="006907D5"/>
    <w:rsid w:val="0069557C"/>
    <w:rsid w:val="006C5099"/>
    <w:rsid w:val="006C5ED9"/>
    <w:rsid w:val="006E1D16"/>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50CC4"/>
    <w:rsid w:val="00861B90"/>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3DE4"/>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713"/>
    <w:rsid w:val="00C46931"/>
    <w:rsid w:val="00C47A89"/>
    <w:rsid w:val="00C73E6B"/>
    <w:rsid w:val="00C85D4E"/>
    <w:rsid w:val="00C9088B"/>
    <w:rsid w:val="00C91BA8"/>
    <w:rsid w:val="00C94FDB"/>
    <w:rsid w:val="00CA2ACF"/>
    <w:rsid w:val="00CB5C9F"/>
    <w:rsid w:val="00CB5CD9"/>
    <w:rsid w:val="00CB74C6"/>
    <w:rsid w:val="00CC2499"/>
    <w:rsid w:val="00CC73CB"/>
    <w:rsid w:val="00CD11DB"/>
    <w:rsid w:val="00CD2037"/>
    <w:rsid w:val="00CD2A65"/>
    <w:rsid w:val="00CD359F"/>
    <w:rsid w:val="00CE2F8B"/>
    <w:rsid w:val="00D004D1"/>
    <w:rsid w:val="00D02324"/>
    <w:rsid w:val="00D06884"/>
    <w:rsid w:val="00D15579"/>
    <w:rsid w:val="00D2680F"/>
    <w:rsid w:val="00D45541"/>
    <w:rsid w:val="00D53BFE"/>
    <w:rsid w:val="00D73D49"/>
    <w:rsid w:val="00D747A1"/>
    <w:rsid w:val="00D85F94"/>
    <w:rsid w:val="00D878DF"/>
    <w:rsid w:val="00DB09F3"/>
    <w:rsid w:val="00DC23E1"/>
    <w:rsid w:val="00DC727C"/>
    <w:rsid w:val="00DD2E1F"/>
    <w:rsid w:val="00DE140A"/>
    <w:rsid w:val="00DF4B57"/>
    <w:rsid w:val="00E02FC5"/>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1FBA"/>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 w:type="paragraph" w:customStyle="1" w:styleId="p1">
    <w:name w:val="p1"/>
    <w:basedOn w:val="a"/>
    <w:rsid w:val="00A43DE4"/>
    <w:pPr>
      <w:spacing w:before="100" w:beforeAutospacing="1" w:after="100" w:afterAutospacing="1" w:line="240" w:lineRule="auto"/>
    </w:pPr>
    <w:rPr>
      <w:rFonts w:ascii="Times New Roman" w:eastAsia="Times New Roman" w:hAnsi="Times New Roman" w:cs="Times New Roman"/>
      <w:lang w:val="" w:bidi="ar-SA"/>
    </w:rPr>
  </w:style>
  <w:style w:type="paragraph" w:customStyle="1" w:styleId="p2">
    <w:name w:val="p2"/>
    <w:basedOn w:val="a"/>
    <w:rsid w:val="00A43DE4"/>
    <w:pPr>
      <w:spacing w:before="100" w:beforeAutospacing="1" w:after="100" w:afterAutospacing="1" w:line="240" w:lineRule="auto"/>
    </w:pPr>
    <w:rPr>
      <w:rFonts w:ascii="Times New Roman" w:eastAsia="Times New Roman" w:hAnsi="Times New Roman" w:cs="Times New Roman"/>
      <w:lang w:val="" w:bidi="ar-SA"/>
    </w:rPr>
  </w:style>
  <w:style w:type="paragraph" w:customStyle="1" w:styleId="p3">
    <w:name w:val="p3"/>
    <w:basedOn w:val="a"/>
    <w:rsid w:val="00A43DE4"/>
    <w:pPr>
      <w:spacing w:before="100" w:beforeAutospacing="1" w:after="100" w:afterAutospacing="1" w:line="240" w:lineRule="auto"/>
    </w:pPr>
    <w:rPr>
      <w:rFonts w:ascii="Times New Roman" w:eastAsia="Times New Roman" w:hAnsi="Times New Roman" w:cs="Times New Roman"/>
      <w:lang w:val="" w:bidi="ar-SA"/>
    </w:rPr>
  </w:style>
  <w:style w:type="character" w:customStyle="1" w:styleId="s1">
    <w:name w:val="s1"/>
    <w:basedOn w:val="a0"/>
    <w:rsid w:val="00A43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openxmlformats.org/officeDocument/2006/relationships/hyperlink" Target="https://www.youtube.com/user/thebankofisrael" TargetMode="External"/><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openxmlformats.org/officeDocument/2006/relationships/image" Target="media/image4.png"/><Relationship Id="rId15" Type="http://schemas.openxmlformats.org/officeDocument/2006/relationships/hyperlink" Target="https://www.boi.org.il/" TargetMode="External"/><Relationship Id="rId4" Type="http://schemas.openxmlformats.org/officeDocument/2006/relationships/image" Target="media/image3.png"/><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2077</Characters>
  <Application>Microsoft Office Word</Application>
  <DocSecurity>4</DocSecurity>
  <Lines>17</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2026-01-12T11:58:00Z</dcterms:created>
  <dcterms:modified xsi:type="dcterms:W3CDTF">2026-01-12T11:58:00Z</dcterms:modified>
</cp:coreProperties>
</file>