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9D636" w14:textId="77777777" w:rsidR="00CB5D78" w:rsidRPr="003B4DD7" w:rsidRDefault="002235F5" w:rsidP="00A3549C">
      <w:pPr>
        <w:bidi w:val="0"/>
        <w:jc w:val="center"/>
        <w:rPr>
          <w:rFonts w:asciiTheme="majorBidi" w:hAnsiTheme="majorBidi" w:cstheme="majorBidi"/>
          <w:rtl/>
        </w:rPr>
      </w:pPr>
      <w:r w:rsidRPr="003B4DD7">
        <w:rPr>
          <w:rFonts w:asciiTheme="majorBidi" w:hAnsiTheme="majorBidi" w:cstheme="majorBidi"/>
          <w:noProof/>
        </w:rPr>
        <w:drawing>
          <wp:inline distT="0" distB="0" distL="0" distR="0" wp14:anchorId="7C4CFEA3" wp14:editId="30D1B8E3">
            <wp:extent cx="975360" cy="975360"/>
            <wp:effectExtent l="0" t="0" r="0" b="0"/>
            <wp:docPr id="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14:paraId="4D3BC27D" w14:textId="77777777" w:rsidR="00892A46" w:rsidRPr="003B4DD7" w:rsidRDefault="00892A46" w:rsidP="00A3549C">
      <w:pPr>
        <w:pStyle w:val="regpar"/>
        <w:spacing w:line="300" w:lineRule="atLeast"/>
        <w:ind w:firstLine="0"/>
        <w:jc w:val="center"/>
        <w:rPr>
          <w:rFonts w:asciiTheme="majorBidi" w:hAnsiTheme="majorBidi" w:cstheme="majorBidi"/>
          <w:b/>
          <w:bCs/>
        </w:rPr>
      </w:pPr>
      <w:r w:rsidRPr="003B4DD7">
        <w:rPr>
          <w:rFonts w:asciiTheme="majorBidi" w:hAnsiTheme="majorBidi" w:cstheme="majorBidi"/>
          <w:b/>
          <w:bCs/>
        </w:rPr>
        <w:t>BANK OF ISRAEL</w:t>
      </w:r>
    </w:p>
    <w:p w14:paraId="08A10C68" w14:textId="77777777" w:rsidR="00892A46" w:rsidRPr="003B4DD7" w:rsidRDefault="00892A46" w:rsidP="00A3549C">
      <w:pPr>
        <w:pStyle w:val="regpar"/>
        <w:spacing w:line="300" w:lineRule="atLeast"/>
        <w:ind w:firstLine="0"/>
        <w:jc w:val="center"/>
        <w:rPr>
          <w:rFonts w:asciiTheme="majorBidi" w:hAnsiTheme="majorBidi" w:cstheme="majorBidi"/>
        </w:rPr>
      </w:pPr>
      <w:r w:rsidRPr="003B4DD7">
        <w:rPr>
          <w:rFonts w:asciiTheme="majorBidi" w:hAnsiTheme="majorBidi" w:cstheme="majorBidi"/>
        </w:rPr>
        <w:t>Office of the Spokesperson and Economic Information</w:t>
      </w:r>
    </w:p>
    <w:p w14:paraId="2565A0D7" w14:textId="77777777" w:rsidR="00B533D5" w:rsidRPr="003B4DD7" w:rsidRDefault="007926C7" w:rsidP="00A3549C">
      <w:pPr>
        <w:bidi w:val="0"/>
        <w:jc w:val="both"/>
        <w:rPr>
          <w:rFonts w:asciiTheme="majorBidi" w:hAnsiTheme="majorBidi" w:cstheme="majorBidi"/>
          <w:rtl/>
        </w:rPr>
      </w:pPr>
      <w:r w:rsidRPr="003B4DD7">
        <w:rPr>
          <w:rFonts w:asciiTheme="majorBidi" w:hAnsiTheme="majorBidi" w:cstheme="majorBidi"/>
        </w:rPr>
        <w:br/>
      </w:r>
    </w:p>
    <w:p w14:paraId="46D80E47" w14:textId="77777777" w:rsidR="007926C7" w:rsidRPr="003B4DD7" w:rsidRDefault="009F3FB7" w:rsidP="008238E7">
      <w:pPr>
        <w:bidi w:val="0"/>
        <w:jc w:val="right"/>
        <w:rPr>
          <w:rFonts w:asciiTheme="majorBidi" w:hAnsiTheme="majorBidi" w:cstheme="majorBidi"/>
        </w:rPr>
      </w:pPr>
      <w:r>
        <w:rPr>
          <w:rFonts w:asciiTheme="majorBidi" w:hAnsiTheme="majorBidi" w:cstheme="majorBidi"/>
        </w:rPr>
        <w:t xml:space="preserve">July </w:t>
      </w:r>
      <w:r w:rsidR="00180F22">
        <w:rPr>
          <w:rFonts w:asciiTheme="majorBidi" w:hAnsiTheme="majorBidi" w:cstheme="majorBidi"/>
        </w:rPr>
        <w:t>5</w:t>
      </w:r>
      <w:r>
        <w:rPr>
          <w:rFonts w:asciiTheme="majorBidi" w:hAnsiTheme="majorBidi" w:cstheme="majorBidi"/>
        </w:rPr>
        <w:t>, 2023</w:t>
      </w:r>
    </w:p>
    <w:p w14:paraId="69A8A025" w14:textId="77777777" w:rsidR="007926C7" w:rsidRPr="003B4DD7" w:rsidRDefault="007926C7" w:rsidP="00A3549C">
      <w:pPr>
        <w:bidi w:val="0"/>
        <w:jc w:val="both"/>
        <w:rPr>
          <w:rFonts w:asciiTheme="majorBidi" w:hAnsiTheme="majorBidi" w:cstheme="majorBidi"/>
        </w:rPr>
      </w:pPr>
    </w:p>
    <w:p w14:paraId="051489EE" w14:textId="77777777" w:rsidR="00892A46" w:rsidRPr="003B4DD7" w:rsidRDefault="00892A46" w:rsidP="00A3549C">
      <w:pPr>
        <w:bidi w:val="0"/>
        <w:jc w:val="both"/>
        <w:rPr>
          <w:rFonts w:asciiTheme="majorBidi" w:hAnsiTheme="majorBidi" w:cstheme="majorBidi"/>
        </w:rPr>
      </w:pPr>
      <w:r w:rsidRPr="003B4DD7">
        <w:rPr>
          <w:rFonts w:asciiTheme="majorBidi" w:hAnsiTheme="majorBidi" w:cstheme="majorBidi"/>
        </w:rPr>
        <w:t>Press Release:</w:t>
      </w:r>
    </w:p>
    <w:p w14:paraId="7FFC24CE" w14:textId="77777777" w:rsidR="00892A46" w:rsidRPr="003B4DD7" w:rsidRDefault="00892A46" w:rsidP="00A3549C">
      <w:pPr>
        <w:tabs>
          <w:tab w:val="center" w:pos="4156"/>
          <w:tab w:val="right" w:pos="8312"/>
        </w:tabs>
        <w:bidi w:val="0"/>
        <w:jc w:val="both"/>
        <w:rPr>
          <w:rFonts w:asciiTheme="majorBidi" w:hAnsiTheme="majorBidi" w:cstheme="majorBidi"/>
        </w:rPr>
      </w:pPr>
    </w:p>
    <w:p w14:paraId="071CFFA1" w14:textId="77777777" w:rsidR="009F3FB7" w:rsidRDefault="009F3FB7" w:rsidP="000D4E65">
      <w:pPr>
        <w:bidi w:val="0"/>
        <w:jc w:val="center"/>
        <w:rPr>
          <w:b/>
          <w:bCs/>
          <w:sz w:val="32"/>
          <w:szCs w:val="32"/>
        </w:rPr>
      </w:pPr>
      <w:r>
        <w:rPr>
          <w:b/>
          <w:bCs/>
          <w:sz w:val="32"/>
          <w:szCs w:val="32"/>
        </w:rPr>
        <w:t xml:space="preserve">Publication of </w:t>
      </w:r>
      <w:r w:rsidR="000D4E65">
        <w:rPr>
          <w:b/>
          <w:bCs/>
          <w:sz w:val="32"/>
          <w:szCs w:val="32"/>
        </w:rPr>
        <w:t>the various banks’ interest rates on housing credit—an additional step toward consumer transparency in a changing financial environment</w:t>
      </w:r>
    </w:p>
    <w:p w14:paraId="7E8782A6" w14:textId="77777777" w:rsidR="000D4E65" w:rsidRDefault="000D4E65" w:rsidP="000D4E65">
      <w:pPr>
        <w:bidi w:val="0"/>
        <w:jc w:val="center"/>
        <w:rPr>
          <w:b/>
          <w:bCs/>
          <w:sz w:val="32"/>
          <w:szCs w:val="32"/>
        </w:rPr>
      </w:pPr>
    </w:p>
    <w:p w14:paraId="2FAC1F3B" w14:textId="7B361001" w:rsidR="00A3549C" w:rsidRPr="002D7E25" w:rsidRDefault="000D4E65" w:rsidP="00460ED2">
      <w:pPr>
        <w:bidi w:val="0"/>
        <w:jc w:val="both"/>
      </w:pPr>
      <w:r w:rsidRPr="002D7E25">
        <w:t xml:space="preserve">The Bank of Israel is expanding the comparative information published on the Bank’s website. In addition to information published on the site regarding the interest rates on </w:t>
      </w:r>
      <w:r w:rsidR="00460ED2" w:rsidRPr="002D7E25">
        <w:t xml:space="preserve">consumer </w:t>
      </w:r>
      <w:r w:rsidRPr="002D7E25">
        <w:t>deposits and loans, divided by the various banks, now there will also be information on the interest rates on loans for housing purposes (“mortgage”), in order to strengthen consumers’ awareness and to enhance the competition among the banks.</w:t>
      </w:r>
    </w:p>
    <w:p w14:paraId="7936D6E6" w14:textId="77777777" w:rsidR="000D4E65" w:rsidRPr="002D7E25" w:rsidRDefault="000D4E65" w:rsidP="002D7E25">
      <w:pPr>
        <w:bidi w:val="0"/>
        <w:jc w:val="both"/>
      </w:pPr>
    </w:p>
    <w:p w14:paraId="47DF25CC" w14:textId="2BF0EE95" w:rsidR="000D4E65" w:rsidRPr="002D7E25" w:rsidRDefault="000D4E65" w:rsidP="00FB3471">
      <w:pPr>
        <w:bidi w:val="0"/>
        <w:jc w:val="both"/>
      </w:pPr>
      <w:r w:rsidRPr="00C269DA">
        <w:rPr>
          <w:b/>
          <w:bCs/>
        </w:rPr>
        <w:t xml:space="preserve">Supervisor of Banks Mr. Daniel </w:t>
      </w:r>
      <w:proofErr w:type="spellStart"/>
      <w:r w:rsidRPr="00C269DA">
        <w:rPr>
          <w:b/>
          <w:bCs/>
        </w:rPr>
        <w:t>Hahiashvili</w:t>
      </w:r>
      <w:proofErr w:type="spellEnd"/>
      <w:r w:rsidRPr="002D7E25">
        <w:t xml:space="preserve"> said, “The information that we are publishing today on the interest rates granted for loans for housing purposes is another important step in enhancing the transparency and strengthening the customer’s power. This step will enable customers to make an informed decision, after examining the data in a simple, accessible, and convenient manner.”</w:t>
      </w:r>
    </w:p>
    <w:p w14:paraId="56B9E0D8" w14:textId="77777777" w:rsidR="000D4E65" w:rsidRPr="002D7E25" w:rsidRDefault="000D4E65" w:rsidP="002D7E25">
      <w:pPr>
        <w:bidi w:val="0"/>
        <w:jc w:val="both"/>
      </w:pPr>
    </w:p>
    <w:p w14:paraId="33F3A13A" w14:textId="54321638" w:rsidR="000D4E65" w:rsidRPr="002D7E25" w:rsidRDefault="000D4E65" w:rsidP="00FB3471">
      <w:pPr>
        <w:bidi w:val="0"/>
        <w:jc w:val="both"/>
      </w:pPr>
      <w:r w:rsidRPr="002D7E25">
        <w:t xml:space="preserve">The Banking Supervision Department today announces the publication of additional information, on the issue of </w:t>
      </w:r>
      <w:r w:rsidR="00CC3D87">
        <w:t xml:space="preserve">housing </w:t>
      </w:r>
      <w:r w:rsidRPr="002D7E25">
        <w:t xml:space="preserve">loans, in order to make accessible to the public information on the interest rates charged </w:t>
      </w:r>
      <w:r w:rsidR="00460ED2">
        <w:t xml:space="preserve">on </w:t>
      </w:r>
      <w:r w:rsidRPr="002D7E25">
        <w:t xml:space="preserve">credit for housing purposes </w:t>
      </w:r>
      <w:r w:rsidR="00460ED2">
        <w:t xml:space="preserve">performance </w:t>
      </w:r>
      <w:proofErr w:type="gramStart"/>
      <w:r w:rsidRPr="002D7E25">
        <w:t>and</w:t>
      </w:r>
      <w:proofErr w:type="gramEnd"/>
      <w:r w:rsidRPr="002D7E25">
        <w:t xml:space="preserve"> to assist the public to compare prices in the process of taking out a </w:t>
      </w:r>
      <w:r w:rsidR="00CC3D87">
        <w:t xml:space="preserve">housing </w:t>
      </w:r>
      <w:r w:rsidRPr="002D7E25">
        <w:t>loan</w:t>
      </w:r>
      <w:r w:rsidR="000549CD" w:rsidRPr="002D7E25">
        <w:t xml:space="preserve">. We note that the data represent the portfolio average of each bank, and not a specific mortgage extended in actuality. The interest rate offered to a customer </w:t>
      </w:r>
      <w:proofErr w:type="gramStart"/>
      <w:r w:rsidR="000549CD" w:rsidRPr="002D7E25">
        <w:t>is impacted</w:t>
      </w:r>
      <w:proofErr w:type="gramEnd"/>
      <w:r w:rsidR="000549CD" w:rsidRPr="002D7E25">
        <w:t xml:space="preserve"> by various characteristics such as the loan to value ratio, the payment to income ratio, the term of the loan, and more.</w:t>
      </w:r>
    </w:p>
    <w:p w14:paraId="247CF0FC" w14:textId="77777777" w:rsidR="00A3549C" w:rsidRPr="002D7E25" w:rsidRDefault="00A3549C" w:rsidP="002D7E25">
      <w:pPr>
        <w:pStyle w:val="PS"/>
        <w:ind w:firstLine="0"/>
        <w:jc w:val="both"/>
      </w:pPr>
    </w:p>
    <w:p w14:paraId="6835AEE3" w14:textId="77777777" w:rsidR="00927315" w:rsidRPr="002D7E25" w:rsidRDefault="00927315" w:rsidP="002D7E25">
      <w:pPr>
        <w:pStyle w:val="PS"/>
        <w:ind w:firstLine="0"/>
        <w:jc w:val="both"/>
      </w:pPr>
      <w:r w:rsidRPr="002D7E25">
        <w:t xml:space="preserve">Following are details on the information that </w:t>
      </w:r>
      <w:proofErr w:type="gramStart"/>
      <w:r w:rsidRPr="002D7E25">
        <w:t>will be published</w:t>
      </w:r>
      <w:proofErr w:type="gramEnd"/>
      <w:r w:rsidRPr="002D7E25">
        <w:t>, as of today:</w:t>
      </w:r>
    </w:p>
    <w:p w14:paraId="6E833545" w14:textId="77777777" w:rsidR="00927315" w:rsidRPr="002D7E25" w:rsidRDefault="00927315" w:rsidP="002D7E25">
      <w:pPr>
        <w:pStyle w:val="PS"/>
        <w:ind w:firstLine="0"/>
        <w:jc w:val="both"/>
      </w:pPr>
    </w:p>
    <w:p w14:paraId="3A9F8D1B" w14:textId="14D887EF" w:rsidR="00927315" w:rsidRPr="005D0463" w:rsidRDefault="00927315" w:rsidP="00460ED2">
      <w:pPr>
        <w:pStyle w:val="PS"/>
        <w:ind w:firstLine="0"/>
        <w:jc w:val="both"/>
        <w:rPr>
          <w:b/>
          <w:bCs/>
        </w:rPr>
      </w:pPr>
      <w:r w:rsidRPr="00F51F54">
        <w:rPr>
          <w:b/>
          <w:bCs/>
        </w:rPr>
        <w:t>1. The “forecast overall interest rate</w:t>
      </w:r>
      <w:r w:rsidR="00460ED2">
        <w:rPr>
          <w:b/>
          <w:bCs/>
        </w:rPr>
        <w:t xml:space="preserve"> or the </w:t>
      </w:r>
      <w:r w:rsidR="00460ED2" w:rsidRPr="00460ED2">
        <w:rPr>
          <w:b/>
          <w:bCs/>
        </w:rPr>
        <w:t>Internal Rate of Return</w:t>
      </w:r>
      <w:r w:rsidR="00FB3471">
        <w:rPr>
          <w:rFonts w:hint="cs"/>
          <w:b/>
          <w:bCs/>
          <w:rtl/>
          <w:lang w:bidi="he-IL"/>
        </w:rPr>
        <w:t xml:space="preserve"> </w:t>
      </w:r>
      <w:r w:rsidRPr="00F51F54">
        <w:rPr>
          <w:b/>
          <w:bCs/>
        </w:rPr>
        <w:t>(IRR)” calculated</w:t>
      </w:r>
      <w:r w:rsidRPr="005D0463">
        <w:rPr>
          <w:b/>
          <w:bCs/>
        </w:rPr>
        <w:t xml:space="preserve"> on the portfolio</w:t>
      </w:r>
    </w:p>
    <w:p w14:paraId="15F51429" w14:textId="7911F245" w:rsidR="00927315" w:rsidRDefault="00927315" w:rsidP="00804DDE">
      <w:pPr>
        <w:pStyle w:val="PS"/>
        <w:ind w:firstLine="0"/>
        <w:jc w:val="both"/>
      </w:pPr>
      <w:r w:rsidRPr="002D7E25">
        <w:t>The “</w:t>
      </w:r>
      <w:r w:rsidR="00460ED2">
        <w:t>Internal Rate of Return</w:t>
      </w:r>
      <w:r w:rsidRPr="002D7E25">
        <w:t xml:space="preserve"> (IRR)” (the actual cost of the credit) is calculated according to the equation established in Proper Conduct of Banking Business Directive no. 451 on “</w:t>
      </w:r>
      <w:r w:rsidR="00804DDE">
        <w:t xml:space="preserve">Procedures for Extending </w:t>
      </w:r>
      <w:r w:rsidRPr="002D7E25">
        <w:t xml:space="preserve">Housing </w:t>
      </w:r>
      <w:r w:rsidR="00804DDE">
        <w:t>L</w:t>
      </w:r>
      <w:r w:rsidRPr="002D7E25">
        <w:t>oan</w:t>
      </w:r>
      <w:r w:rsidR="00804DDE">
        <w:t>s</w:t>
      </w:r>
      <w:r w:rsidRPr="002D7E25">
        <w:t>”</w:t>
      </w:r>
      <w:r w:rsidR="00F24011">
        <w:t>.</w:t>
      </w:r>
      <w:r w:rsidR="0042069E">
        <w:rPr>
          <w:rStyle w:val="ad"/>
        </w:rPr>
        <w:footnoteReference w:id="1"/>
      </w:r>
      <w:r w:rsidR="0001100E" w:rsidRPr="0001100E">
        <w:rPr>
          <w:vertAlign w:val="superscript"/>
        </w:rPr>
        <w:t>,</w:t>
      </w:r>
      <w:r w:rsidR="0001100E">
        <w:rPr>
          <w:rStyle w:val="ad"/>
        </w:rPr>
        <w:footnoteReference w:id="2"/>
      </w:r>
    </w:p>
    <w:p w14:paraId="76132A14" w14:textId="77777777" w:rsidR="00F24011" w:rsidRDefault="00F24011" w:rsidP="00804DDE">
      <w:pPr>
        <w:pStyle w:val="PS"/>
        <w:ind w:firstLine="0"/>
        <w:jc w:val="both"/>
      </w:pPr>
    </w:p>
    <w:p w14:paraId="58424284" w14:textId="77777777" w:rsidR="00F24011" w:rsidRDefault="00F24011" w:rsidP="00804DDE">
      <w:pPr>
        <w:pStyle w:val="PS"/>
        <w:ind w:firstLine="0"/>
        <w:jc w:val="both"/>
      </w:pPr>
      <w:r>
        <w:rPr>
          <w:noProof/>
          <w:lang w:bidi="he-IL"/>
        </w:rPr>
        <w:drawing>
          <wp:inline distT="0" distB="0" distL="0" distR="0" wp14:anchorId="78AEB819" wp14:editId="61D99CE7">
            <wp:extent cx="3624627" cy="23084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72101" cy="2338720"/>
                    </a:xfrm>
                    <a:prstGeom prst="rect">
                      <a:avLst/>
                    </a:prstGeom>
                  </pic:spPr>
                </pic:pic>
              </a:graphicData>
            </a:graphic>
          </wp:inline>
        </w:drawing>
      </w:r>
    </w:p>
    <w:p w14:paraId="00FEA889" w14:textId="77777777" w:rsidR="00F24011" w:rsidRDefault="00F24011" w:rsidP="00804DDE">
      <w:pPr>
        <w:pStyle w:val="PS"/>
        <w:ind w:firstLine="0"/>
        <w:jc w:val="both"/>
      </w:pPr>
    </w:p>
    <w:p w14:paraId="4494366F" w14:textId="77777777" w:rsidR="00F24011" w:rsidRPr="00F24011" w:rsidRDefault="00F24011" w:rsidP="00804DDE">
      <w:pPr>
        <w:pStyle w:val="PS"/>
        <w:ind w:firstLine="0"/>
        <w:jc w:val="both"/>
        <w:rPr>
          <w:b/>
          <w:bCs/>
        </w:rPr>
      </w:pPr>
      <w:r w:rsidRPr="00F24011">
        <w:rPr>
          <w:b/>
          <w:bCs/>
        </w:rPr>
        <w:t>2. The composition of the tracks in total performance</w:t>
      </w:r>
    </w:p>
    <w:p w14:paraId="04F90FAE" w14:textId="77777777" w:rsidR="00F24011" w:rsidRDefault="00F24011" w:rsidP="00F24011">
      <w:pPr>
        <w:pStyle w:val="PS"/>
        <w:ind w:firstLine="0"/>
        <w:jc w:val="both"/>
      </w:pPr>
      <w:r>
        <w:t xml:space="preserve">In addition to a simple </w:t>
      </w:r>
      <w:r w:rsidRPr="00F51F54">
        <w:t>comparison of the forecast overall interest rate</w:t>
      </w:r>
      <w:r>
        <w:t xml:space="preserve"> on the total portfolio, a comparison is presented of the composition of the tracks for the bank’s performance in the publication month.</w:t>
      </w:r>
    </w:p>
    <w:p w14:paraId="61DB2C7F" w14:textId="77777777" w:rsidR="00F24011" w:rsidRDefault="00F24011" w:rsidP="00F24011">
      <w:pPr>
        <w:pStyle w:val="PS"/>
        <w:ind w:firstLine="0"/>
        <w:jc w:val="both"/>
      </w:pPr>
    </w:p>
    <w:p w14:paraId="3046FD5F" w14:textId="77777777" w:rsidR="007D555B" w:rsidRDefault="007D555B" w:rsidP="00F24011">
      <w:pPr>
        <w:pStyle w:val="PS"/>
        <w:ind w:firstLine="0"/>
        <w:jc w:val="both"/>
      </w:pPr>
      <w:r>
        <w:rPr>
          <w:noProof/>
          <w:lang w:bidi="he-IL"/>
        </w:rPr>
        <w:drawing>
          <wp:inline distT="0" distB="0" distL="0" distR="0" wp14:anchorId="746533A4" wp14:editId="697AFFBB">
            <wp:extent cx="4172387" cy="29230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10725" cy="2949941"/>
                    </a:xfrm>
                    <a:prstGeom prst="rect">
                      <a:avLst/>
                    </a:prstGeom>
                  </pic:spPr>
                </pic:pic>
              </a:graphicData>
            </a:graphic>
          </wp:inline>
        </w:drawing>
      </w:r>
      <w:r w:rsidR="00857842">
        <w:rPr>
          <w:rStyle w:val="ad"/>
        </w:rPr>
        <w:footnoteReference w:id="3"/>
      </w:r>
    </w:p>
    <w:p w14:paraId="2E72FB4E" w14:textId="77777777" w:rsidR="007D555B" w:rsidRDefault="007D555B" w:rsidP="00F24011">
      <w:pPr>
        <w:pStyle w:val="PS"/>
        <w:ind w:firstLine="0"/>
        <w:jc w:val="both"/>
      </w:pPr>
    </w:p>
    <w:p w14:paraId="0C1FB85B" w14:textId="77777777" w:rsidR="007D555B" w:rsidRDefault="007D555B" w:rsidP="00CF51EC">
      <w:pPr>
        <w:pStyle w:val="PS"/>
        <w:ind w:firstLine="0"/>
        <w:jc w:val="both"/>
      </w:pPr>
      <w:r>
        <w:t xml:space="preserve">A housing loan </w:t>
      </w:r>
      <w:proofErr w:type="gramStart"/>
      <w:r>
        <w:t>is made up</w:t>
      </w:r>
      <w:r w:rsidR="00CF51EC">
        <w:t>,</w:t>
      </w:r>
      <w:proofErr w:type="gramEnd"/>
      <w:r w:rsidR="00CF51EC">
        <w:t xml:space="preserve"> in many cases, </w:t>
      </w:r>
      <w:r>
        <w:t xml:space="preserve">of numerous different </w:t>
      </w:r>
      <w:r w:rsidR="00CF51EC">
        <w:t>loans called “tracks”.</w:t>
      </w:r>
    </w:p>
    <w:p w14:paraId="37F02671" w14:textId="77777777" w:rsidR="00CF51EC" w:rsidRDefault="00CF51EC" w:rsidP="00CF51EC">
      <w:pPr>
        <w:pStyle w:val="PS"/>
        <w:ind w:firstLine="0"/>
        <w:jc w:val="both"/>
      </w:pPr>
    </w:p>
    <w:p w14:paraId="12FF9D69" w14:textId="77777777" w:rsidR="00CF51EC" w:rsidRDefault="00CF51EC" w:rsidP="00E17841">
      <w:pPr>
        <w:pStyle w:val="PS"/>
        <w:ind w:firstLine="0"/>
        <w:jc w:val="both"/>
      </w:pPr>
      <w:r w:rsidRPr="00E17841">
        <w:t xml:space="preserve">The tracks </w:t>
      </w:r>
      <w:proofErr w:type="gramStart"/>
      <w:r w:rsidRPr="00E17841">
        <w:t>are differentiated</w:t>
      </w:r>
      <w:proofErr w:type="gramEnd"/>
      <w:r w:rsidRPr="00E17841">
        <w:t xml:space="preserve"> from each other </w:t>
      </w:r>
      <w:r w:rsidR="00E17841" w:rsidRPr="00E17841">
        <w:t xml:space="preserve">by </w:t>
      </w:r>
      <w:r w:rsidRPr="00E17841">
        <w:t xml:space="preserve">several variables, such as type of interest rate, type of indexation, frequency of the interest rate changing, term of the loan, etc. In </w:t>
      </w:r>
      <w:proofErr w:type="gramStart"/>
      <w:r w:rsidRPr="00E17841">
        <w:t>Israel</w:t>
      </w:r>
      <w:proofErr w:type="gramEnd"/>
      <w:r w:rsidRPr="00E17841">
        <w:t xml:space="preserve"> there are 5 major housing-loan tracks. These tracks are included in the publication.</w:t>
      </w:r>
    </w:p>
    <w:p w14:paraId="73468F3F" w14:textId="77777777" w:rsidR="00E17841" w:rsidRDefault="00E17841" w:rsidP="00E17841">
      <w:pPr>
        <w:pStyle w:val="PS"/>
        <w:ind w:firstLine="0"/>
        <w:jc w:val="both"/>
      </w:pPr>
    </w:p>
    <w:p w14:paraId="74F25660" w14:textId="77777777" w:rsidR="00E17841" w:rsidRDefault="00E17841" w:rsidP="00BD3C72">
      <w:pPr>
        <w:pStyle w:val="PS"/>
        <w:ind w:firstLine="0"/>
        <w:jc w:val="both"/>
      </w:pPr>
      <w:r>
        <w:t xml:space="preserve">The monthly payment over the course of the loan changes in </w:t>
      </w:r>
      <w:r w:rsidR="00BD3C72">
        <w:t xml:space="preserve">all of the </w:t>
      </w:r>
      <w:r>
        <w:t>track</w:t>
      </w:r>
      <w:r w:rsidR="00BD3C72">
        <w:t>s</w:t>
      </w:r>
      <w:r>
        <w:t>, except the fixed-rate, unindexed track, in which the monthly payment is fixed. The changes in the monthly payment are determined based on the changes in the anchor interest rate and/or the Consumer Price Index (CPI) (in CPI-indexed loans).</w:t>
      </w:r>
    </w:p>
    <w:p w14:paraId="0FE88FB2" w14:textId="77777777" w:rsidR="005B7956" w:rsidRDefault="005B7956" w:rsidP="00B71941">
      <w:pPr>
        <w:pStyle w:val="PS"/>
        <w:ind w:firstLine="0"/>
        <w:jc w:val="both"/>
      </w:pPr>
    </w:p>
    <w:p w14:paraId="5665BD7E" w14:textId="77777777" w:rsidR="00CA22EE" w:rsidRDefault="00CA22EE" w:rsidP="00B71941">
      <w:pPr>
        <w:pStyle w:val="PS"/>
        <w:ind w:firstLine="0"/>
        <w:jc w:val="both"/>
        <w:rPr>
          <w:b/>
          <w:bCs/>
        </w:rPr>
      </w:pPr>
    </w:p>
    <w:p w14:paraId="67DD6C04" w14:textId="5007CD8F" w:rsidR="005B7956" w:rsidRPr="00E3635F" w:rsidRDefault="005B7956" w:rsidP="00B71941">
      <w:pPr>
        <w:pStyle w:val="PS"/>
        <w:ind w:firstLine="0"/>
        <w:jc w:val="both"/>
        <w:rPr>
          <w:b/>
          <w:bCs/>
        </w:rPr>
      </w:pPr>
      <w:bookmarkStart w:id="0" w:name="_GoBack"/>
      <w:bookmarkEnd w:id="0"/>
      <w:r w:rsidRPr="00E3635F">
        <w:rPr>
          <w:b/>
          <w:bCs/>
        </w:rPr>
        <w:lastRenderedPageBreak/>
        <w:t>3. Information on the forecast interest rate in each track</w:t>
      </w:r>
    </w:p>
    <w:p w14:paraId="3485B2D1" w14:textId="77777777" w:rsidR="00491243" w:rsidRDefault="00491243" w:rsidP="00733474">
      <w:pPr>
        <w:pStyle w:val="PS"/>
        <w:ind w:firstLine="0"/>
        <w:jc w:val="both"/>
      </w:pPr>
      <w:r>
        <w:t xml:space="preserve">In order to improve the ability to compare, </w:t>
      </w:r>
      <w:r w:rsidR="00733474">
        <w:t>we also present the interest rate offered to customers on each of the tracks. Note should be taken that the interest rate on each track is impacted by the loan composition.</w:t>
      </w:r>
    </w:p>
    <w:p w14:paraId="0829BBD8" w14:textId="77777777" w:rsidR="00E3635F" w:rsidRDefault="00E3635F" w:rsidP="00E3635F">
      <w:pPr>
        <w:pStyle w:val="PS"/>
        <w:ind w:firstLine="0"/>
        <w:jc w:val="both"/>
      </w:pPr>
      <w:r>
        <w:t>In order to improve the ability to compare, there are “filters” to compare interest rates for each of the tracks.</w:t>
      </w:r>
    </w:p>
    <w:p w14:paraId="4417FE9F" w14:textId="77777777" w:rsidR="00DB70BA" w:rsidRDefault="00DB70BA" w:rsidP="00E3635F">
      <w:pPr>
        <w:pStyle w:val="PS"/>
        <w:ind w:firstLine="0"/>
        <w:jc w:val="both"/>
      </w:pPr>
    </w:p>
    <w:p w14:paraId="678FF998" w14:textId="77777777" w:rsidR="00DB70BA" w:rsidRDefault="00DB70BA" w:rsidP="00E3635F">
      <w:pPr>
        <w:pStyle w:val="PS"/>
        <w:ind w:firstLine="0"/>
        <w:jc w:val="both"/>
      </w:pPr>
      <w:r>
        <w:t>See the example of the “Variable-rate, Unindexed, Prime”</w:t>
      </w:r>
      <w:r w:rsidR="00BD3C72">
        <w:t xml:space="preserve"> track</w:t>
      </w:r>
    </w:p>
    <w:p w14:paraId="19672246" w14:textId="77777777" w:rsidR="00DB70BA" w:rsidRDefault="00DB70BA" w:rsidP="00E3635F">
      <w:pPr>
        <w:pStyle w:val="PS"/>
        <w:ind w:firstLine="0"/>
        <w:jc w:val="both"/>
      </w:pPr>
    </w:p>
    <w:p w14:paraId="249A9A0B" w14:textId="77777777" w:rsidR="00044074" w:rsidRDefault="00044074" w:rsidP="00E3635F">
      <w:pPr>
        <w:pStyle w:val="PS"/>
        <w:ind w:firstLine="0"/>
        <w:jc w:val="both"/>
      </w:pPr>
      <w:r>
        <w:rPr>
          <w:noProof/>
          <w:lang w:bidi="he-IL"/>
        </w:rPr>
        <w:drawing>
          <wp:inline distT="0" distB="0" distL="0" distR="0" wp14:anchorId="2EB18B2A" wp14:editId="6C34A91D">
            <wp:extent cx="5274310" cy="275082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2750820"/>
                    </a:xfrm>
                    <a:prstGeom prst="rect">
                      <a:avLst/>
                    </a:prstGeom>
                  </pic:spPr>
                </pic:pic>
              </a:graphicData>
            </a:graphic>
          </wp:inline>
        </w:drawing>
      </w:r>
    </w:p>
    <w:p w14:paraId="5A145DD4" w14:textId="77777777" w:rsidR="00044074" w:rsidRDefault="00044074" w:rsidP="00E3635F">
      <w:pPr>
        <w:pStyle w:val="PS"/>
        <w:ind w:firstLine="0"/>
        <w:jc w:val="both"/>
      </w:pPr>
    </w:p>
    <w:p w14:paraId="5A6072F1" w14:textId="77777777" w:rsidR="00044074" w:rsidRDefault="00044074" w:rsidP="00E3635F">
      <w:pPr>
        <w:pStyle w:val="PS"/>
        <w:ind w:firstLine="0"/>
        <w:jc w:val="both"/>
      </w:pPr>
    </w:p>
    <w:p w14:paraId="41267B17" w14:textId="77777777" w:rsidR="00DB70BA" w:rsidRPr="002D7E25" w:rsidRDefault="00DB70BA" w:rsidP="00220C60">
      <w:pPr>
        <w:pStyle w:val="PS"/>
        <w:ind w:firstLine="0"/>
        <w:jc w:val="both"/>
      </w:pPr>
      <w:r>
        <w:t xml:space="preserve">The information </w:t>
      </w:r>
      <w:proofErr w:type="gramStart"/>
      <w:r>
        <w:t>is published</w:t>
      </w:r>
      <w:proofErr w:type="gramEnd"/>
      <w:r>
        <w:t xml:space="preserve"> on a monthly frequency, via a designated, accessible page on the Bank’s website, </w:t>
      </w:r>
      <w:r w:rsidR="00220C60">
        <w:t xml:space="preserve">which was </w:t>
      </w:r>
      <w:r>
        <w:t>developed by the Banking Supervision Department at the Bank of Israel.</w:t>
      </w:r>
    </w:p>
    <w:sectPr w:rsidR="00DB70BA" w:rsidRPr="002D7E25" w:rsidSect="00D114C9">
      <w:headerReference w:type="even" r:id="rId12"/>
      <w:headerReference w:type="default" r:id="rId13"/>
      <w:footerReference w:type="even" r:id="rId14"/>
      <w:footerReference w:type="default" r:id="rId15"/>
      <w:headerReference w:type="first" r:id="rId16"/>
      <w:footerReference w:type="first" r:id="rId17"/>
      <w:pgSz w:w="11906" w:h="16838"/>
      <w:pgMar w:top="510" w:right="1797" w:bottom="624" w:left="1797" w:header="397"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DCB4A" w14:textId="77777777" w:rsidR="000C72EF" w:rsidRDefault="000C72EF" w:rsidP="00E64B36">
      <w:r>
        <w:separator/>
      </w:r>
    </w:p>
  </w:endnote>
  <w:endnote w:type="continuationSeparator" w:id="0">
    <w:p w14:paraId="695802DE" w14:textId="77777777" w:rsidR="000C72EF" w:rsidRDefault="000C72EF" w:rsidP="00E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FDB60" w14:textId="77777777" w:rsidR="0046455D" w:rsidRDefault="0046455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09191" w14:textId="5863CDC8" w:rsidR="00B96022" w:rsidRPr="00383DD8" w:rsidRDefault="00B96022" w:rsidP="00383DD8">
    <w:pPr>
      <w:pStyle w:val="a6"/>
      <w:rPr>
        <w:rtl/>
        <w:c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771D6" w14:textId="77777777" w:rsidR="0046455D" w:rsidRDefault="004645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E7863" w14:textId="77777777" w:rsidR="000C72EF" w:rsidRDefault="000C72EF" w:rsidP="00E64B36">
      <w:r>
        <w:separator/>
      </w:r>
    </w:p>
  </w:footnote>
  <w:footnote w:type="continuationSeparator" w:id="0">
    <w:p w14:paraId="1BCAD499" w14:textId="77777777" w:rsidR="000C72EF" w:rsidRDefault="000C72EF" w:rsidP="00E64B36">
      <w:r>
        <w:continuationSeparator/>
      </w:r>
    </w:p>
  </w:footnote>
  <w:footnote w:id="1">
    <w:p w14:paraId="0C899DDE" w14:textId="77777777" w:rsidR="0042069E" w:rsidRDefault="0042069E" w:rsidP="003D13C8">
      <w:pPr>
        <w:pStyle w:val="ab"/>
        <w:spacing w:line="240" w:lineRule="auto"/>
      </w:pPr>
      <w:r>
        <w:rPr>
          <w:rStyle w:val="ad"/>
        </w:rPr>
        <w:footnoteRef/>
      </w:r>
      <w:r>
        <w:t xml:space="preserve"> The actual cost of the credit reflects the internal rate of return, which is the rate at which the present value of the future payments in respect of the credit is equal of the present value of the amount of credit, as of the calculation date. This rate incorporates several parameters: compound interest, timing differentials for dates of payments on the credit account, one-off additions paid when executing the credit, addition</w:t>
      </w:r>
      <w:r w:rsidR="003D13C8">
        <w:t xml:space="preserve">al payments </w:t>
      </w:r>
      <w:r>
        <w:t>when making regular payments</w:t>
      </w:r>
      <w:r w:rsidR="003D13C8">
        <w:t>,</w:t>
      </w:r>
      <w:r>
        <w:t xml:space="preserve"> as well as expected changes in anchors, interest rates, and inflation, in accordance with capital market forecasts derived from the yield curves.</w:t>
      </w:r>
    </w:p>
  </w:footnote>
  <w:footnote w:id="2">
    <w:p w14:paraId="167A02A0" w14:textId="77777777" w:rsidR="0001100E" w:rsidRDefault="0001100E" w:rsidP="003D13C8">
      <w:pPr>
        <w:pStyle w:val="ab"/>
        <w:spacing w:line="240" w:lineRule="auto"/>
      </w:pPr>
      <w:r>
        <w:rPr>
          <w:rStyle w:val="ad"/>
        </w:rPr>
        <w:footnoteRef/>
      </w:r>
      <w:r>
        <w:t xml:space="preserve"> </w:t>
      </w:r>
      <w:r w:rsidR="00D929CE">
        <w:t xml:space="preserve">The calculation of the </w:t>
      </w:r>
      <w:r w:rsidR="00D929CE" w:rsidRPr="002D7E25">
        <w:t>fore</w:t>
      </w:r>
      <w:r w:rsidR="00D929CE">
        <w:t>cast overall interest rate uses yield curves as of the end of the publ</w:t>
      </w:r>
      <w:r w:rsidR="003D13C8">
        <w:t xml:space="preserve">ication month </w:t>
      </w:r>
      <w:r w:rsidR="00D929CE">
        <w:t>and nets out bullet, balloon, and foreign currency loans. The calculation assumes that the period of the interest rate changing for a variable-rate, unindexed, loan (that is not prime) and a variable rate CPI-indexed loan is 5 years.</w:t>
      </w:r>
    </w:p>
  </w:footnote>
  <w:footnote w:id="3">
    <w:p w14:paraId="61C377B5" w14:textId="77777777" w:rsidR="00857842" w:rsidRDefault="00857842" w:rsidP="005879C5">
      <w:pPr>
        <w:pStyle w:val="ab"/>
        <w:spacing w:line="240" w:lineRule="auto"/>
      </w:pPr>
      <w:r>
        <w:rPr>
          <w:rStyle w:val="ad"/>
        </w:rPr>
        <w:footnoteRef/>
      </w:r>
      <w:r>
        <w:t xml:space="preserve"> All the data presented are as of </w:t>
      </w:r>
      <w:proofErr w:type="gramStart"/>
      <w:r>
        <w:t>May,</w:t>
      </w:r>
      <w:proofErr w:type="gramEnd"/>
      <w:r>
        <w:t xml:space="preserve"> 2023. Additional monthly data is collected, processed, and analyzed on days after the end of a specific month and are expected to </w:t>
      </w:r>
      <w:proofErr w:type="gramStart"/>
      <w:r>
        <w:t>be published</w:t>
      </w:r>
      <w:proofErr w:type="gramEnd"/>
      <w:r>
        <w:t xml:space="preserve"> 10–15 days after the end of the month.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77E1F" w14:textId="77777777" w:rsidR="0046455D" w:rsidRDefault="004645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3CE54" w14:textId="77777777" w:rsidR="0046455D" w:rsidRDefault="0046455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F6EAA" w14:textId="77777777" w:rsidR="0046455D" w:rsidRDefault="004645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A26"/>
    <w:multiLevelType w:val="hybridMultilevel"/>
    <w:tmpl w:val="A40E20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D6ED9"/>
    <w:multiLevelType w:val="hybridMultilevel"/>
    <w:tmpl w:val="9B741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9EE03CF"/>
    <w:multiLevelType w:val="hybridMultilevel"/>
    <w:tmpl w:val="710C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CF55FD"/>
    <w:multiLevelType w:val="hybridMultilevel"/>
    <w:tmpl w:val="1CF6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99796A"/>
    <w:multiLevelType w:val="hybridMultilevel"/>
    <w:tmpl w:val="E89AE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E95DB1"/>
    <w:multiLevelType w:val="hybridMultilevel"/>
    <w:tmpl w:val="1AB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a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D0"/>
    <w:rsid w:val="00000A06"/>
    <w:rsid w:val="00007FFE"/>
    <w:rsid w:val="0001100E"/>
    <w:rsid w:val="0001385E"/>
    <w:rsid w:val="0001413F"/>
    <w:rsid w:val="00022DA8"/>
    <w:rsid w:val="00033569"/>
    <w:rsid w:val="00044074"/>
    <w:rsid w:val="00051247"/>
    <w:rsid w:val="000526A0"/>
    <w:rsid w:val="000549CD"/>
    <w:rsid w:val="0005726E"/>
    <w:rsid w:val="00065D9C"/>
    <w:rsid w:val="000A520E"/>
    <w:rsid w:val="000C710C"/>
    <w:rsid w:val="000C72EF"/>
    <w:rsid w:val="000D4E65"/>
    <w:rsid w:val="000F48F6"/>
    <w:rsid w:val="000F4BF2"/>
    <w:rsid w:val="001001A2"/>
    <w:rsid w:val="00101B55"/>
    <w:rsid w:val="00130245"/>
    <w:rsid w:val="001428C4"/>
    <w:rsid w:val="00143F3A"/>
    <w:rsid w:val="001467E0"/>
    <w:rsid w:val="00151D84"/>
    <w:rsid w:val="00155037"/>
    <w:rsid w:val="00160B25"/>
    <w:rsid w:val="00162F5E"/>
    <w:rsid w:val="00165CB6"/>
    <w:rsid w:val="00175CDA"/>
    <w:rsid w:val="00180F22"/>
    <w:rsid w:val="001815E1"/>
    <w:rsid w:val="00182CF0"/>
    <w:rsid w:val="001963C6"/>
    <w:rsid w:val="001A4816"/>
    <w:rsid w:val="001B4E73"/>
    <w:rsid w:val="001C1BC1"/>
    <w:rsid w:val="001C388F"/>
    <w:rsid w:val="001C71E8"/>
    <w:rsid w:val="001D381C"/>
    <w:rsid w:val="001F57DE"/>
    <w:rsid w:val="00202E77"/>
    <w:rsid w:val="002117DC"/>
    <w:rsid w:val="0021327F"/>
    <w:rsid w:val="00220C60"/>
    <w:rsid w:val="002235F5"/>
    <w:rsid w:val="002271A2"/>
    <w:rsid w:val="00231F42"/>
    <w:rsid w:val="00237CE5"/>
    <w:rsid w:val="00247387"/>
    <w:rsid w:val="00252C62"/>
    <w:rsid w:val="00273AE1"/>
    <w:rsid w:val="00281C70"/>
    <w:rsid w:val="00283FB7"/>
    <w:rsid w:val="0029640A"/>
    <w:rsid w:val="00297100"/>
    <w:rsid w:val="002A0D2A"/>
    <w:rsid w:val="002B48CC"/>
    <w:rsid w:val="002C6A25"/>
    <w:rsid w:val="002D7E25"/>
    <w:rsid w:val="002E416E"/>
    <w:rsid w:val="002F4149"/>
    <w:rsid w:val="002F7EEF"/>
    <w:rsid w:val="0030279B"/>
    <w:rsid w:val="003129D6"/>
    <w:rsid w:val="003136EE"/>
    <w:rsid w:val="00321832"/>
    <w:rsid w:val="00322C28"/>
    <w:rsid w:val="003276ED"/>
    <w:rsid w:val="003365E0"/>
    <w:rsid w:val="00344E60"/>
    <w:rsid w:val="00360B5C"/>
    <w:rsid w:val="00364AF8"/>
    <w:rsid w:val="00364C08"/>
    <w:rsid w:val="00371527"/>
    <w:rsid w:val="003727EE"/>
    <w:rsid w:val="003772AF"/>
    <w:rsid w:val="00383DD8"/>
    <w:rsid w:val="00385CB3"/>
    <w:rsid w:val="00387840"/>
    <w:rsid w:val="0039059D"/>
    <w:rsid w:val="00390CA5"/>
    <w:rsid w:val="0039566F"/>
    <w:rsid w:val="003A1AC9"/>
    <w:rsid w:val="003A335C"/>
    <w:rsid w:val="003A3813"/>
    <w:rsid w:val="003B4DD7"/>
    <w:rsid w:val="003B715F"/>
    <w:rsid w:val="003B7DC3"/>
    <w:rsid w:val="003C7815"/>
    <w:rsid w:val="003D13C8"/>
    <w:rsid w:val="003D6F31"/>
    <w:rsid w:val="003D7860"/>
    <w:rsid w:val="003D7BF1"/>
    <w:rsid w:val="003E3F4C"/>
    <w:rsid w:val="003F745D"/>
    <w:rsid w:val="00401395"/>
    <w:rsid w:val="004033B8"/>
    <w:rsid w:val="00403D99"/>
    <w:rsid w:val="00411BA4"/>
    <w:rsid w:val="00412846"/>
    <w:rsid w:val="00413339"/>
    <w:rsid w:val="004147FC"/>
    <w:rsid w:val="0042069E"/>
    <w:rsid w:val="0042309E"/>
    <w:rsid w:val="00430365"/>
    <w:rsid w:val="004309C6"/>
    <w:rsid w:val="00443044"/>
    <w:rsid w:val="00445B15"/>
    <w:rsid w:val="00447E5A"/>
    <w:rsid w:val="00460ED2"/>
    <w:rsid w:val="0046455D"/>
    <w:rsid w:val="0046672E"/>
    <w:rsid w:val="00474107"/>
    <w:rsid w:val="00482E08"/>
    <w:rsid w:val="00491243"/>
    <w:rsid w:val="00492391"/>
    <w:rsid w:val="004A20A5"/>
    <w:rsid w:val="004D02F4"/>
    <w:rsid w:val="004D32A7"/>
    <w:rsid w:val="004D5D6F"/>
    <w:rsid w:val="004E25DD"/>
    <w:rsid w:val="004E4AEC"/>
    <w:rsid w:val="004F4341"/>
    <w:rsid w:val="0050183E"/>
    <w:rsid w:val="00513B3C"/>
    <w:rsid w:val="005165DB"/>
    <w:rsid w:val="005221FC"/>
    <w:rsid w:val="005406F8"/>
    <w:rsid w:val="00540B03"/>
    <w:rsid w:val="005462D0"/>
    <w:rsid w:val="0055455A"/>
    <w:rsid w:val="00555C8A"/>
    <w:rsid w:val="005576E1"/>
    <w:rsid w:val="00566FAC"/>
    <w:rsid w:val="00567733"/>
    <w:rsid w:val="005713A8"/>
    <w:rsid w:val="00583DAD"/>
    <w:rsid w:val="005879C5"/>
    <w:rsid w:val="0059277F"/>
    <w:rsid w:val="00592A99"/>
    <w:rsid w:val="00596FB4"/>
    <w:rsid w:val="00597EED"/>
    <w:rsid w:val="005A2991"/>
    <w:rsid w:val="005B7956"/>
    <w:rsid w:val="005D0463"/>
    <w:rsid w:val="005D0AF8"/>
    <w:rsid w:val="005F3A83"/>
    <w:rsid w:val="005F3E47"/>
    <w:rsid w:val="0060215A"/>
    <w:rsid w:val="0061692C"/>
    <w:rsid w:val="006216F9"/>
    <w:rsid w:val="00621BB5"/>
    <w:rsid w:val="0062658F"/>
    <w:rsid w:val="00640EEA"/>
    <w:rsid w:val="0064482B"/>
    <w:rsid w:val="00652D53"/>
    <w:rsid w:val="00662FB1"/>
    <w:rsid w:val="0067516F"/>
    <w:rsid w:val="006832D0"/>
    <w:rsid w:val="006A36CC"/>
    <w:rsid w:val="006A66C5"/>
    <w:rsid w:val="006B029C"/>
    <w:rsid w:val="006B4683"/>
    <w:rsid w:val="006B5BA9"/>
    <w:rsid w:val="006B679C"/>
    <w:rsid w:val="006C714C"/>
    <w:rsid w:val="006D3582"/>
    <w:rsid w:val="006D7651"/>
    <w:rsid w:val="006E1B6A"/>
    <w:rsid w:val="0070010B"/>
    <w:rsid w:val="0070029F"/>
    <w:rsid w:val="00701734"/>
    <w:rsid w:val="00721560"/>
    <w:rsid w:val="00726036"/>
    <w:rsid w:val="00733474"/>
    <w:rsid w:val="0074341E"/>
    <w:rsid w:val="00751F08"/>
    <w:rsid w:val="00760371"/>
    <w:rsid w:val="007666A8"/>
    <w:rsid w:val="00776535"/>
    <w:rsid w:val="007806C5"/>
    <w:rsid w:val="00786563"/>
    <w:rsid w:val="00787142"/>
    <w:rsid w:val="007926C7"/>
    <w:rsid w:val="00793399"/>
    <w:rsid w:val="007A2030"/>
    <w:rsid w:val="007A589B"/>
    <w:rsid w:val="007A64CC"/>
    <w:rsid w:val="007B2769"/>
    <w:rsid w:val="007C6400"/>
    <w:rsid w:val="007D555B"/>
    <w:rsid w:val="007D57EE"/>
    <w:rsid w:val="007E0C1F"/>
    <w:rsid w:val="007E1CB3"/>
    <w:rsid w:val="007F7993"/>
    <w:rsid w:val="00804DDE"/>
    <w:rsid w:val="0081026B"/>
    <w:rsid w:val="008238E7"/>
    <w:rsid w:val="00830099"/>
    <w:rsid w:val="008403F1"/>
    <w:rsid w:val="00842057"/>
    <w:rsid w:val="00842BAF"/>
    <w:rsid w:val="00857842"/>
    <w:rsid w:val="0086005B"/>
    <w:rsid w:val="00864C55"/>
    <w:rsid w:val="0086637C"/>
    <w:rsid w:val="00884167"/>
    <w:rsid w:val="008914B1"/>
    <w:rsid w:val="00892A46"/>
    <w:rsid w:val="008A7212"/>
    <w:rsid w:val="008B2431"/>
    <w:rsid w:val="008B257A"/>
    <w:rsid w:val="008C029C"/>
    <w:rsid w:val="008C082F"/>
    <w:rsid w:val="008C366C"/>
    <w:rsid w:val="008D390B"/>
    <w:rsid w:val="008D6FB6"/>
    <w:rsid w:val="008E38F1"/>
    <w:rsid w:val="008E4D8E"/>
    <w:rsid w:val="008E5624"/>
    <w:rsid w:val="008F17A3"/>
    <w:rsid w:val="008F1FCF"/>
    <w:rsid w:val="00900453"/>
    <w:rsid w:val="00904100"/>
    <w:rsid w:val="0090462E"/>
    <w:rsid w:val="00905463"/>
    <w:rsid w:val="0091307F"/>
    <w:rsid w:val="00927315"/>
    <w:rsid w:val="00933EF4"/>
    <w:rsid w:val="0093574D"/>
    <w:rsid w:val="00961BD6"/>
    <w:rsid w:val="0097278E"/>
    <w:rsid w:val="009744A0"/>
    <w:rsid w:val="00976781"/>
    <w:rsid w:val="00986270"/>
    <w:rsid w:val="009B166B"/>
    <w:rsid w:val="009B66C8"/>
    <w:rsid w:val="009C21B3"/>
    <w:rsid w:val="009C2C42"/>
    <w:rsid w:val="009E3D4E"/>
    <w:rsid w:val="009E6A28"/>
    <w:rsid w:val="009F010F"/>
    <w:rsid w:val="009F3FB7"/>
    <w:rsid w:val="00A117D2"/>
    <w:rsid w:val="00A17420"/>
    <w:rsid w:val="00A239A7"/>
    <w:rsid w:val="00A3549C"/>
    <w:rsid w:val="00A374AC"/>
    <w:rsid w:val="00A37869"/>
    <w:rsid w:val="00A44A88"/>
    <w:rsid w:val="00A72122"/>
    <w:rsid w:val="00A74752"/>
    <w:rsid w:val="00A749E1"/>
    <w:rsid w:val="00A81B6C"/>
    <w:rsid w:val="00A94775"/>
    <w:rsid w:val="00AB75B4"/>
    <w:rsid w:val="00AC74EC"/>
    <w:rsid w:val="00AD7CC8"/>
    <w:rsid w:val="00AE6E25"/>
    <w:rsid w:val="00AF6B3A"/>
    <w:rsid w:val="00B054AD"/>
    <w:rsid w:val="00B108AE"/>
    <w:rsid w:val="00B13C9D"/>
    <w:rsid w:val="00B2426C"/>
    <w:rsid w:val="00B40E49"/>
    <w:rsid w:val="00B533D5"/>
    <w:rsid w:val="00B54F09"/>
    <w:rsid w:val="00B71941"/>
    <w:rsid w:val="00B71972"/>
    <w:rsid w:val="00B84789"/>
    <w:rsid w:val="00B85769"/>
    <w:rsid w:val="00B87F00"/>
    <w:rsid w:val="00B9176B"/>
    <w:rsid w:val="00B96022"/>
    <w:rsid w:val="00BC113A"/>
    <w:rsid w:val="00BC71FF"/>
    <w:rsid w:val="00BD0FFD"/>
    <w:rsid w:val="00BD3C72"/>
    <w:rsid w:val="00BE27B4"/>
    <w:rsid w:val="00BE4CAF"/>
    <w:rsid w:val="00BE52BF"/>
    <w:rsid w:val="00C00BB8"/>
    <w:rsid w:val="00C02233"/>
    <w:rsid w:val="00C05BED"/>
    <w:rsid w:val="00C106C2"/>
    <w:rsid w:val="00C15121"/>
    <w:rsid w:val="00C171FF"/>
    <w:rsid w:val="00C21009"/>
    <w:rsid w:val="00C21363"/>
    <w:rsid w:val="00C2294B"/>
    <w:rsid w:val="00C269DA"/>
    <w:rsid w:val="00C37129"/>
    <w:rsid w:val="00C47A56"/>
    <w:rsid w:val="00C52224"/>
    <w:rsid w:val="00C52FC2"/>
    <w:rsid w:val="00C5755A"/>
    <w:rsid w:val="00C67CE0"/>
    <w:rsid w:val="00C74F11"/>
    <w:rsid w:val="00C7643D"/>
    <w:rsid w:val="00C76E10"/>
    <w:rsid w:val="00CA22EE"/>
    <w:rsid w:val="00CB5D78"/>
    <w:rsid w:val="00CC3D87"/>
    <w:rsid w:val="00CC58F8"/>
    <w:rsid w:val="00CD0A35"/>
    <w:rsid w:val="00CD5F91"/>
    <w:rsid w:val="00CD6927"/>
    <w:rsid w:val="00CE0B40"/>
    <w:rsid w:val="00CF51EC"/>
    <w:rsid w:val="00D040A2"/>
    <w:rsid w:val="00D114C9"/>
    <w:rsid w:val="00D13C47"/>
    <w:rsid w:val="00D21685"/>
    <w:rsid w:val="00D318A3"/>
    <w:rsid w:val="00D326DC"/>
    <w:rsid w:val="00D353EC"/>
    <w:rsid w:val="00D354E8"/>
    <w:rsid w:val="00D44122"/>
    <w:rsid w:val="00D554DA"/>
    <w:rsid w:val="00D60BFC"/>
    <w:rsid w:val="00D60FF3"/>
    <w:rsid w:val="00D655F5"/>
    <w:rsid w:val="00D67C46"/>
    <w:rsid w:val="00D70591"/>
    <w:rsid w:val="00D75CFB"/>
    <w:rsid w:val="00D77847"/>
    <w:rsid w:val="00D907A2"/>
    <w:rsid w:val="00D929CE"/>
    <w:rsid w:val="00DA6116"/>
    <w:rsid w:val="00DB70BA"/>
    <w:rsid w:val="00DD195D"/>
    <w:rsid w:val="00DD4976"/>
    <w:rsid w:val="00DE01A0"/>
    <w:rsid w:val="00DE0699"/>
    <w:rsid w:val="00DF4CC2"/>
    <w:rsid w:val="00DF6966"/>
    <w:rsid w:val="00E04222"/>
    <w:rsid w:val="00E0503C"/>
    <w:rsid w:val="00E1281F"/>
    <w:rsid w:val="00E16FFB"/>
    <w:rsid w:val="00E17841"/>
    <w:rsid w:val="00E2493A"/>
    <w:rsid w:val="00E3635F"/>
    <w:rsid w:val="00E369B9"/>
    <w:rsid w:val="00E4365F"/>
    <w:rsid w:val="00E50F50"/>
    <w:rsid w:val="00E51E99"/>
    <w:rsid w:val="00E64B36"/>
    <w:rsid w:val="00E660F1"/>
    <w:rsid w:val="00E7204F"/>
    <w:rsid w:val="00E74DBF"/>
    <w:rsid w:val="00E8008F"/>
    <w:rsid w:val="00E8413B"/>
    <w:rsid w:val="00E85DB1"/>
    <w:rsid w:val="00EB0782"/>
    <w:rsid w:val="00EB0DEC"/>
    <w:rsid w:val="00EB44F5"/>
    <w:rsid w:val="00EB669A"/>
    <w:rsid w:val="00EC126C"/>
    <w:rsid w:val="00EC13FB"/>
    <w:rsid w:val="00EC48D4"/>
    <w:rsid w:val="00ED5226"/>
    <w:rsid w:val="00EE2AA0"/>
    <w:rsid w:val="00EE3596"/>
    <w:rsid w:val="00EF1554"/>
    <w:rsid w:val="00EF1AC2"/>
    <w:rsid w:val="00F033FC"/>
    <w:rsid w:val="00F15E93"/>
    <w:rsid w:val="00F15F3F"/>
    <w:rsid w:val="00F24011"/>
    <w:rsid w:val="00F45181"/>
    <w:rsid w:val="00F45972"/>
    <w:rsid w:val="00F51F54"/>
    <w:rsid w:val="00F53236"/>
    <w:rsid w:val="00F56917"/>
    <w:rsid w:val="00F576F6"/>
    <w:rsid w:val="00F806F6"/>
    <w:rsid w:val="00FA13BA"/>
    <w:rsid w:val="00FA4548"/>
    <w:rsid w:val="00FB3471"/>
    <w:rsid w:val="00FC2A67"/>
    <w:rsid w:val="00FF5D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F3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62D0"/>
    <w:pPr>
      <w:tabs>
        <w:tab w:val="center" w:pos="4153"/>
        <w:tab w:val="right" w:pos="8306"/>
      </w:tabs>
    </w:pPr>
  </w:style>
  <w:style w:type="paragraph" w:customStyle="1" w:styleId="regpar">
    <w:name w:val="regpar"/>
    <w:basedOn w:val="a"/>
    <w:rsid w:val="005462D0"/>
    <w:pPr>
      <w:bidi w:val="0"/>
      <w:spacing w:line="300" w:lineRule="exact"/>
      <w:ind w:firstLine="240"/>
      <w:jc w:val="both"/>
    </w:pPr>
    <w:rPr>
      <w:rFonts w:ascii="Times" w:hAnsi="Times" w:cs="Times"/>
    </w:rPr>
  </w:style>
  <w:style w:type="table" w:styleId="a5">
    <w:name w:val="Table Theme"/>
    <w:basedOn w:val="a1"/>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rsid w:val="00596FB4"/>
    <w:rPr>
      <w:rFonts w:ascii="Times" w:hAnsi="Times" w:cs="Times"/>
    </w:rPr>
  </w:style>
  <w:style w:type="character" w:styleId="ad">
    <w:name w:val="footnote reference"/>
    <w:unhideWhenUsed/>
    <w:rsid w:val="00596FB4"/>
    <w:rPr>
      <w:vertAlign w:val="superscript"/>
    </w:rPr>
  </w:style>
  <w:style w:type="paragraph" w:customStyle="1" w:styleId="PS">
    <w:name w:val="PS"/>
    <w:basedOn w:val="a"/>
    <w:rsid w:val="00A3549C"/>
    <w:pPr>
      <w:bidi w:val="0"/>
      <w:ind w:firstLine="432"/>
    </w:pPr>
    <w:rPr>
      <w:szCs w:val="20"/>
      <w:lang w:bidi="ar-SA"/>
    </w:rPr>
  </w:style>
  <w:style w:type="character" w:styleId="ae">
    <w:name w:val="annotation reference"/>
    <w:basedOn w:val="a0"/>
    <w:semiHidden/>
    <w:unhideWhenUsed/>
    <w:rsid w:val="00460ED2"/>
    <w:rPr>
      <w:sz w:val="16"/>
      <w:szCs w:val="16"/>
    </w:rPr>
  </w:style>
  <w:style w:type="paragraph" w:styleId="af">
    <w:name w:val="annotation text"/>
    <w:basedOn w:val="a"/>
    <w:link w:val="af0"/>
    <w:semiHidden/>
    <w:unhideWhenUsed/>
    <w:rsid w:val="00460ED2"/>
    <w:rPr>
      <w:sz w:val="20"/>
      <w:szCs w:val="20"/>
    </w:rPr>
  </w:style>
  <w:style w:type="character" w:customStyle="1" w:styleId="af0">
    <w:name w:val="טקסט הערה תו"/>
    <w:basedOn w:val="a0"/>
    <w:link w:val="af"/>
    <w:semiHidden/>
    <w:rsid w:val="00460ED2"/>
  </w:style>
  <w:style w:type="paragraph" w:styleId="af1">
    <w:name w:val="annotation subject"/>
    <w:basedOn w:val="af"/>
    <w:next w:val="af"/>
    <w:link w:val="af2"/>
    <w:semiHidden/>
    <w:unhideWhenUsed/>
    <w:rsid w:val="00460ED2"/>
    <w:rPr>
      <w:b/>
      <w:bCs/>
    </w:rPr>
  </w:style>
  <w:style w:type="character" w:customStyle="1" w:styleId="af2">
    <w:name w:val="נושא הערה תו"/>
    <w:basedOn w:val="af0"/>
    <w:link w:val="af1"/>
    <w:semiHidden/>
    <w:rsid w:val="00460E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79198-75A8-4C5F-A83F-C586DA7D2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3125</Characters>
  <Application>Microsoft Office Word</Application>
  <DocSecurity>0</DocSecurity>
  <Lines>26</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3712</CharactersWithSpaces>
  <SharedDoc>false</SharedDoc>
  <HLinks>
    <vt:vector size="6" baseType="variant">
      <vt:variant>
        <vt:i4>4980745</vt:i4>
      </vt:variant>
      <vt:variant>
        <vt:i4>0</vt:i4>
      </vt:variant>
      <vt:variant>
        <vt:i4>0</vt:i4>
      </vt:variant>
      <vt:variant>
        <vt:i4>5</vt:i4>
      </vt:variant>
      <vt:variant>
        <vt:lpwstr>http://www.boi.org.il/en/Research/Pages/ind.aspx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2023-07-19T07:10:00Z</dcterms:created>
  <dcterms:modified xsi:type="dcterms:W3CDTF">2023-07-19T07:10:00Z</dcterms:modified>
</cp:coreProperties>
</file>