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F3E" w:rsidRDefault="00821CB5" w:rsidP="00821CB5">
      <w:pPr>
        <w:pStyle w:val="regpar"/>
        <w:spacing w:line="300" w:lineRule="atLeast"/>
        <w:ind w:firstLine="0"/>
        <w:jc w:val="center"/>
        <w:rPr>
          <w:rFonts w:ascii="Times New Roman" w:hAnsi="Times New Roman" w:cs="David"/>
          <w:bCs/>
        </w:rPr>
      </w:pPr>
      <w:r>
        <w:rPr>
          <w:noProof/>
        </w:rPr>
        <w:drawing>
          <wp:inline distT="0" distB="0" distL="0" distR="0" wp14:anchorId="79E962CA" wp14:editId="2DE0B443">
            <wp:extent cx="1327785" cy="1327785"/>
            <wp:effectExtent l="0" t="0" r="5715" b="5715"/>
            <wp:docPr id="1" name="Picture 1" descr="\\portals\DavWWWRoot\sites\boi\about\Mitug\DocList\Logo Bank of Israel 2 color\Logo Bank of Israel 2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s\DavWWWRoot\sites\boi\about\Mitug\DocList\Logo Bank of Israel 2 color\Logo Bank of Israel 2 colo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7785" cy="1327785"/>
                    </a:xfrm>
                    <a:prstGeom prst="rect">
                      <a:avLst/>
                    </a:prstGeom>
                    <a:noFill/>
                    <a:ln>
                      <a:noFill/>
                    </a:ln>
                  </pic:spPr>
                </pic:pic>
              </a:graphicData>
            </a:graphic>
          </wp:inline>
        </w:drawing>
      </w:r>
    </w:p>
    <w:p w:rsidR="00445F3E" w:rsidRDefault="00445F3E" w:rsidP="00A60E0E">
      <w:pPr>
        <w:pStyle w:val="regpar"/>
        <w:spacing w:line="300" w:lineRule="atLeast"/>
        <w:ind w:firstLine="0"/>
        <w:jc w:val="center"/>
        <w:rPr>
          <w:rFonts w:ascii="Times New Roman" w:hAnsi="Times New Roman" w:cs="David"/>
          <w:bCs/>
        </w:rPr>
      </w:pPr>
    </w:p>
    <w:p w:rsidR="00650B9A" w:rsidRPr="00821CB5" w:rsidRDefault="00650B9A" w:rsidP="00A60E0E">
      <w:pPr>
        <w:pStyle w:val="regpar"/>
        <w:spacing w:line="300" w:lineRule="atLeast"/>
        <w:ind w:firstLine="0"/>
        <w:jc w:val="center"/>
        <w:rPr>
          <w:rFonts w:asciiTheme="minorBidi" w:hAnsiTheme="minorBidi" w:cstheme="minorBidi"/>
          <w:bCs/>
        </w:rPr>
      </w:pPr>
      <w:r w:rsidRPr="00821CB5">
        <w:rPr>
          <w:rFonts w:asciiTheme="minorBidi" w:hAnsiTheme="minorBidi" w:cstheme="minorBidi"/>
          <w:bCs/>
        </w:rPr>
        <w:t>BANK OF ISRAEL</w:t>
      </w:r>
    </w:p>
    <w:p w:rsidR="00650B9A" w:rsidRPr="00821CB5" w:rsidRDefault="00650B9A" w:rsidP="0009048D">
      <w:pPr>
        <w:pStyle w:val="regpar"/>
        <w:spacing w:line="300" w:lineRule="atLeast"/>
        <w:ind w:firstLine="0"/>
        <w:jc w:val="center"/>
        <w:rPr>
          <w:rFonts w:asciiTheme="minorBidi" w:hAnsiTheme="minorBidi" w:cstheme="minorBidi"/>
        </w:rPr>
      </w:pPr>
      <w:r w:rsidRPr="00821CB5">
        <w:rPr>
          <w:rFonts w:asciiTheme="minorBidi" w:hAnsiTheme="minorBidi" w:cstheme="minorBidi"/>
        </w:rPr>
        <w:t xml:space="preserve">Office of the </w:t>
      </w:r>
      <w:r w:rsidR="0009048D" w:rsidRPr="00821CB5">
        <w:rPr>
          <w:rFonts w:asciiTheme="minorBidi" w:hAnsiTheme="minorBidi" w:cstheme="minorBidi"/>
        </w:rPr>
        <w:t>Spokesperson and Economic Information</w:t>
      </w:r>
    </w:p>
    <w:p w:rsidR="0009048D" w:rsidRPr="00821CB5" w:rsidRDefault="0009048D" w:rsidP="0009048D">
      <w:pPr>
        <w:pStyle w:val="regpar"/>
        <w:spacing w:line="300" w:lineRule="atLeast"/>
        <w:ind w:firstLine="0"/>
        <w:jc w:val="center"/>
        <w:rPr>
          <w:rFonts w:asciiTheme="minorBidi" w:hAnsiTheme="minorBidi" w:cstheme="minorBidi"/>
        </w:rPr>
      </w:pPr>
    </w:p>
    <w:p w:rsidR="00DD0AB5" w:rsidRPr="00821CB5" w:rsidRDefault="00821CB5" w:rsidP="00A60E0E">
      <w:pPr>
        <w:pStyle w:val="regpar"/>
        <w:spacing w:line="300" w:lineRule="atLeast"/>
        <w:ind w:firstLine="0"/>
        <w:jc w:val="center"/>
        <w:rPr>
          <w:rFonts w:asciiTheme="minorBidi" w:hAnsiTheme="minorBidi" w:cstheme="minorBidi"/>
          <w:bCs/>
        </w:rPr>
      </w:pPr>
      <w:r w:rsidRPr="00821CB5">
        <w:rPr>
          <w:rFonts w:asciiTheme="minorBidi" w:hAnsiTheme="minorBidi" w:cstheme="minorBidi"/>
          <w:bCs/>
        </w:rPr>
        <w:t>Press Release</w:t>
      </w:r>
    </w:p>
    <w:p w:rsidR="007617BD" w:rsidRPr="00821CB5" w:rsidRDefault="00697F53" w:rsidP="00445F3E">
      <w:pPr>
        <w:pStyle w:val="regpar"/>
        <w:jc w:val="right"/>
        <w:rPr>
          <w:rFonts w:ascii="Segoe UI" w:hAnsi="Segoe UI" w:cs="Segoe UI"/>
          <w:sz w:val="22"/>
          <w:szCs w:val="22"/>
        </w:rPr>
      </w:pPr>
      <w:r>
        <w:rPr>
          <w:rFonts w:ascii="Segoe UI" w:hAnsi="Segoe UI" w:cs="Segoe UI"/>
          <w:sz w:val="22"/>
          <w:szCs w:val="22"/>
        </w:rPr>
        <w:t>July 1</w:t>
      </w:r>
      <w:r w:rsidR="00821CB5" w:rsidRPr="00821CB5">
        <w:rPr>
          <w:rFonts w:ascii="Segoe UI" w:hAnsi="Segoe UI" w:cs="Segoe UI"/>
          <w:sz w:val="22"/>
          <w:szCs w:val="22"/>
        </w:rPr>
        <w:t>, 2026</w:t>
      </w:r>
    </w:p>
    <w:p w:rsidR="00F23C43" w:rsidRDefault="00F23C43" w:rsidP="00F23C43">
      <w:pPr>
        <w:pStyle w:val="regpar"/>
      </w:pPr>
    </w:p>
    <w:p w:rsidR="00D00CF7" w:rsidRDefault="00D00CF7" w:rsidP="00D00CF7">
      <w:pPr>
        <w:pStyle w:val="regpar"/>
        <w:jc w:val="center"/>
        <w:rPr>
          <w:b/>
          <w:bCs/>
          <w:sz w:val="26"/>
          <w:szCs w:val="26"/>
        </w:rPr>
      </w:pPr>
    </w:p>
    <w:p w:rsidR="00697F53" w:rsidRDefault="00697F53" w:rsidP="00697F53">
      <w:pPr>
        <w:pStyle w:val="regpar"/>
        <w:ind w:firstLine="0"/>
        <w:jc w:val="center"/>
        <w:rPr>
          <w:rFonts w:ascii="Segoe UI" w:hAnsi="Segoe UI" w:cs="Segoe UI"/>
          <w:b/>
          <w:bCs/>
          <w:sz w:val="22"/>
          <w:szCs w:val="22"/>
        </w:rPr>
      </w:pPr>
      <w:r>
        <w:rPr>
          <w:rFonts w:ascii="Segoe UI" w:hAnsi="Segoe UI" w:cs="Segoe UI"/>
          <w:b/>
          <w:bCs/>
          <w:sz w:val="22"/>
          <w:szCs w:val="22"/>
        </w:rPr>
        <w:t xml:space="preserve">Another step in expanding access to the payment systems for nonbank </w:t>
      </w:r>
      <w:r w:rsidRPr="00C40CF8">
        <w:rPr>
          <w:rFonts w:ascii="Segoe UI" w:hAnsi="Segoe UI" w:cs="Segoe UI"/>
          <w:b/>
          <w:bCs/>
          <w:sz w:val="22"/>
          <w:szCs w:val="22"/>
        </w:rPr>
        <w:t>participants</w:t>
      </w:r>
      <w:r>
        <w:rPr>
          <w:rFonts w:ascii="Segoe UI" w:hAnsi="Segoe UI" w:cs="Segoe UI"/>
          <w:b/>
          <w:bCs/>
          <w:sz w:val="22"/>
          <w:szCs w:val="22"/>
        </w:rPr>
        <w:t xml:space="preserve"> and to increase competition in the financial system:</w:t>
      </w:r>
    </w:p>
    <w:p w:rsidR="00697F53" w:rsidRPr="00697F53" w:rsidRDefault="00697F53" w:rsidP="0062515B">
      <w:pPr>
        <w:pStyle w:val="regpar"/>
        <w:ind w:firstLine="0"/>
        <w:jc w:val="center"/>
        <w:rPr>
          <w:rFonts w:ascii="Segoe UI" w:hAnsi="Segoe UI" w:cs="Segoe UI"/>
          <w:sz w:val="22"/>
          <w:szCs w:val="22"/>
        </w:rPr>
      </w:pPr>
      <w:r>
        <w:rPr>
          <w:rFonts w:ascii="Segoe UI" w:hAnsi="Segoe UI" w:cs="Segoe UI"/>
          <w:b/>
          <w:bCs/>
          <w:sz w:val="22"/>
          <w:szCs w:val="22"/>
        </w:rPr>
        <w:t xml:space="preserve">The </w:t>
      </w:r>
      <w:r w:rsidRPr="00697F53">
        <w:rPr>
          <w:rFonts w:ascii="Segoe UI" w:hAnsi="Segoe UI" w:cs="Segoe UI"/>
          <w:b/>
          <w:bCs/>
          <w:sz w:val="22"/>
          <w:szCs w:val="22"/>
        </w:rPr>
        <w:t xml:space="preserve">Bank of Israel </w:t>
      </w:r>
      <w:r>
        <w:rPr>
          <w:rFonts w:ascii="Segoe UI" w:hAnsi="Segoe UI" w:cs="Segoe UI"/>
          <w:b/>
          <w:bCs/>
          <w:sz w:val="22"/>
          <w:szCs w:val="22"/>
        </w:rPr>
        <w:t>is a</w:t>
      </w:r>
      <w:r w:rsidRPr="00697F53">
        <w:rPr>
          <w:rFonts w:ascii="Segoe UI" w:hAnsi="Segoe UI" w:cs="Segoe UI"/>
          <w:b/>
          <w:bCs/>
          <w:sz w:val="22"/>
          <w:szCs w:val="22"/>
        </w:rPr>
        <w:t>llow</w:t>
      </w:r>
      <w:r>
        <w:rPr>
          <w:rFonts w:ascii="Segoe UI" w:hAnsi="Segoe UI" w:cs="Segoe UI"/>
          <w:b/>
          <w:bCs/>
          <w:sz w:val="22"/>
          <w:szCs w:val="22"/>
        </w:rPr>
        <w:t>ing</w:t>
      </w:r>
      <w:r w:rsidRPr="00697F53">
        <w:rPr>
          <w:rFonts w:ascii="Segoe UI" w:hAnsi="Segoe UI" w:cs="Segoe UI"/>
          <w:b/>
          <w:bCs/>
          <w:sz w:val="22"/>
          <w:szCs w:val="22"/>
        </w:rPr>
        <w:t xml:space="preserve"> </w:t>
      </w:r>
      <w:r>
        <w:rPr>
          <w:rFonts w:ascii="Segoe UI" w:hAnsi="Segoe UI" w:cs="Segoe UI"/>
          <w:b/>
          <w:bCs/>
          <w:sz w:val="22"/>
          <w:szCs w:val="22"/>
        </w:rPr>
        <w:t>l</w:t>
      </w:r>
      <w:r w:rsidRPr="00697F53">
        <w:rPr>
          <w:rFonts w:ascii="Segoe UI" w:hAnsi="Segoe UI" w:cs="Segoe UI"/>
          <w:b/>
          <w:bCs/>
          <w:sz w:val="22"/>
          <w:szCs w:val="22"/>
        </w:rPr>
        <w:t xml:space="preserve">icensed </w:t>
      </w:r>
      <w:r>
        <w:rPr>
          <w:rFonts w:ascii="Segoe UI" w:hAnsi="Segoe UI" w:cs="Segoe UI"/>
          <w:b/>
          <w:bCs/>
          <w:sz w:val="22"/>
          <w:szCs w:val="22"/>
        </w:rPr>
        <w:t>n</w:t>
      </w:r>
      <w:r w:rsidRPr="00697F53">
        <w:rPr>
          <w:rFonts w:ascii="Segoe UI" w:hAnsi="Segoe UI" w:cs="Segoe UI"/>
          <w:b/>
          <w:bCs/>
          <w:sz w:val="22"/>
          <w:szCs w:val="22"/>
        </w:rPr>
        <w:t>on</w:t>
      </w:r>
      <w:r>
        <w:rPr>
          <w:rFonts w:ascii="Segoe UI" w:hAnsi="Segoe UI" w:cs="Segoe UI"/>
          <w:b/>
          <w:bCs/>
          <w:sz w:val="22"/>
          <w:szCs w:val="22"/>
        </w:rPr>
        <w:t>b</w:t>
      </w:r>
      <w:r w:rsidRPr="00697F53">
        <w:rPr>
          <w:rFonts w:ascii="Segoe UI" w:hAnsi="Segoe UI" w:cs="Segoe UI"/>
          <w:b/>
          <w:bCs/>
          <w:sz w:val="22"/>
          <w:szCs w:val="22"/>
        </w:rPr>
        <w:t xml:space="preserve">ank </w:t>
      </w:r>
      <w:r>
        <w:rPr>
          <w:rFonts w:ascii="Segoe UI" w:hAnsi="Segoe UI" w:cs="Segoe UI"/>
          <w:b/>
          <w:bCs/>
          <w:sz w:val="22"/>
          <w:szCs w:val="22"/>
        </w:rPr>
        <w:t>p</w:t>
      </w:r>
      <w:r w:rsidRPr="00697F53">
        <w:rPr>
          <w:rFonts w:ascii="Segoe UI" w:hAnsi="Segoe UI" w:cs="Segoe UI"/>
          <w:b/>
          <w:bCs/>
          <w:sz w:val="22"/>
          <w:szCs w:val="22"/>
        </w:rPr>
        <w:t xml:space="preserve">ayment </w:t>
      </w:r>
      <w:r>
        <w:rPr>
          <w:rFonts w:ascii="Segoe UI" w:hAnsi="Segoe UI" w:cs="Segoe UI"/>
          <w:b/>
          <w:bCs/>
          <w:sz w:val="22"/>
          <w:szCs w:val="22"/>
        </w:rPr>
        <w:t>s</w:t>
      </w:r>
      <w:r w:rsidRPr="00697F53">
        <w:rPr>
          <w:rFonts w:ascii="Segoe UI" w:hAnsi="Segoe UI" w:cs="Segoe UI"/>
          <w:b/>
          <w:bCs/>
          <w:sz w:val="22"/>
          <w:szCs w:val="22"/>
        </w:rPr>
        <w:t xml:space="preserve">ervice </w:t>
      </w:r>
      <w:r>
        <w:rPr>
          <w:rFonts w:ascii="Segoe UI" w:hAnsi="Segoe UI" w:cs="Segoe UI"/>
          <w:b/>
          <w:bCs/>
          <w:sz w:val="22"/>
          <w:szCs w:val="22"/>
        </w:rPr>
        <w:t>p</w:t>
      </w:r>
      <w:r w:rsidRPr="00697F53">
        <w:rPr>
          <w:rFonts w:ascii="Segoe UI" w:hAnsi="Segoe UI" w:cs="Segoe UI"/>
          <w:b/>
          <w:bCs/>
          <w:sz w:val="22"/>
          <w:szCs w:val="22"/>
        </w:rPr>
        <w:t xml:space="preserve">roviders to </w:t>
      </w:r>
      <w:r>
        <w:rPr>
          <w:rFonts w:ascii="Segoe UI" w:hAnsi="Segoe UI" w:cs="Segoe UI"/>
          <w:b/>
          <w:bCs/>
          <w:sz w:val="22"/>
          <w:szCs w:val="22"/>
        </w:rPr>
        <w:t>h</w:t>
      </w:r>
      <w:r w:rsidRPr="00697F53">
        <w:rPr>
          <w:rFonts w:ascii="Segoe UI" w:hAnsi="Segoe UI" w:cs="Segoe UI"/>
          <w:b/>
          <w:bCs/>
          <w:sz w:val="22"/>
          <w:szCs w:val="22"/>
        </w:rPr>
        <w:t xml:space="preserve">old </w:t>
      </w:r>
      <w:r>
        <w:rPr>
          <w:rFonts w:ascii="Segoe UI" w:hAnsi="Segoe UI" w:cs="Segoe UI"/>
          <w:b/>
          <w:bCs/>
          <w:sz w:val="22"/>
          <w:szCs w:val="22"/>
        </w:rPr>
        <w:t>o</w:t>
      </w:r>
      <w:r w:rsidRPr="00697F53">
        <w:rPr>
          <w:rFonts w:ascii="Segoe UI" w:hAnsi="Segoe UI" w:cs="Segoe UI"/>
          <w:b/>
          <w:bCs/>
          <w:sz w:val="22"/>
          <w:szCs w:val="22"/>
        </w:rPr>
        <w:t xml:space="preserve">vernight </w:t>
      </w:r>
      <w:r>
        <w:rPr>
          <w:rFonts w:ascii="Segoe UI" w:hAnsi="Segoe UI" w:cs="Segoe UI"/>
          <w:b/>
          <w:bCs/>
          <w:sz w:val="22"/>
          <w:szCs w:val="22"/>
        </w:rPr>
        <w:t>b</w:t>
      </w:r>
      <w:r w:rsidRPr="00697F53">
        <w:rPr>
          <w:rFonts w:ascii="Segoe UI" w:hAnsi="Segoe UI" w:cs="Segoe UI"/>
          <w:b/>
          <w:bCs/>
          <w:sz w:val="22"/>
          <w:szCs w:val="22"/>
        </w:rPr>
        <w:t>alances at the Bank of Israel</w:t>
      </w:r>
    </w:p>
    <w:p w:rsidR="00697F53" w:rsidRPr="00697F53" w:rsidRDefault="00697F53" w:rsidP="0062515B">
      <w:pPr>
        <w:spacing w:before="100" w:beforeAutospacing="1" w:after="100" w:afterAutospacing="1" w:line="240" w:lineRule="auto"/>
        <w:rPr>
          <w:rFonts w:ascii="Segoe UI" w:hAnsi="Segoe UI" w:cs="Segoe UI"/>
          <w:sz w:val="22"/>
          <w:szCs w:val="22"/>
        </w:rPr>
      </w:pPr>
      <w:bookmarkStart w:id="0" w:name="_GoBack"/>
      <w:r w:rsidRPr="00697F53">
        <w:rPr>
          <w:rFonts w:ascii="Segoe UI" w:hAnsi="Segoe UI" w:cs="Segoe UI"/>
          <w:sz w:val="22"/>
          <w:szCs w:val="22"/>
        </w:rPr>
        <w:t>In recent years, the Bank of Israel has been working to promote access to supervised payment systems for licensed non</w:t>
      </w:r>
      <w:r>
        <w:rPr>
          <w:rFonts w:ascii="Segoe UI" w:hAnsi="Segoe UI" w:cs="Segoe UI"/>
          <w:sz w:val="22"/>
          <w:szCs w:val="22"/>
        </w:rPr>
        <w:t>bank payment service providers.</w:t>
      </w:r>
      <w:r w:rsidRPr="00697F53">
        <w:rPr>
          <w:rFonts w:ascii="Segoe UI" w:hAnsi="Segoe UI" w:cs="Segoe UI"/>
          <w:sz w:val="22"/>
          <w:szCs w:val="22"/>
        </w:rPr>
        <w:t xml:space="preserve"> </w:t>
      </w:r>
      <w:r w:rsidRPr="00CC43D4">
        <w:rPr>
          <w:rFonts w:ascii="Segoe UI" w:hAnsi="Segoe UI" w:cs="Segoe UI"/>
          <w:sz w:val="22"/>
          <w:szCs w:val="22"/>
        </w:rPr>
        <w:t>Now,</w:t>
      </w:r>
      <w:r w:rsidRPr="00697F53">
        <w:rPr>
          <w:rFonts w:ascii="Segoe UI" w:hAnsi="Segoe UI" w:cs="Segoe UI"/>
          <w:sz w:val="22"/>
          <w:szCs w:val="22"/>
        </w:rPr>
        <w:t xml:space="preserve"> for the first time, nonbank entities</w:t>
      </w:r>
      <w:r>
        <w:rPr>
          <w:rFonts w:ascii="Segoe UI" w:hAnsi="Segoe UI" w:cs="Segoe UI"/>
          <w:sz w:val="22"/>
          <w:szCs w:val="22"/>
        </w:rPr>
        <w:t xml:space="preserve"> will be allowed</w:t>
      </w:r>
      <w:r w:rsidRPr="00697F53">
        <w:rPr>
          <w:rFonts w:ascii="Segoe UI" w:hAnsi="Segoe UI" w:cs="Segoe UI"/>
          <w:sz w:val="22"/>
          <w:szCs w:val="22"/>
        </w:rPr>
        <w:t xml:space="preserve"> to hold funds overnight at the Bank of Israel, sim</w:t>
      </w:r>
      <w:r>
        <w:rPr>
          <w:rFonts w:ascii="Segoe UI" w:hAnsi="Segoe UI" w:cs="Segoe UI"/>
          <w:sz w:val="22"/>
          <w:szCs w:val="22"/>
        </w:rPr>
        <w:t>ilar to banking corporations.</w:t>
      </w:r>
      <w:r>
        <w:rPr>
          <w:rStyle w:val="a6"/>
          <w:rFonts w:ascii="Segoe UI" w:hAnsi="Segoe UI" w:cs="Segoe UI"/>
        </w:rPr>
        <w:footnoteReference w:id="1"/>
      </w:r>
    </w:p>
    <w:p w:rsidR="00697F53" w:rsidRPr="00697F53" w:rsidRDefault="00697F53" w:rsidP="0062515B">
      <w:pPr>
        <w:spacing w:before="100" w:beforeAutospacing="1" w:after="100" w:afterAutospacing="1" w:line="240" w:lineRule="auto"/>
        <w:rPr>
          <w:rFonts w:ascii="Segoe UI" w:hAnsi="Segoe UI" w:cs="Segoe UI"/>
          <w:sz w:val="22"/>
          <w:szCs w:val="22"/>
        </w:rPr>
      </w:pPr>
      <w:r w:rsidRPr="00697F53">
        <w:rPr>
          <w:rFonts w:ascii="Segoe UI" w:hAnsi="Segoe UI" w:cs="Segoe UI"/>
          <w:sz w:val="22"/>
          <w:szCs w:val="22"/>
        </w:rPr>
        <w:t>Until now, nonbank payment service providers were required, at the end of each business day, to transfer their balances in the RTGS (ZAHAV) system to banking corporations and return those balances to the system on the following business morning. This dependence on commercial banks not only limited competition in the payments market, but also created operational risks within the system. The new policy will reduce the</w:t>
      </w:r>
      <w:r>
        <w:rPr>
          <w:rFonts w:ascii="Segoe UI" w:hAnsi="Segoe UI" w:cs="Segoe UI"/>
          <w:sz w:val="22"/>
          <w:szCs w:val="22"/>
        </w:rPr>
        <w:t xml:space="preserve"> service providers</w:t>
      </w:r>
      <w:r w:rsidRPr="00697F53">
        <w:rPr>
          <w:rFonts w:ascii="Segoe UI" w:hAnsi="Segoe UI" w:cs="Segoe UI"/>
          <w:sz w:val="22"/>
          <w:szCs w:val="22"/>
        </w:rPr>
        <w:t>’ reliance on commercial banks and, accordingly, reduce settlement risks in the system. Under the policy, overnight balances will be subject to a maximum limit and will not bear interest, in line with the practice adopted in the European Union by the ECB, with the necessary adjustments for the Israeli market.</w:t>
      </w:r>
      <w:r>
        <w:rPr>
          <w:rStyle w:val="a6"/>
          <w:rFonts w:ascii="Segoe UI" w:hAnsi="Segoe UI" w:cs="Segoe UI"/>
        </w:rPr>
        <w:footnoteReference w:id="2"/>
      </w:r>
    </w:p>
    <w:p w:rsidR="00697F53" w:rsidRPr="00697F53" w:rsidRDefault="00697F53" w:rsidP="00697F53">
      <w:pPr>
        <w:spacing w:before="100" w:beforeAutospacing="1" w:after="100" w:afterAutospacing="1" w:line="240" w:lineRule="auto"/>
        <w:rPr>
          <w:rFonts w:ascii="Segoe UI" w:hAnsi="Segoe UI" w:cs="Segoe UI"/>
          <w:sz w:val="22"/>
          <w:szCs w:val="22"/>
        </w:rPr>
      </w:pPr>
      <w:r w:rsidRPr="00697F53">
        <w:rPr>
          <w:rFonts w:ascii="Segoe UI" w:hAnsi="Segoe UI" w:cs="Segoe UI"/>
          <w:sz w:val="22"/>
          <w:szCs w:val="22"/>
        </w:rPr>
        <w:t>The new policy will take effect approximately 30 days from the date of publication of this announcement.</w:t>
      </w:r>
      <w:r>
        <w:rPr>
          <w:rStyle w:val="a6"/>
          <w:rFonts w:ascii="Segoe UI" w:hAnsi="Segoe UI" w:cs="Segoe UI"/>
        </w:rPr>
        <w:footnoteReference w:id="3"/>
      </w:r>
    </w:p>
    <w:p w:rsidR="00697F53" w:rsidRPr="00697F53" w:rsidRDefault="00697F53" w:rsidP="00CC43D4">
      <w:pPr>
        <w:spacing w:before="100" w:beforeAutospacing="1" w:after="100" w:afterAutospacing="1" w:line="240" w:lineRule="auto"/>
        <w:rPr>
          <w:rFonts w:ascii="Segoe UI" w:hAnsi="Segoe UI" w:cs="Segoe UI"/>
          <w:sz w:val="22"/>
          <w:szCs w:val="22"/>
        </w:rPr>
      </w:pPr>
      <w:r w:rsidRPr="00697F53">
        <w:rPr>
          <w:rFonts w:ascii="Segoe UI" w:hAnsi="Segoe UI" w:cs="Segoe UI"/>
          <w:sz w:val="22"/>
          <w:szCs w:val="22"/>
        </w:rPr>
        <w:t xml:space="preserve">This is another step </w:t>
      </w:r>
      <w:r>
        <w:rPr>
          <w:rFonts w:ascii="Segoe UI" w:hAnsi="Segoe UI" w:cs="Segoe UI"/>
          <w:sz w:val="22"/>
          <w:szCs w:val="22"/>
        </w:rPr>
        <w:t>as part of</w:t>
      </w:r>
      <w:r w:rsidRPr="00697F53">
        <w:rPr>
          <w:rFonts w:ascii="Segoe UI" w:hAnsi="Segoe UI" w:cs="Segoe UI"/>
          <w:sz w:val="22"/>
          <w:szCs w:val="22"/>
        </w:rPr>
        <w:t xml:space="preserve"> a long-term policy led by the Bank of Israel in recent years, in its capacity as </w:t>
      </w:r>
      <w:r w:rsidR="00CC43D4">
        <w:rPr>
          <w:rFonts w:ascii="Segoe UI" w:hAnsi="Segoe UI" w:cs="Segoe UI"/>
          <w:sz w:val="22"/>
          <w:szCs w:val="22"/>
        </w:rPr>
        <w:t>overseer</w:t>
      </w:r>
      <w:r w:rsidR="00CC43D4" w:rsidRPr="00697F53">
        <w:rPr>
          <w:rFonts w:ascii="Segoe UI" w:hAnsi="Segoe UI" w:cs="Segoe UI"/>
          <w:sz w:val="22"/>
          <w:szCs w:val="22"/>
        </w:rPr>
        <w:t xml:space="preserve"> </w:t>
      </w:r>
      <w:r w:rsidRPr="00697F53">
        <w:rPr>
          <w:rFonts w:ascii="Segoe UI" w:hAnsi="Segoe UI" w:cs="Segoe UI"/>
          <w:sz w:val="22"/>
          <w:szCs w:val="22"/>
        </w:rPr>
        <w:t xml:space="preserve">of the </w:t>
      </w:r>
      <w:r>
        <w:rPr>
          <w:rFonts w:ascii="Segoe UI" w:hAnsi="Segoe UI" w:cs="Segoe UI"/>
          <w:sz w:val="22"/>
          <w:szCs w:val="22"/>
        </w:rPr>
        <w:t>p</w:t>
      </w:r>
      <w:r w:rsidRPr="00697F53">
        <w:rPr>
          <w:rFonts w:ascii="Segoe UI" w:hAnsi="Segoe UI" w:cs="Segoe UI"/>
          <w:sz w:val="22"/>
          <w:szCs w:val="22"/>
        </w:rPr>
        <w:t xml:space="preserve">ayment </w:t>
      </w:r>
      <w:r>
        <w:rPr>
          <w:rFonts w:ascii="Segoe UI" w:hAnsi="Segoe UI" w:cs="Segoe UI"/>
          <w:sz w:val="22"/>
          <w:szCs w:val="22"/>
        </w:rPr>
        <w:t>s</w:t>
      </w:r>
      <w:r w:rsidRPr="00697F53">
        <w:rPr>
          <w:rFonts w:ascii="Segoe UI" w:hAnsi="Segoe UI" w:cs="Segoe UI"/>
          <w:sz w:val="22"/>
          <w:szCs w:val="22"/>
        </w:rPr>
        <w:t>ystems, to encourage competition in Israel’s payments market while safeguarding the stability and efficiency of the payment systems.</w:t>
      </w:r>
    </w:p>
    <w:p w:rsidR="00697F53" w:rsidRPr="00697F53" w:rsidRDefault="00697F53" w:rsidP="00CC43D4">
      <w:pPr>
        <w:spacing w:before="100" w:beforeAutospacing="1" w:after="100" w:afterAutospacing="1" w:line="240" w:lineRule="auto"/>
        <w:rPr>
          <w:rFonts w:ascii="Segoe UI" w:hAnsi="Segoe UI" w:cs="Segoe UI"/>
          <w:b/>
          <w:bCs/>
          <w:sz w:val="22"/>
          <w:szCs w:val="22"/>
        </w:rPr>
      </w:pPr>
      <w:r>
        <w:rPr>
          <w:rFonts w:ascii="Segoe UI" w:hAnsi="Segoe UI" w:cs="Segoe UI"/>
          <w:b/>
          <w:bCs/>
          <w:sz w:val="22"/>
          <w:szCs w:val="22"/>
        </w:rPr>
        <w:t xml:space="preserve">Bank of Israel Governor </w:t>
      </w:r>
      <w:r w:rsidRPr="00697F53">
        <w:rPr>
          <w:rFonts w:ascii="Segoe UI" w:hAnsi="Segoe UI" w:cs="Segoe UI"/>
          <w:b/>
          <w:bCs/>
          <w:sz w:val="22"/>
          <w:szCs w:val="22"/>
        </w:rPr>
        <w:t>Prof</w:t>
      </w:r>
      <w:r>
        <w:rPr>
          <w:rFonts w:ascii="Segoe UI" w:hAnsi="Segoe UI" w:cs="Segoe UI"/>
          <w:b/>
          <w:bCs/>
          <w:sz w:val="22"/>
          <w:szCs w:val="22"/>
        </w:rPr>
        <w:t>.</w:t>
      </w:r>
      <w:r w:rsidRPr="00697F53">
        <w:rPr>
          <w:rFonts w:ascii="Segoe UI" w:hAnsi="Segoe UI" w:cs="Segoe UI"/>
          <w:b/>
          <w:bCs/>
          <w:sz w:val="22"/>
          <w:szCs w:val="22"/>
        </w:rPr>
        <w:t xml:space="preserve"> Amir </w:t>
      </w:r>
      <w:proofErr w:type="spellStart"/>
      <w:r w:rsidRPr="00697F53">
        <w:rPr>
          <w:rFonts w:ascii="Segoe UI" w:hAnsi="Segoe UI" w:cs="Segoe UI"/>
          <w:b/>
          <w:bCs/>
          <w:sz w:val="22"/>
          <w:szCs w:val="22"/>
        </w:rPr>
        <w:t>Yaron</w:t>
      </w:r>
      <w:proofErr w:type="spellEnd"/>
      <w:r w:rsidRPr="00697F53">
        <w:rPr>
          <w:rFonts w:ascii="Segoe UI" w:hAnsi="Segoe UI" w:cs="Segoe UI"/>
          <w:b/>
          <w:bCs/>
          <w:sz w:val="22"/>
          <w:szCs w:val="22"/>
        </w:rPr>
        <w:t xml:space="preserve"> said:</w:t>
      </w:r>
      <w:r>
        <w:rPr>
          <w:rFonts w:ascii="Segoe UI" w:hAnsi="Segoe UI" w:cs="Segoe UI"/>
          <w:b/>
          <w:bCs/>
          <w:sz w:val="22"/>
          <w:szCs w:val="22"/>
        </w:rPr>
        <w:t xml:space="preserve">  </w:t>
      </w:r>
      <w:r w:rsidRPr="00697F53">
        <w:rPr>
          <w:rFonts w:ascii="Segoe UI" w:hAnsi="Segoe UI" w:cs="Segoe UI"/>
          <w:sz w:val="22"/>
          <w:szCs w:val="22"/>
        </w:rPr>
        <w:t xml:space="preserve">“Expanding </w:t>
      </w:r>
      <w:r>
        <w:rPr>
          <w:rFonts w:ascii="Segoe UI" w:hAnsi="Segoe UI" w:cs="Segoe UI"/>
          <w:sz w:val="22"/>
          <w:szCs w:val="22"/>
        </w:rPr>
        <w:t>nonbank service providers’</w:t>
      </w:r>
      <w:r w:rsidRPr="00697F53">
        <w:rPr>
          <w:rFonts w:ascii="Segoe UI" w:hAnsi="Segoe UI" w:cs="Segoe UI"/>
          <w:sz w:val="22"/>
          <w:szCs w:val="22"/>
        </w:rPr>
        <w:t xml:space="preserve"> activity at the Bank of Israel is another step being advanced by the Bank of Israel, as </w:t>
      </w:r>
      <w:r w:rsidR="00CC43D4">
        <w:rPr>
          <w:rFonts w:ascii="Segoe UI" w:hAnsi="Segoe UI" w:cs="Segoe UI"/>
          <w:sz w:val="22"/>
          <w:szCs w:val="22"/>
        </w:rPr>
        <w:t xml:space="preserve">overseer </w:t>
      </w:r>
      <w:r w:rsidRPr="00697F53">
        <w:rPr>
          <w:rFonts w:ascii="Segoe UI" w:hAnsi="Segoe UI" w:cs="Segoe UI"/>
          <w:sz w:val="22"/>
          <w:szCs w:val="22"/>
        </w:rPr>
        <w:t xml:space="preserve">of the payment systems, to promote competition in the payments market while preserving its stability and efficiency. The possibility for nonbank </w:t>
      </w:r>
      <w:r w:rsidR="00A36FC2">
        <w:rPr>
          <w:rFonts w:ascii="Segoe UI" w:hAnsi="Segoe UI" w:cs="Segoe UI"/>
          <w:sz w:val="22"/>
          <w:szCs w:val="22"/>
        </w:rPr>
        <w:t xml:space="preserve">entities </w:t>
      </w:r>
      <w:r w:rsidRPr="00697F53">
        <w:rPr>
          <w:rFonts w:ascii="Segoe UI" w:hAnsi="Segoe UI" w:cs="Segoe UI"/>
          <w:sz w:val="22"/>
          <w:szCs w:val="22"/>
        </w:rPr>
        <w:t xml:space="preserve">to hold overnight balances is an important measure, consistent with regulatory developments around the world. The Bank of Israel will continue to act to promote innovation, competition, and the development of Israel’s </w:t>
      </w:r>
      <w:r w:rsidRPr="00697F53">
        <w:rPr>
          <w:rFonts w:ascii="Segoe UI" w:hAnsi="Segoe UI" w:cs="Segoe UI"/>
          <w:sz w:val="22"/>
          <w:szCs w:val="22"/>
        </w:rPr>
        <w:lastRenderedPageBreak/>
        <w:t>payments market, while maintaining the stability and efficiency of the RTGS system and the payments market as a whole.”</w:t>
      </w:r>
    </w:p>
    <w:p w:rsidR="00697F53" w:rsidRPr="00697F53" w:rsidRDefault="00697F53" w:rsidP="00A36FC2">
      <w:pPr>
        <w:spacing w:before="100" w:beforeAutospacing="1" w:after="100" w:afterAutospacing="1" w:line="240" w:lineRule="auto"/>
        <w:rPr>
          <w:rFonts w:ascii="Segoe UI" w:hAnsi="Segoe UI" w:cs="Segoe UI"/>
          <w:sz w:val="22"/>
          <w:szCs w:val="22"/>
        </w:rPr>
      </w:pPr>
      <w:proofErr w:type="spellStart"/>
      <w:r w:rsidRPr="00697F53">
        <w:rPr>
          <w:rFonts w:ascii="Segoe UI" w:hAnsi="Segoe UI" w:cs="Segoe UI"/>
          <w:b/>
          <w:bCs/>
          <w:sz w:val="22"/>
          <w:szCs w:val="22"/>
        </w:rPr>
        <w:t>Ofer</w:t>
      </w:r>
      <w:proofErr w:type="spellEnd"/>
      <w:r w:rsidRPr="00697F53">
        <w:rPr>
          <w:rFonts w:ascii="Segoe UI" w:hAnsi="Segoe UI" w:cs="Segoe UI"/>
          <w:b/>
          <w:bCs/>
          <w:sz w:val="22"/>
          <w:szCs w:val="22"/>
        </w:rPr>
        <w:t xml:space="preserve"> Golan, Director of the Payment and Settlement Systems Department, said:</w:t>
      </w:r>
      <w:r>
        <w:rPr>
          <w:rFonts w:ascii="Segoe UI" w:hAnsi="Segoe UI" w:cs="Segoe UI"/>
          <w:b/>
          <w:bCs/>
          <w:sz w:val="22"/>
          <w:szCs w:val="22"/>
        </w:rPr>
        <w:t xml:space="preserve"> </w:t>
      </w:r>
      <w:r w:rsidRPr="00697F53">
        <w:rPr>
          <w:rFonts w:ascii="Segoe UI" w:hAnsi="Segoe UI" w:cs="Segoe UI"/>
          <w:sz w:val="22"/>
          <w:szCs w:val="22"/>
        </w:rPr>
        <w:t xml:space="preserve">“This is a significant milestone, given the potential of nonbank </w:t>
      </w:r>
      <w:r w:rsidR="00A36FC2">
        <w:rPr>
          <w:rFonts w:ascii="Segoe UI" w:hAnsi="Segoe UI" w:cs="Segoe UI"/>
          <w:sz w:val="22"/>
          <w:szCs w:val="22"/>
        </w:rPr>
        <w:t xml:space="preserve">entities </w:t>
      </w:r>
      <w:r w:rsidRPr="00697F53">
        <w:rPr>
          <w:rFonts w:ascii="Segoe UI" w:hAnsi="Segoe UI" w:cs="Segoe UI"/>
          <w:sz w:val="22"/>
          <w:szCs w:val="22"/>
        </w:rPr>
        <w:t>to offer advanced and innovative payment solutions that may increase competition in the payments market, streamline business processes, improve financial services for consumers and merchants, and ultimately reduce costs for consumers.”</w:t>
      </w:r>
    </w:p>
    <w:p w:rsidR="00697F53" w:rsidRPr="00697F53" w:rsidRDefault="00697F53" w:rsidP="00A36FC2">
      <w:pPr>
        <w:spacing w:before="100" w:beforeAutospacing="1" w:after="100" w:afterAutospacing="1" w:line="240" w:lineRule="auto"/>
        <w:rPr>
          <w:rFonts w:ascii="Segoe UI" w:hAnsi="Segoe UI" w:cs="Segoe UI"/>
          <w:sz w:val="22"/>
          <w:szCs w:val="22"/>
        </w:rPr>
      </w:pPr>
      <w:r w:rsidRPr="00697F53">
        <w:rPr>
          <w:rFonts w:ascii="Segoe UI" w:hAnsi="Segoe UI" w:cs="Segoe UI"/>
          <w:b/>
          <w:bCs/>
          <w:sz w:val="22"/>
          <w:szCs w:val="22"/>
        </w:rPr>
        <w:t>Clarification</w:t>
      </w:r>
      <w:proofErr w:type="gramStart"/>
      <w:r w:rsidRPr="00697F53">
        <w:rPr>
          <w:rFonts w:ascii="Segoe UI" w:hAnsi="Segoe UI" w:cs="Segoe UI"/>
          <w:b/>
          <w:bCs/>
          <w:sz w:val="22"/>
          <w:szCs w:val="22"/>
        </w:rPr>
        <w:t>:</w:t>
      </w:r>
      <w:proofErr w:type="gramEnd"/>
      <w:r w:rsidRPr="00697F53">
        <w:rPr>
          <w:rFonts w:ascii="Segoe UI" w:hAnsi="Segoe UI" w:cs="Segoe UI"/>
          <w:sz w:val="22"/>
          <w:szCs w:val="22"/>
        </w:rPr>
        <w:br/>
        <w:t xml:space="preserve">We wish to clarify that this is not a new monetary policy instrument, but rather the granting of permission to nonbank </w:t>
      </w:r>
      <w:r w:rsidR="00A36FC2">
        <w:rPr>
          <w:rFonts w:ascii="Segoe UI" w:hAnsi="Segoe UI" w:cs="Segoe UI"/>
          <w:sz w:val="22"/>
          <w:szCs w:val="22"/>
        </w:rPr>
        <w:t>entities</w:t>
      </w:r>
      <w:r w:rsidRPr="00697F53">
        <w:rPr>
          <w:rFonts w:ascii="Segoe UI" w:hAnsi="Segoe UI" w:cs="Segoe UI"/>
          <w:sz w:val="22"/>
          <w:szCs w:val="22"/>
        </w:rPr>
        <w:t xml:space="preserve"> to leave a shekel balance overnight at the Bank of Israel for the purpose of settlement activity in the RTGS system. It should be emphasized that this applies only to shekel-denominated activity and to limited amounts determined in accordance with the settlement volumes of the relevant entity, and that the balance will not bear interest.</w:t>
      </w:r>
    </w:p>
    <w:bookmarkEnd w:id="0"/>
    <w:p w:rsidR="00697F53" w:rsidRPr="00445F3E" w:rsidRDefault="00697F53" w:rsidP="00697F53">
      <w:pPr>
        <w:pStyle w:val="regpar"/>
        <w:ind w:firstLine="0"/>
        <w:jc w:val="left"/>
        <w:rPr>
          <w:rFonts w:ascii="Segoe UI" w:hAnsi="Segoe UI" w:cs="Segoe UI"/>
          <w:b/>
          <w:bCs/>
          <w:sz w:val="26"/>
          <w:szCs w:val="26"/>
        </w:rPr>
      </w:pPr>
    </w:p>
    <w:sectPr w:rsidR="00697F53" w:rsidRPr="00445F3E" w:rsidSect="004F5A85">
      <w:headerReference w:type="default" r:id="rId12"/>
      <w:endnotePr>
        <w:numFmt w:val="hebrew2"/>
      </w:endnotePr>
      <w:pgSz w:w="11880" w:h="16820"/>
      <w:pgMar w:top="624" w:right="1390" w:bottom="567" w:left="1418" w:header="57" w:footer="283" w:gutter="0"/>
      <w:cols w:space="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1E9" w:rsidRDefault="005611E9">
      <w:pPr>
        <w:spacing w:line="240" w:lineRule="auto"/>
      </w:pPr>
      <w:r>
        <w:separator/>
      </w:r>
    </w:p>
  </w:endnote>
  <w:endnote w:type="continuationSeparator" w:id="0">
    <w:p w:rsidR="005611E9" w:rsidRDefault="005611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1E9" w:rsidRDefault="005611E9">
      <w:pPr>
        <w:spacing w:line="160" w:lineRule="exact"/>
      </w:pPr>
    </w:p>
  </w:footnote>
  <w:footnote w:type="continuationSeparator" w:id="0">
    <w:p w:rsidR="005611E9" w:rsidRDefault="005611E9">
      <w:pPr>
        <w:pStyle w:val="rule"/>
      </w:pPr>
      <w:r>
        <w:t>–––––––––––––––––––––––––––</w:t>
      </w:r>
    </w:p>
    <w:p w:rsidR="005611E9" w:rsidRDefault="005611E9">
      <w:pPr>
        <w:pStyle w:val="noteseparator"/>
      </w:pPr>
    </w:p>
  </w:footnote>
  <w:footnote w:id="1">
    <w:p w:rsidR="00697F53" w:rsidRPr="00F304D2" w:rsidRDefault="00697F53" w:rsidP="001129F7">
      <w:pPr>
        <w:pStyle w:val="a7"/>
        <w:rPr>
          <w:rFonts w:asciiTheme="minorHAnsi" w:hAnsiTheme="minorHAnsi" w:cstheme="minorHAnsi"/>
        </w:rPr>
      </w:pPr>
      <w:r w:rsidRPr="00F304D2">
        <w:rPr>
          <w:rStyle w:val="a6"/>
          <w:rFonts w:asciiTheme="minorHAnsi" w:hAnsiTheme="minorHAnsi" w:cstheme="minorHAnsi"/>
          <w:sz w:val="20"/>
          <w:szCs w:val="20"/>
        </w:rPr>
        <w:footnoteRef/>
      </w:r>
      <w:r w:rsidRPr="00F304D2">
        <w:rPr>
          <w:rFonts w:asciiTheme="minorHAnsi" w:hAnsiTheme="minorHAnsi" w:cstheme="minorHAnsi"/>
        </w:rPr>
        <w:t xml:space="preserve"> </w:t>
      </w:r>
      <w:r w:rsidRPr="00697F53">
        <w:rPr>
          <w:rFonts w:asciiTheme="minorHAnsi" w:hAnsiTheme="minorHAnsi" w:cstheme="minorHAnsi"/>
        </w:rPr>
        <w:t xml:space="preserve">It should be emphasized that the possibility of holding funds overnight will apply from the date the policy takes effect and will be subject to the operational preparedness required on the part of the </w:t>
      </w:r>
      <w:r w:rsidR="0062515B">
        <w:rPr>
          <w:rFonts w:asciiTheme="minorHAnsi" w:hAnsiTheme="minorHAnsi" w:cstheme="minorHAnsi"/>
        </w:rPr>
        <w:t>nonbank entities</w:t>
      </w:r>
      <w:r w:rsidRPr="00697F53">
        <w:rPr>
          <w:rFonts w:asciiTheme="minorHAnsi" w:hAnsiTheme="minorHAnsi" w:cstheme="minorHAnsi"/>
        </w:rPr>
        <w:t>.</w:t>
      </w:r>
    </w:p>
  </w:footnote>
  <w:footnote w:id="2">
    <w:p w:rsidR="00697F53" w:rsidRPr="00F304D2" w:rsidRDefault="00697F53">
      <w:pPr>
        <w:pStyle w:val="a7"/>
        <w:rPr>
          <w:rFonts w:asciiTheme="minorHAnsi" w:hAnsiTheme="minorHAnsi" w:cstheme="minorHAnsi"/>
        </w:rPr>
      </w:pPr>
      <w:r w:rsidRPr="00F304D2">
        <w:rPr>
          <w:rStyle w:val="a6"/>
          <w:rFonts w:asciiTheme="minorHAnsi" w:hAnsiTheme="minorHAnsi" w:cstheme="minorHAnsi"/>
          <w:sz w:val="20"/>
          <w:szCs w:val="20"/>
        </w:rPr>
        <w:footnoteRef/>
      </w:r>
      <w:r w:rsidRPr="00F304D2">
        <w:rPr>
          <w:rFonts w:asciiTheme="minorHAnsi" w:hAnsiTheme="minorHAnsi" w:cstheme="minorHAnsi"/>
        </w:rPr>
        <w:t xml:space="preserve"> </w:t>
      </w:r>
      <w:r w:rsidR="00F304D2" w:rsidRPr="00697F53">
        <w:rPr>
          <w:rFonts w:asciiTheme="minorHAnsi" w:hAnsiTheme="minorHAnsi" w:cstheme="minorHAnsi"/>
        </w:rPr>
        <w:t xml:space="preserve">The maximum amount will be calculated periodically in accordance with the </w:t>
      </w:r>
      <w:r w:rsidR="00F304D2" w:rsidRPr="00F304D2">
        <w:rPr>
          <w:rFonts w:asciiTheme="minorHAnsi" w:hAnsiTheme="minorHAnsi" w:cstheme="minorHAnsi"/>
        </w:rPr>
        <w:t>payment service provider’s</w:t>
      </w:r>
      <w:r w:rsidR="00F304D2" w:rsidRPr="00697F53">
        <w:rPr>
          <w:rFonts w:asciiTheme="minorHAnsi" w:hAnsiTheme="minorHAnsi" w:cstheme="minorHAnsi"/>
        </w:rPr>
        <w:t xml:space="preserve"> settlement volumes in the RTGS (ZAHAV) system.</w:t>
      </w:r>
    </w:p>
  </w:footnote>
  <w:footnote w:id="3">
    <w:p w:rsidR="00697F53" w:rsidRPr="00F304D2" w:rsidRDefault="00697F53">
      <w:pPr>
        <w:pStyle w:val="a7"/>
        <w:rPr>
          <w:rFonts w:asciiTheme="minorHAnsi" w:hAnsiTheme="minorHAnsi" w:cstheme="minorHAnsi"/>
        </w:rPr>
      </w:pPr>
      <w:r w:rsidRPr="00F304D2">
        <w:rPr>
          <w:rStyle w:val="a6"/>
          <w:rFonts w:asciiTheme="minorHAnsi" w:hAnsiTheme="minorHAnsi" w:cstheme="minorHAnsi"/>
          <w:sz w:val="20"/>
          <w:szCs w:val="20"/>
        </w:rPr>
        <w:footnoteRef/>
      </w:r>
      <w:r w:rsidRPr="00F304D2">
        <w:rPr>
          <w:rFonts w:asciiTheme="minorHAnsi" w:hAnsiTheme="minorHAnsi" w:cstheme="minorHAnsi"/>
        </w:rPr>
        <w:t xml:space="preserve"> </w:t>
      </w:r>
      <w:r w:rsidR="00F304D2" w:rsidRPr="00697F53">
        <w:rPr>
          <w:rFonts w:asciiTheme="minorHAnsi" w:hAnsiTheme="minorHAnsi" w:cstheme="minorHAnsi"/>
        </w:rPr>
        <w:t>By that date, the rules of the ZAHAV system will be updated in accordance with the policy adopted.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A79" w:rsidRDefault="00CE7A79" w:rsidP="007A34C9">
    <w:pPr>
      <w:pStyle w:val="regpar"/>
      <w:spacing w:line="300" w:lineRule="atLeast"/>
      <w:ind w:firstLine="0"/>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decimal"/>
      <w:lvlText w:val="%1)"/>
      <w:lvlJc w:val="left"/>
      <w:pPr>
        <w:tabs>
          <w:tab w:val="num" w:pos="600"/>
        </w:tabs>
        <w:ind w:left="600" w:hanging="360"/>
      </w:pPr>
      <w:rPr>
        <w:rFonts w:hint="default"/>
      </w:rPr>
    </w:lvl>
  </w:abstractNum>
  <w:abstractNum w:abstractNumId="1" w15:restartNumberingAfterBreak="0">
    <w:nsid w:val="049565AB"/>
    <w:multiLevelType w:val="hybridMultilevel"/>
    <w:tmpl w:val="3AEE2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D707B"/>
    <w:multiLevelType w:val="hybridMultilevel"/>
    <w:tmpl w:val="CED8D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F1E76"/>
    <w:multiLevelType w:val="hybridMultilevel"/>
    <w:tmpl w:val="9B849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BA69E9"/>
    <w:multiLevelType w:val="hybridMultilevel"/>
    <w:tmpl w:val="A67A3D80"/>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5" w15:restartNumberingAfterBreak="0">
    <w:nsid w:val="3F003117"/>
    <w:multiLevelType w:val="hybridMultilevel"/>
    <w:tmpl w:val="FA1A5C1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0CE5350"/>
    <w:multiLevelType w:val="hybridMultilevel"/>
    <w:tmpl w:val="9AE26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F544E1"/>
    <w:multiLevelType w:val="hybridMultilevel"/>
    <w:tmpl w:val="5966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8912EE"/>
    <w:multiLevelType w:val="hybridMultilevel"/>
    <w:tmpl w:val="58729F30"/>
    <w:lvl w:ilvl="0" w:tplc="0AA490D4">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9" w15:restartNumberingAfterBreak="0">
    <w:nsid w:val="45324FFB"/>
    <w:multiLevelType w:val="hybridMultilevel"/>
    <w:tmpl w:val="15D25D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541E8D"/>
    <w:multiLevelType w:val="hybridMultilevel"/>
    <w:tmpl w:val="84D08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C727CA"/>
    <w:multiLevelType w:val="hybridMultilevel"/>
    <w:tmpl w:val="D5F6F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BB2FC6"/>
    <w:multiLevelType w:val="hybridMultilevel"/>
    <w:tmpl w:val="03E4B96C"/>
    <w:lvl w:ilvl="0" w:tplc="B814614C">
      <w:start w:val="7"/>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3" w15:restartNumberingAfterBreak="0">
    <w:nsid w:val="718D7B23"/>
    <w:multiLevelType w:val="hybridMultilevel"/>
    <w:tmpl w:val="A5681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2616CB"/>
    <w:multiLevelType w:val="hybridMultilevel"/>
    <w:tmpl w:val="11728488"/>
    <w:lvl w:ilvl="0" w:tplc="5802D0F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7D6B4A93"/>
    <w:multiLevelType w:val="multilevel"/>
    <w:tmpl w:val="47B2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A0365C"/>
    <w:multiLevelType w:val="hybridMultilevel"/>
    <w:tmpl w:val="03D09186"/>
    <w:lvl w:ilvl="0" w:tplc="AC34D7F8">
      <w:numFmt w:val="bullet"/>
      <w:lvlText w:val="-"/>
      <w:lvlJc w:val="left"/>
      <w:pPr>
        <w:ind w:left="720" w:hanging="360"/>
      </w:pPr>
      <w:rPr>
        <w:rFonts w:ascii="Times" w:eastAsia="Times New Roman"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5602F8"/>
    <w:multiLevelType w:val="hybridMultilevel"/>
    <w:tmpl w:val="3C26F5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12"/>
  </w:num>
  <w:num w:numId="4">
    <w:abstractNumId w:val="13"/>
  </w:num>
  <w:num w:numId="5">
    <w:abstractNumId w:val="1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 w:numId="9">
    <w:abstractNumId w:val="4"/>
  </w:num>
  <w:num w:numId="10">
    <w:abstractNumId w:val="16"/>
  </w:num>
  <w:num w:numId="11">
    <w:abstractNumId w:val="11"/>
  </w:num>
  <w:num w:numId="12">
    <w:abstractNumId w:val="9"/>
  </w:num>
  <w:num w:numId="13">
    <w:abstractNumId w:val="3"/>
  </w:num>
  <w:num w:numId="14">
    <w:abstractNumId w:val="2"/>
  </w:num>
  <w:num w:numId="15">
    <w:abstractNumId w:val="10"/>
  </w:num>
  <w:num w:numId="16">
    <w:abstractNumId w:val="1"/>
  </w:num>
  <w:num w:numId="17">
    <w:abstractNumId w:val="17"/>
  </w:num>
  <w:num w:numId="18">
    <w:abstractNumId w:val="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4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footnote w:id="-1"/>
    <w:footnote w:id="0"/>
  </w:footnotePr>
  <w:endnotePr>
    <w:numFmt w:val="hebrew2"/>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D70"/>
    <w:rsid w:val="00002A48"/>
    <w:rsid w:val="00005737"/>
    <w:rsid w:val="00014291"/>
    <w:rsid w:val="00016929"/>
    <w:rsid w:val="00016E30"/>
    <w:rsid w:val="00017E04"/>
    <w:rsid w:val="000305B1"/>
    <w:rsid w:val="0004575D"/>
    <w:rsid w:val="000466C2"/>
    <w:rsid w:val="000502D1"/>
    <w:rsid w:val="00052610"/>
    <w:rsid w:val="000614E5"/>
    <w:rsid w:val="00066C5D"/>
    <w:rsid w:val="00067EAC"/>
    <w:rsid w:val="0007485B"/>
    <w:rsid w:val="00076856"/>
    <w:rsid w:val="00077915"/>
    <w:rsid w:val="00085E93"/>
    <w:rsid w:val="0009048D"/>
    <w:rsid w:val="00093619"/>
    <w:rsid w:val="00093A61"/>
    <w:rsid w:val="00094FFA"/>
    <w:rsid w:val="000A0AE8"/>
    <w:rsid w:val="000B2451"/>
    <w:rsid w:val="000B5143"/>
    <w:rsid w:val="000B6617"/>
    <w:rsid w:val="000C1242"/>
    <w:rsid w:val="000C4140"/>
    <w:rsid w:val="000C46E3"/>
    <w:rsid w:val="000D3201"/>
    <w:rsid w:val="000D3F79"/>
    <w:rsid w:val="000E08B9"/>
    <w:rsid w:val="000E2EB0"/>
    <w:rsid w:val="000F0D48"/>
    <w:rsid w:val="000F4D42"/>
    <w:rsid w:val="00104F58"/>
    <w:rsid w:val="0010545F"/>
    <w:rsid w:val="001116D7"/>
    <w:rsid w:val="001129F7"/>
    <w:rsid w:val="00114F59"/>
    <w:rsid w:val="001172A8"/>
    <w:rsid w:val="00121BED"/>
    <w:rsid w:val="001239DD"/>
    <w:rsid w:val="00124970"/>
    <w:rsid w:val="00124AB5"/>
    <w:rsid w:val="00124ED8"/>
    <w:rsid w:val="00126370"/>
    <w:rsid w:val="00127549"/>
    <w:rsid w:val="00130460"/>
    <w:rsid w:val="00143F0D"/>
    <w:rsid w:val="0014603A"/>
    <w:rsid w:val="00150CFE"/>
    <w:rsid w:val="001550A7"/>
    <w:rsid w:val="00160123"/>
    <w:rsid w:val="00161743"/>
    <w:rsid w:val="00162F9E"/>
    <w:rsid w:val="0016621D"/>
    <w:rsid w:val="00166ECD"/>
    <w:rsid w:val="0018444C"/>
    <w:rsid w:val="00187D68"/>
    <w:rsid w:val="00190909"/>
    <w:rsid w:val="00194F7F"/>
    <w:rsid w:val="001A2237"/>
    <w:rsid w:val="001A6127"/>
    <w:rsid w:val="001B0294"/>
    <w:rsid w:val="001B5270"/>
    <w:rsid w:val="001C1743"/>
    <w:rsid w:val="001C209A"/>
    <w:rsid w:val="001C502E"/>
    <w:rsid w:val="001C5614"/>
    <w:rsid w:val="001D57CD"/>
    <w:rsid w:val="001D5EBA"/>
    <w:rsid w:val="001E2931"/>
    <w:rsid w:val="001E6D0C"/>
    <w:rsid w:val="001F28E6"/>
    <w:rsid w:val="001F51F4"/>
    <w:rsid w:val="00203B3D"/>
    <w:rsid w:val="00210F11"/>
    <w:rsid w:val="00212EBE"/>
    <w:rsid w:val="002245B4"/>
    <w:rsid w:val="00236391"/>
    <w:rsid w:val="00243044"/>
    <w:rsid w:val="00246FA7"/>
    <w:rsid w:val="00250C32"/>
    <w:rsid w:val="0025222B"/>
    <w:rsid w:val="00263AC9"/>
    <w:rsid w:val="00275B82"/>
    <w:rsid w:val="00276225"/>
    <w:rsid w:val="002803D5"/>
    <w:rsid w:val="00283C91"/>
    <w:rsid w:val="002878D8"/>
    <w:rsid w:val="00295684"/>
    <w:rsid w:val="002A325D"/>
    <w:rsid w:val="002A5EE7"/>
    <w:rsid w:val="002B172C"/>
    <w:rsid w:val="002C31A2"/>
    <w:rsid w:val="002D0B04"/>
    <w:rsid w:val="002D460E"/>
    <w:rsid w:val="002D6616"/>
    <w:rsid w:val="002D6644"/>
    <w:rsid w:val="002E2978"/>
    <w:rsid w:val="002E5259"/>
    <w:rsid w:val="002E77B6"/>
    <w:rsid w:val="002F02D1"/>
    <w:rsid w:val="002F761B"/>
    <w:rsid w:val="00302325"/>
    <w:rsid w:val="003121C6"/>
    <w:rsid w:val="0031394B"/>
    <w:rsid w:val="003140DF"/>
    <w:rsid w:val="00323D8C"/>
    <w:rsid w:val="00327BCD"/>
    <w:rsid w:val="00333620"/>
    <w:rsid w:val="00333F56"/>
    <w:rsid w:val="003370E3"/>
    <w:rsid w:val="003445F3"/>
    <w:rsid w:val="00347069"/>
    <w:rsid w:val="00347EEC"/>
    <w:rsid w:val="00350413"/>
    <w:rsid w:val="003514AB"/>
    <w:rsid w:val="00354C47"/>
    <w:rsid w:val="00357E66"/>
    <w:rsid w:val="003605C6"/>
    <w:rsid w:val="00362E73"/>
    <w:rsid w:val="00366DB8"/>
    <w:rsid w:val="00367A32"/>
    <w:rsid w:val="00376023"/>
    <w:rsid w:val="00376976"/>
    <w:rsid w:val="00380012"/>
    <w:rsid w:val="003814C4"/>
    <w:rsid w:val="0038232A"/>
    <w:rsid w:val="003938F8"/>
    <w:rsid w:val="00395D70"/>
    <w:rsid w:val="003A1107"/>
    <w:rsid w:val="003A3B39"/>
    <w:rsid w:val="003A6723"/>
    <w:rsid w:val="003B0942"/>
    <w:rsid w:val="003B2C70"/>
    <w:rsid w:val="003B4074"/>
    <w:rsid w:val="003B4DF1"/>
    <w:rsid w:val="003C3B6F"/>
    <w:rsid w:val="003C6E15"/>
    <w:rsid w:val="003D0E36"/>
    <w:rsid w:val="003D71F7"/>
    <w:rsid w:val="003E0432"/>
    <w:rsid w:val="003E107B"/>
    <w:rsid w:val="003F360E"/>
    <w:rsid w:val="00403AF2"/>
    <w:rsid w:val="00406562"/>
    <w:rsid w:val="00406709"/>
    <w:rsid w:val="00406809"/>
    <w:rsid w:val="00407252"/>
    <w:rsid w:val="00420902"/>
    <w:rsid w:val="00421E16"/>
    <w:rsid w:val="00423781"/>
    <w:rsid w:val="0042406A"/>
    <w:rsid w:val="00425894"/>
    <w:rsid w:val="004266FD"/>
    <w:rsid w:val="004307F0"/>
    <w:rsid w:val="004356C6"/>
    <w:rsid w:val="004361EA"/>
    <w:rsid w:val="00437FD7"/>
    <w:rsid w:val="00441DC9"/>
    <w:rsid w:val="004421CE"/>
    <w:rsid w:val="00445F3E"/>
    <w:rsid w:val="00452814"/>
    <w:rsid w:val="00454C06"/>
    <w:rsid w:val="00457687"/>
    <w:rsid w:val="004576AA"/>
    <w:rsid w:val="004655E8"/>
    <w:rsid w:val="004735EC"/>
    <w:rsid w:val="00477DE2"/>
    <w:rsid w:val="00482B8E"/>
    <w:rsid w:val="004839AA"/>
    <w:rsid w:val="00484A86"/>
    <w:rsid w:val="00492029"/>
    <w:rsid w:val="004A0A80"/>
    <w:rsid w:val="004A179B"/>
    <w:rsid w:val="004A2970"/>
    <w:rsid w:val="004C5910"/>
    <w:rsid w:val="004C5B3B"/>
    <w:rsid w:val="004C7155"/>
    <w:rsid w:val="004D0449"/>
    <w:rsid w:val="004D55DA"/>
    <w:rsid w:val="004E7032"/>
    <w:rsid w:val="004F5A85"/>
    <w:rsid w:val="00500F8B"/>
    <w:rsid w:val="00503622"/>
    <w:rsid w:val="00515681"/>
    <w:rsid w:val="00517461"/>
    <w:rsid w:val="005273A2"/>
    <w:rsid w:val="005317F2"/>
    <w:rsid w:val="00531AD1"/>
    <w:rsid w:val="00536575"/>
    <w:rsid w:val="0054053A"/>
    <w:rsid w:val="0054075A"/>
    <w:rsid w:val="005417D3"/>
    <w:rsid w:val="00543038"/>
    <w:rsid w:val="005504CF"/>
    <w:rsid w:val="00554AC0"/>
    <w:rsid w:val="0055658B"/>
    <w:rsid w:val="0056099E"/>
    <w:rsid w:val="005611E9"/>
    <w:rsid w:val="00562B0B"/>
    <w:rsid w:val="005676E1"/>
    <w:rsid w:val="00572E97"/>
    <w:rsid w:val="00581AE6"/>
    <w:rsid w:val="00590949"/>
    <w:rsid w:val="00591171"/>
    <w:rsid w:val="00592585"/>
    <w:rsid w:val="00594895"/>
    <w:rsid w:val="005A5253"/>
    <w:rsid w:val="005B0C33"/>
    <w:rsid w:val="005B5BFC"/>
    <w:rsid w:val="005B6B00"/>
    <w:rsid w:val="005C1FAF"/>
    <w:rsid w:val="005C274D"/>
    <w:rsid w:val="005C5CA6"/>
    <w:rsid w:val="005C635F"/>
    <w:rsid w:val="005C76FF"/>
    <w:rsid w:val="005D175A"/>
    <w:rsid w:val="005D225E"/>
    <w:rsid w:val="005E1AD6"/>
    <w:rsid w:val="005E23D5"/>
    <w:rsid w:val="006031D8"/>
    <w:rsid w:val="00605EBE"/>
    <w:rsid w:val="0061268B"/>
    <w:rsid w:val="00612A07"/>
    <w:rsid w:val="00613B3E"/>
    <w:rsid w:val="0061431E"/>
    <w:rsid w:val="00617A39"/>
    <w:rsid w:val="00621D95"/>
    <w:rsid w:val="00621DB2"/>
    <w:rsid w:val="00624732"/>
    <w:rsid w:val="0062515B"/>
    <w:rsid w:val="00632487"/>
    <w:rsid w:val="0063248B"/>
    <w:rsid w:val="00632812"/>
    <w:rsid w:val="00634A22"/>
    <w:rsid w:val="00636566"/>
    <w:rsid w:val="00641FBE"/>
    <w:rsid w:val="00644EC6"/>
    <w:rsid w:val="0064598C"/>
    <w:rsid w:val="00650B9A"/>
    <w:rsid w:val="00651EE8"/>
    <w:rsid w:val="00653813"/>
    <w:rsid w:val="006540CC"/>
    <w:rsid w:val="0065491B"/>
    <w:rsid w:val="00655D2E"/>
    <w:rsid w:val="00660075"/>
    <w:rsid w:val="00663562"/>
    <w:rsid w:val="0067374A"/>
    <w:rsid w:val="0067456C"/>
    <w:rsid w:val="00677C0C"/>
    <w:rsid w:val="00681BC1"/>
    <w:rsid w:val="00683C36"/>
    <w:rsid w:val="00684279"/>
    <w:rsid w:val="006918C1"/>
    <w:rsid w:val="00691E1E"/>
    <w:rsid w:val="00694066"/>
    <w:rsid w:val="00696506"/>
    <w:rsid w:val="00697F53"/>
    <w:rsid w:val="006A29C7"/>
    <w:rsid w:val="006A2E45"/>
    <w:rsid w:val="006A36A4"/>
    <w:rsid w:val="006B03B7"/>
    <w:rsid w:val="006B39E9"/>
    <w:rsid w:val="006C17E0"/>
    <w:rsid w:val="006D10C5"/>
    <w:rsid w:val="006D738F"/>
    <w:rsid w:val="006E30C1"/>
    <w:rsid w:val="006E33B5"/>
    <w:rsid w:val="006E35F9"/>
    <w:rsid w:val="006E4E37"/>
    <w:rsid w:val="006F331D"/>
    <w:rsid w:val="006F4E23"/>
    <w:rsid w:val="007012E2"/>
    <w:rsid w:val="00701620"/>
    <w:rsid w:val="00706A01"/>
    <w:rsid w:val="0071317E"/>
    <w:rsid w:val="00730C23"/>
    <w:rsid w:val="00730F15"/>
    <w:rsid w:val="007342CE"/>
    <w:rsid w:val="007369BA"/>
    <w:rsid w:val="00740582"/>
    <w:rsid w:val="007414E1"/>
    <w:rsid w:val="00741B11"/>
    <w:rsid w:val="0074580C"/>
    <w:rsid w:val="00760F71"/>
    <w:rsid w:val="007617BD"/>
    <w:rsid w:val="00770D80"/>
    <w:rsid w:val="00772339"/>
    <w:rsid w:val="0078710E"/>
    <w:rsid w:val="00787F4C"/>
    <w:rsid w:val="007917B0"/>
    <w:rsid w:val="007A1A5F"/>
    <w:rsid w:val="007A34C9"/>
    <w:rsid w:val="007A6C5D"/>
    <w:rsid w:val="007A7425"/>
    <w:rsid w:val="007A7980"/>
    <w:rsid w:val="007B04FD"/>
    <w:rsid w:val="007B71B6"/>
    <w:rsid w:val="007C085F"/>
    <w:rsid w:val="007C1B58"/>
    <w:rsid w:val="007D41E1"/>
    <w:rsid w:val="007E1A57"/>
    <w:rsid w:val="007E616F"/>
    <w:rsid w:val="007E6D32"/>
    <w:rsid w:val="007F0611"/>
    <w:rsid w:val="007F2CA6"/>
    <w:rsid w:val="007F423C"/>
    <w:rsid w:val="007F71A7"/>
    <w:rsid w:val="0080149A"/>
    <w:rsid w:val="00801CA2"/>
    <w:rsid w:val="00802BFE"/>
    <w:rsid w:val="008052DA"/>
    <w:rsid w:val="00807431"/>
    <w:rsid w:val="00810763"/>
    <w:rsid w:val="00814968"/>
    <w:rsid w:val="008157BA"/>
    <w:rsid w:val="00817D8A"/>
    <w:rsid w:val="00820704"/>
    <w:rsid w:val="00821CB5"/>
    <w:rsid w:val="00826845"/>
    <w:rsid w:val="00836D7A"/>
    <w:rsid w:val="00841E41"/>
    <w:rsid w:val="0084331E"/>
    <w:rsid w:val="00843E13"/>
    <w:rsid w:val="00843F4B"/>
    <w:rsid w:val="0084597D"/>
    <w:rsid w:val="008503B3"/>
    <w:rsid w:val="00850D4E"/>
    <w:rsid w:val="00857394"/>
    <w:rsid w:val="008600E4"/>
    <w:rsid w:val="0086296B"/>
    <w:rsid w:val="008676DF"/>
    <w:rsid w:val="00867ECF"/>
    <w:rsid w:val="0087075D"/>
    <w:rsid w:val="00872CF4"/>
    <w:rsid w:val="00873E53"/>
    <w:rsid w:val="0087598A"/>
    <w:rsid w:val="00877C88"/>
    <w:rsid w:val="0088365D"/>
    <w:rsid w:val="008907C3"/>
    <w:rsid w:val="008920C9"/>
    <w:rsid w:val="008924D8"/>
    <w:rsid w:val="00892705"/>
    <w:rsid w:val="008965FF"/>
    <w:rsid w:val="00897D7D"/>
    <w:rsid w:val="008A0D61"/>
    <w:rsid w:val="008A117A"/>
    <w:rsid w:val="008A4E71"/>
    <w:rsid w:val="008B3910"/>
    <w:rsid w:val="008B564A"/>
    <w:rsid w:val="008C0767"/>
    <w:rsid w:val="008C2D26"/>
    <w:rsid w:val="008C671A"/>
    <w:rsid w:val="008D2340"/>
    <w:rsid w:val="008E2532"/>
    <w:rsid w:val="008E34E9"/>
    <w:rsid w:val="008F0C79"/>
    <w:rsid w:val="008F3DE8"/>
    <w:rsid w:val="008F4908"/>
    <w:rsid w:val="009055ED"/>
    <w:rsid w:val="00912CE3"/>
    <w:rsid w:val="009249B9"/>
    <w:rsid w:val="009269B2"/>
    <w:rsid w:val="00930D0F"/>
    <w:rsid w:val="00932779"/>
    <w:rsid w:val="009342BD"/>
    <w:rsid w:val="009345ED"/>
    <w:rsid w:val="00934ED3"/>
    <w:rsid w:val="00940505"/>
    <w:rsid w:val="00941183"/>
    <w:rsid w:val="00943EFE"/>
    <w:rsid w:val="00946CAD"/>
    <w:rsid w:val="00970925"/>
    <w:rsid w:val="00987141"/>
    <w:rsid w:val="00991A2A"/>
    <w:rsid w:val="009937AE"/>
    <w:rsid w:val="009A2328"/>
    <w:rsid w:val="009A374A"/>
    <w:rsid w:val="009B0072"/>
    <w:rsid w:val="009B01E1"/>
    <w:rsid w:val="009B5ABC"/>
    <w:rsid w:val="009C2CE3"/>
    <w:rsid w:val="009D5B6B"/>
    <w:rsid w:val="009D6B3B"/>
    <w:rsid w:val="009D71A3"/>
    <w:rsid w:val="009E5610"/>
    <w:rsid w:val="009F3027"/>
    <w:rsid w:val="009F4C02"/>
    <w:rsid w:val="009F5C01"/>
    <w:rsid w:val="00A06CAC"/>
    <w:rsid w:val="00A10C60"/>
    <w:rsid w:val="00A176D5"/>
    <w:rsid w:val="00A2357F"/>
    <w:rsid w:val="00A2557F"/>
    <w:rsid w:val="00A27711"/>
    <w:rsid w:val="00A30E4A"/>
    <w:rsid w:val="00A339CF"/>
    <w:rsid w:val="00A362B4"/>
    <w:rsid w:val="00A36FC2"/>
    <w:rsid w:val="00A41ECF"/>
    <w:rsid w:val="00A43D36"/>
    <w:rsid w:val="00A60D93"/>
    <w:rsid w:val="00A60E0E"/>
    <w:rsid w:val="00A61B62"/>
    <w:rsid w:val="00A72CBB"/>
    <w:rsid w:val="00A85159"/>
    <w:rsid w:val="00A87E8E"/>
    <w:rsid w:val="00A91D66"/>
    <w:rsid w:val="00AA4754"/>
    <w:rsid w:val="00AA4992"/>
    <w:rsid w:val="00AA4ED8"/>
    <w:rsid w:val="00AA71D5"/>
    <w:rsid w:val="00AB0EB8"/>
    <w:rsid w:val="00AB478D"/>
    <w:rsid w:val="00AC5B03"/>
    <w:rsid w:val="00AC5D5C"/>
    <w:rsid w:val="00AE27CD"/>
    <w:rsid w:val="00AF535D"/>
    <w:rsid w:val="00B02AD8"/>
    <w:rsid w:val="00B02B42"/>
    <w:rsid w:val="00B03A12"/>
    <w:rsid w:val="00B06509"/>
    <w:rsid w:val="00B06C58"/>
    <w:rsid w:val="00B158CF"/>
    <w:rsid w:val="00B23E71"/>
    <w:rsid w:val="00B26143"/>
    <w:rsid w:val="00B269CD"/>
    <w:rsid w:val="00B3068E"/>
    <w:rsid w:val="00B3103B"/>
    <w:rsid w:val="00B37BBE"/>
    <w:rsid w:val="00B46F7B"/>
    <w:rsid w:val="00B476CC"/>
    <w:rsid w:val="00B52957"/>
    <w:rsid w:val="00B552D1"/>
    <w:rsid w:val="00B5736D"/>
    <w:rsid w:val="00B57F69"/>
    <w:rsid w:val="00B6764F"/>
    <w:rsid w:val="00B76579"/>
    <w:rsid w:val="00B81305"/>
    <w:rsid w:val="00B9723D"/>
    <w:rsid w:val="00BA3A63"/>
    <w:rsid w:val="00BA589A"/>
    <w:rsid w:val="00BA78B9"/>
    <w:rsid w:val="00BC05E1"/>
    <w:rsid w:val="00BC46DE"/>
    <w:rsid w:val="00BC6BBA"/>
    <w:rsid w:val="00BD570C"/>
    <w:rsid w:val="00BE50DA"/>
    <w:rsid w:val="00BF0276"/>
    <w:rsid w:val="00BF78A3"/>
    <w:rsid w:val="00C00CE9"/>
    <w:rsid w:val="00C042B1"/>
    <w:rsid w:val="00C178D0"/>
    <w:rsid w:val="00C2256F"/>
    <w:rsid w:val="00C23F8F"/>
    <w:rsid w:val="00C24EB5"/>
    <w:rsid w:val="00C25A28"/>
    <w:rsid w:val="00C26787"/>
    <w:rsid w:val="00C3065F"/>
    <w:rsid w:val="00C34862"/>
    <w:rsid w:val="00C34F28"/>
    <w:rsid w:val="00C3506B"/>
    <w:rsid w:val="00C36FE1"/>
    <w:rsid w:val="00C40CF8"/>
    <w:rsid w:val="00C40F50"/>
    <w:rsid w:val="00C4244A"/>
    <w:rsid w:val="00C5022D"/>
    <w:rsid w:val="00C52A97"/>
    <w:rsid w:val="00C62AC4"/>
    <w:rsid w:val="00C63A99"/>
    <w:rsid w:val="00C64770"/>
    <w:rsid w:val="00C6484A"/>
    <w:rsid w:val="00C67CCF"/>
    <w:rsid w:val="00C701EA"/>
    <w:rsid w:val="00C76EFC"/>
    <w:rsid w:val="00C773B3"/>
    <w:rsid w:val="00C80C62"/>
    <w:rsid w:val="00C81F0F"/>
    <w:rsid w:val="00C82902"/>
    <w:rsid w:val="00C839A9"/>
    <w:rsid w:val="00C870AA"/>
    <w:rsid w:val="00C96635"/>
    <w:rsid w:val="00C97616"/>
    <w:rsid w:val="00CA4BB8"/>
    <w:rsid w:val="00CA68B3"/>
    <w:rsid w:val="00CB474B"/>
    <w:rsid w:val="00CC0F35"/>
    <w:rsid w:val="00CC43D4"/>
    <w:rsid w:val="00CC493C"/>
    <w:rsid w:val="00CC598E"/>
    <w:rsid w:val="00CC59FC"/>
    <w:rsid w:val="00CC65CD"/>
    <w:rsid w:val="00CD51D2"/>
    <w:rsid w:val="00CE1CDD"/>
    <w:rsid w:val="00CE65D4"/>
    <w:rsid w:val="00CE7A79"/>
    <w:rsid w:val="00CF4492"/>
    <w:rsid w:val="00D00CF7"/>
    <w:rsid w:val="00D038A8"/>
    <w:rsid w:val="00D0407A"/>
    <w:rsid w:val="00D043CC"/>
    <w:rsid w:val="00D14E29"/>
    <w:rsid w:val="00D25B51"/>
    <w:rsid w:val="00D33F84"/>
    <w:rsid w:val="00D3751C"/>
    <w:rsid w:val="00D424D1"/>
    <w:rsid w:val="00D44CFE"/>
    <w:rsid w:val="00D463F8"/>
    <w:rsid w:val="00D54F0D"/>
    <w:rsid w:val="00D56394"/>
    <w:rsid w:val="00D56CA9"/>
    <w:rsid w:val="00D56FEA"/>
    <w:rsid w:val="00D61443"/>
    <w:rsid w:val="00D621C1"/>
    <w:rsid w:val="00D6747A"/>
    <w:rsid w:val="00D776C6"/>
    <w:rsid w:val="00D77FC6"/>
    <w:rsid w:val="00D85592"/>
    <w:rsid w:val="00D866ED"/>
    <w:rsid w:val="00D907F6"/>
    <w:rsid w:val="00D93E87"/>
    <w:rsid w:val="00D94C50"/>
    <w:rsid w:val="00DA4139"/>
    <w:rsid w:val="00DA5C83"/>
    <w:rsid w:val="00DA6F1C"/>
    <w:rsid w:val="00DC192C"/>
    <w:rsid w:val="00DC76A7"/>
    <w:rsid w:val="00DD0AB5"/>
    <w:rsid w:val="00DD1273"/>
    <w:rsid w:val="00DD20B4"/>
    <w:rsid w:val="00DE121E"/>
    <w:rsid w:val="00DE76BB"/>
    <w:rsid w:val="00E03DAD"/>
    <w:rsid w:val="00E042D4"/>
    <w:rsid w:val="00E1087D"/>
    <w:rsid w:val="00E305A3"/>
    <w:rsid w:val="00E3258A"/>
    <w:rsid w:val="00E33F37"/>
    <w:rsid w:val="00E37EA3"/>
    <w:rsid w:val="00E40792"/>
    <w:rsid w:val="00E448BF"/>
    <w:rsid w:val="00E50A6B"/>
    <w:rsid w:val="00E52DD0"/>
    <w:rsid w:val="00E645EE"/>
    <w:rsid w:val="00E6497E"/>
    <w:rsid w:val="00E65CA7"/>
    <w:rsid w:val="00E67A70"/>
    <w:rsid w:val="00E701BC"/>
    <w:rsid w:val="00E74B20"/>
    <w:rsid w:val="00E878FC"/>
    <w:rsid w:val="00E9221F"/>
    <w:rsid w:val="00E927A6"/>
    <w:rsid w:val="00EA1D70"/>
    <w:rsid w:val="00EA2EEA"/>
    <w:rsid w:val="00EA2FB0"/>
    <w:rsid w:val="00EA3CE9"/>
    <w:rsid w:val="00EB1022"/>
    <w:rsid w:val="00EB2AB7"/>
    <w:rsid w:val="00EC6A3B"/>
    <w:rsid w:val="00ED1987"/>
    <w:rsid w:val="00ED1A90"/>
    <w:rsid w:val="00ED576F"/>
    <w:rsid w:val="00ED6F4E"/>
    <w:rsid w:val="00EE4F43"/>
    <w:rsid w:val="00EE62A1"/>
    <w:rsid w:val="00EF3B27"/>
    <w:rsid w:val="00EF5815"/>
    <w:rsid w:val="00F0557B"/>
    <w:rsid w:val="00F110FE"/>
    <w:rsid w:val="00F13C80"/>
    <w:rsid w:val="00F14FC5"/>
    <w:rsid w:val="00F17BE5"/>
    <w:rsid w:val="00F217C5"/>
    <w:rsid w:val="00F23C43"/>
    <w:rsid w:val="00F2605B"/>
    <w:rsid w:val="00F26C5D"/>
    <w:rsid w:val="00F304D2"/>
    <w:rsid w:val="00F32332"/>
    <w:rsid w:val="00F35D37"/>
    <w:rsid w:val="00F41E74"/>
    <w:rsid w:val="00F433E4"/>
    <w:rsid w:val="00F454A2"/>
    <w:rsid w:val="00F5404C"/>
    <w:rsid w:val="00F56652"/>
    <w:rsid w:val="00F573B0"/>
    <w:rsid w:val="00F6266E"/>
    <w:rsid w:val="00F6770B"/>
    <w:rsid w:val="00F74B4E"/>
    <w:rsid w:val="00F74CC8"/>
    <w:rsid w:val="00F863B6"/>
    <w:rsid w:val="00F9199C"/>
    <w:rsid w:val="00F92BBC"/>
    <w:rsid w:val="00F95623"/>
    <w:rsid w:val="00F96CE5"/>
    <w:rsid w:val="00FA0F55"/>
    <w:rsid w:val="00FA1547"/>
    <w:rsid w:val="00FA16BE"/>
    <w:rsid w:val="00FA18C6"/>
    <w:rsid w:val="00FA427D"/>
    <w:rsid w:val="00FA46BE"/>
    <w:rsid w:val="00FA4BC3"/>
    <w:rsid w:val="00FA5FFA"/>
    <w:rsid w:val="00FA67CD"/>
    <w:rsid w:val="00FC1161"/>
    <w:rsid w:val="00FC7294"/>
    <w:rsid w:val="00FE0A60"/>
    <w:rsid w:val="00FE4890"/>
    <w:rsid w:val="00FF5F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regpar"/>
    <w:qFormat/>
    <w:pPr>
      <w:spacing w:line="300" w:lineRule="exact"/>
      <w:jc w:val="both"/>
    </w:pPr>
    <w:rPr>
      <w:rFonts w:ascii="Times" w:hAnsi="Times" w:cs="Times"/>
      <w:sz w:val="24"/>
      <w:szCs w:val="24"/>
    </w:rPr>
  </w:style>
  <w:style w:type="paragraph" w:styleId="3">
    <w:name w:val="heading 3"/>
    <w:basedOn w:val="a"/>
    <w:link w:val="30"/>
    <w:uiPriority w:val="9"/>
    <w:qFormat/>
    <w:rsid w:val="00445F3E"/>
    <w:pPr>
      <w:spacing w:before="100" w:beforeAutospacing="1" w:after="100" w:afterAutospacing="1" w:line="240" w:lineRule="auto"/>
      <w:jc w:val="left"/>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egpar">
    <w:name w:val="regpar"/>
    <w:basedOn w:val="a"/>
    <w:pPr>
      <w:ind w:firstLine="240"/>
    </w:pPr>
  </w:style>
  <w:style w:type="paragraph" w:styleId="a3">
    <w:name w:val="footer"/>
    <w:basedOn w:val="a"/>
    <w:link w:val="a4"/>
    <w:uiPriority w:val="99"/>
    <w:pPr>
      <w:tabs>
        <w:tab w:val="center" w:pos="4320"/>
        <w:tab w:val="right" w:pos="8640"/>
      </w:tabs>
    </w:pPr>
  </w:style>
  <w:style w:type="paragraph" w:styleId="a5">
    <w:name w:val="header"/>
    <w:basedOn w:val="a"/>
    <w:pPr>
      <w:tabs>
        <w:tab w:val="center" w:pos="4200"/>
        <w:tab w:val="right" w:pos="8400"/>
      </w:tabs>
    </w:pPr>
  </w:style>
  <w:style w:type="character" w:styleId="a6">
    <w:name w:val="footnote reference"/>
    <w:rPr>
      <w:position w:val="6"/>
      <w:sz w:val="14"/>
      <w:szCs w:val="14"/>
    </w:rPr>
  </w:style>
  <w:style w:type="paragraph" w:styleId="a7">
    <w:name w:val="footnote text"/>
    <w:basedOn w:val="regpar"/>
    <w:link w:val="a8"/>
    <w:pPr>
      <w:spacing w:line="240" w:lineRule="exact"/>
    </w:pPr>
    <w:rPr>
      <w:sz w:val="20"/>
      <w:szCs w:val="20"/>
    </w:rPr>
  </w:style>
  <w:style w:type="character" w:styleId="a9">
    <w:name w:val="page number"/>
    <w:basedOn w:val="a0"/>
  </w:style>
  <w:style w:type="paragraph" w:customStyle="1" w:styleId="ER-text86">
    <w:name w:val="*ER-text 86%"/>
    <w:basedOn w:val="a"/>
  </w:style>
  <w:style w:type="paragraph" w:customStyle="1" w:styleId="abstract">
    <w:name w:val="abstract"/>
    <w:basedOn w:val="a"/>
    <w:next w:val="a"/>
    <w:pPr>
      <w:spacing w:line="260" w:lineRule="exact"/>
      <w:ind w:left="480" w:right="480"/>
    </w:pPr>
    <w:rPr>
      <w:sz w:val="22"/>
      <w:szCs w:val="22"/>
    </w:rPr>
  </w:style>
  <w:style w:type="paragraph" w:customStyle="1" w:styleId="author">
    <w:name w:val="author"/>
    <w:basedOn w:val="a"/>
    <w:next w:val="abstract"/>
    <w:pPr>
      <w:jc w:val="center"/>
    </w:pPr>
    <w:rPr>
      <w:smallCaps/>
    </w:rPr>
  </w:style>
  <w:style w:type="paragraph" w:customStyle="1" w:styleId="1">
    <w:name w:val="כותרת טקסט1"/>
    <w:basedOn w:val="a"/>
    <w:next w:val="author"/>
    <w:pPr>
      <w:jc w:val="center"/>
    </w:pPr>
    <w:rPr>
      <w:caps/>
      <w:sz w:val="28"/>
      <w:szCs w:val="28"/>
    </w:rPr>
  </w:style>
  <w:style w:type="paragraph" w:customStyle="1" w:styleId="Ahead">
    <w:name w:val="A head"/>
    <w:basedOn w:val="a"/>
    <w:next w:val="a"/>
    <w:pPr>
      <w:jc w:val="left"/>
    </w:pPr>
    <w:rPr>
      <w:caps/>
      <w:sz w:val="22"/>
      <w:szCs w:val="22"/>
    </w:rPr>
  </w:style>
  <w:style w:type="paragraph" w:customStyle="1" w:styleId="Bhead">
    <w:name w:val="B head"/>
    <w:basedOn w:val="a"/>
    <w:next w:val="a"/>
    <w:rPr>
      <w:b/>
      <w:bCs/>
    </w:rPr>
  </w:style>
  <w:style w:type="paragraph" w:customStyle="1" w:styleId="rule">
    <w:name w:val="rule"/>
    <w:basedOn w:val="a"/>
    <w:pPr>
      <w:spacing w:line="120" w:lineRule="exact"/>
      <w:jc w:val="left"/>
    </w:pPr>
    <w:rPr>
      <w:spacing w:val="-20"/>
      <w:sz w:val="12"/>
      <w:szCs w:val="12"/>
    </w:rPr>
  </w:style>
  <w:style w:type="paragraph" w:customStyle="1" w:styleId="noteseparator">
    <w:name w:val="note separator"/>
    <w:basedOn w:val="a"/>
    <w:next w:val="a7"/>
    <w:pPr>
      <w:spacing w:line="160" w:lineRule="exact"/>
    </w:pPr>
  </w:style>
  <w:style w:type="paragraph" w:customStyle="1" w:styleId="runninghead">
    <w:name w:val="running head"/>
    <w:basedOn w:val="a5"/>
    <w:rPr>
      <w:smallCaps/>
    </w:rPr>
  </w:style>
  <w:style w:type="paragraph" w:customStyle="1" w:styleId="eq">
    <w:name w:val="eq"/>
    <w:basedOn w:val="a"/>
    <w:pPr>
      <w:tabs>
        <w:tab w:val="center" w:pos="4320"/>
        <w:tab w:val="right" w:pos="8400"/>
      </w:tabs>
      <w:spacing w:line="300" w:lineRule="atLeast"/>
    </w:pPr>
  </w:style>
  <w:style w:type="paragraph" w:customStyle="1" w:styleId="Chead">
    <w:name w:val="C head"/>
    <w:basedOn w:val="a"/>
    <w:next w:val="a"/>
    <w:rPr>
      <w:i/>
      <w:iCs/>
    </w:rPr>
  </w:style>
  <w:style w:type="paragraph" w:customStyle="1" w:styleId="ARtext">
    <w:name w:val="*AR text"/>
    <w:basedOn w:val="a"/>
  </w:style>
  <w:style w:type="paragraph" w:customStyle="1" w:styleId="quotes">
    <w:name w:val="quotes"/>
    <w:basedOn w:val="a"/>
    <w:next w:val="a"/>
    <w:pPr>
      <w:spacing w:line="260" w:lineRule="exact"/>
      <w:ind w:left="480" w:right="480"/>
    </w:pPr>
    <w:rPr>
      <w:sz w:val="22"/>
      <w:szCs w:val="22"/>
    </w:rPr>
  </w:style>
  <w:style w:type="paragraph" w:customStyle="1" w:styleId="chapter">
    <w:name w:val="chapter"/>
    <w:basedOn w:val="a"/>
    <w:next w:val="1"/>
    <w:pPr>
      <w:spacing w:line="560" w:lineRule="atLeast"/>
    </w:pPr>
    <w:rPr>
      <w:i/>
      <w:iCs/>
      <w:sz w:val="36"/>
      <w:szCs w:val="36"/>
    </w:rPr>
  </w:style>
  <w:style w:type="paragraph" w:styleId="aa">
    <w:name w:val="Body Text Indent"/>
    <w:basedOn w:val="a"/>
    <w:pPr>
      <w:widowControl w:val="0"/>
      <w:ind w:left="284" w:hanging="284"/>
    </w:pPr>
  </w:style>
  <w:style w:type="character" w:styleId="Hyperlink">
    <w:name w:val="Hyperlink"/>
    <w:rPr>
      <w:color w:val="0000FF"/>
      <w:u w:val="single"/>
    </w:rPr>
  </w:style>
  <w:style w:type="paragraph" w:styleId="ab">
    <w:name w:val="Date"/>
    <w:basedOn w:val="a"/>
    <w:next w:val="a"/>
    <w:rsid w:val="00E03DAD"/>
  </w:style>
  <w:style w:type="table" w:styleId="ac">
    <w:name w:val="Table Grid"/>
    <w:basedOn w:val="a1"/>
    <w:rsid w:val="00E03DAD"/>
    <w:pPr>
      <w:spacing w:line="30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CE7A79"/>
    <w:rPr>
      <w:color w:val="800080"/>
      <w:u w:val="single"/>
    </w:rPr>
  </w:style>
  <w:style w:type="paragraph" w:styleId="ad">
    <w:name w:val="Balloon Text"/>
    <w:basedOn w:val="a"/>
    <w:link w:val="ae"/>
    <w:uiPriority w:val="99"/>
    <w:semiHidden/>
    <w:unhideWhenUsed/>
    <w:rsid w:val="00EC6A3B"/>
    <w:pPr>
      <w:spacing w:line="240" w:lineRule="auto"/>
    </w:pPr>
    <w:rPr>
      <w:rFonts w:ascii="Tahoma" w:hAnsi="Tahoma" w:cs="Tahoma"/>
      <w:sz w:val="16"/>
      <w:szCs w:val="16"/>
    </w:rPr>
  </w:style>
  <w:style w:type="character" w:customStyle="1" w:styleId="ae">
    <w:name w:val="טקסט בלונים תו"/>
    <w:link w:val="ad"/>
    <w:uiPriority w:val="99"/>
    <w:semiHidden/>
    <w:rsid w:val="00EC6A3B"/>
    <w:rPr>
      <w:rFonts w:ascii="Tahoma" w:hAnsi="Tahoma" w:cs="Tahoma"/>
      <w:sz w:val="16"/>
      <w:szCs w:val="16"/>
    </w:rPr>
  </w:style>
  <w:style w:type="paragraph" w:styleId="af">
    <w:name w:val="Revision"/>
    <w:hidden/>
    <w:uiPriority w:val="99"/>
    <w:semiHidden/>
    <w:rsid w:val="00C81F0F"/>
    <w:rPr>
      <w:rFonts w:ascii="Times" w:hAnsi="Times" w:cs="Times"/>
      <w:sz w:val="24"/>
      <w:szCs w:val="24"/>
    </w:rPr>
  </w:style>
  <w:style w:type="paragraph" w:styleId="af0">
    <w:name w:val="Plain Text"/>
    <w:basedOn w:val="a"/>
    <w:link w:val="af1"/>
    <w:uiPriority w:val="99"/>
    <w:semiHidden/>
    <w:unhideWhenUsed/>
    <w:rsid w:val="00E52DD0"/>
    <w:pPr>
      <w:spacing w:line="240" w:lineRule="auto"/>
      <w:jc w:val="left"/>
    </w:pPr>
    <w:rPr>
      <w:rFonts w:ascii="Calibri" w:eastAsia="Calibri" w:hAnsi="Calibri" w:cs="Arial"/>
      <w:sz w:val="22"/>
      <w:szCs w:val="21"/>
    </w:rPr>
  </w:style>
  <w:style w:type="character" w:customStyle="1" w:styleId="af1">
    <w:name w:val="טקסט רגיל תו"/>
    <w:link w:val="af0"/>
    <w:uiPriority w:val="99"/>
    <w:semiHidden/>
    <w:rsid w:val="00E52DD0"/>
    <w:rPr>
      <w:rFonts w:ascii="Calibri" w:eastAsia="Calibri" w:hAnsi="Calibri" w:cs="Arial"/>
      <w:sz w:val="22"/>
      <w:szCs w:val="21"/>
    </w:rPr>
  </w:style>
  <w:style w:type="paragraph" w:styleId="af2">
    <w:name w:val="List Paragraph"/>
    <w:basedOn w:val="a"/>
    <w:uiPriority w:val="34"/>
    <w:qFormat/>
    <w:rsid w:val="00C96635"/>
    <w:pPr>
      <w:ind w:left="720"/>
      <w:contextualSpacing/>
    </w:pPr>
  </w:style>
  <w:style w:type="character" w:customStyle="1" w:styleId="a4">
    <w:name w:val="כותרת תחתונה תו"/>
    <w:basedOn w:val="a0"/>
    <w:link w:val="a3"/>
    <w:uiPriority w:val="99"/>
    <w:rsid w:val="008F0C79"/>
    <w:rPr>
      <w:rFonts w:ascii="Times" w:hAnsi="Times" w:cs="Times"/>
      <w:sz w:val="24"/>
      <w:szCs w:val="24"/>
    </w:rPr>
  </w:style>
  <w:style w:type="character" w:customStyle="1" w:styleId="a8">
    <w:name w:val="טקסט הערת שוליים תו"/>
    <w:basedOn w:val="a0"/>
    <w:link w:val="a7"/>
    <w:rsid w:val="00A27711"/>
    <w:rPr>
      <w:rFonts w:ascii="Times" w:hAnsi="Times" w:cs="Times"/>
    </w:rPr>
  </w:style>
  <w:style w:type="character" w:styleId="af3">
    <w:name w:val="annotation reference"/>
    <w:basedOn w:val="a0"/>
    <w:uiPriority w:val="99"/>
    <w:semiHidden/>
    <w:unhideWhenUsed/>
    <w:rsid w:val="008D2340"/>
    <w:rPr>
      <w:sz w:val="16"/>
      <w:szCs w:val="16"/>
    </w:rPr>
  </w:style>
  <w:style w:type="paragraph" w:styleId="af4">
    <w:name w:val="annotation text"/>
    <w:basedOn w:val="a"/>
    <w:link w:val="af5"/>
    <w:uiPriority w:val="99"/>
    <w:semiHidden/>
    <w:unhideWhenUsed/>
    <w:rsid w:val="008D2340"/>
    <w:pPr>
      <w:spacing w:line="240" w:lineRule="auto"/>
    </w:pPr>
    <w:rPr>
      <w:sz w:val="20"/>
      <w:szCs w:val="20"/>
    </w:rPr>
  </w:style>
  <w:style w:type="character" w:customStyle="1" w:styleId="af5">
    <w:name w:val="טקסט הערה תו"/>
    <w:basedOn w:val="a0"/>
    <w:link w:val="af4"/>
    <w:uiPriority w:val="99"/>
    <w:semiHidden/>
    <w:rsid w:val="008D2340"/>
    <w:rPr>
      <w:rFonts w:ascii="Times" w:hAnsi="Times" w:cs="Times"/>
    </w:rPr>
  </w:style>
  <w:style w:type="paragraph" w:styleId="af6">
    <w:name w:val="annotation subject"/>
    <w:basedOn w:val="af4"/>
    <w:next w:val="af4"/>
    <w:link w:val="af7"/>
    <w:uiPriority w:val="99"/>
    <w:semiHidden/>
    <w:unhideWhenUsed/>
    <w:rsid w:val="008D2340"/>
    <w:rPr>
      <w:b/>
      <w:bCs/>
    </w:rPr>
  </w:style>
  <w:style w:type="character" w:customStyle="1" w:styleId="af7">
    <w:name w:val="נושא הערה תו"/>
    <w:basedOn w:val="af5"/>
    <w:link w:val="af6"/>
    <w:uiPriority w:val="99"/>
    <w:semiHidden/>
    <w:rsid w:val="008D2340"/>
    <w:rPr>
      <w:rFonts w:ascii="Times" w:hAnsi="Times" w:cs="Times"/>
      <w:b/>
      <w:bCs/>
    </w:rPr>
  </w:style>
  <w:style w:type="paragraph" w:styleId="NormalWeb">
    <w:name w:val="Normal (Web)"/>
    <w:basedOn w:val="a"/>
    <w:uiPriority w:val="99"/>
    <w:semiHidden/>
    <w:unhideWhenUsed/>
    <w:rsid w:val="000C46E3"/>
    <w:pPr>
      <w:spacing w:before="100" w:beforeAutospacing="1" w:after="100" w:afterAutospacing="1" w:line="240" w:lineRule="auto"/>
      <w:jc w:val="left"/>
    </w:pPr>
    <w:rPr>
      <w:rFonts w:ascii="Times New Roman" w:eastAsiaTheme="minorEastAsia" w:hAnsi="Times New Roman" w:cs="Times New Roman"/>
    </w:rPr>
  </w:style>
  <w:style w:type="character" w:customStyle="1" w:styleId="30">
    <w:name w:val="כותרת 3 תו"/>
    <w:basedOn w:val="a0"/>
    <w:link w:val="3"/>
    <w:uiPriority w:val="9"/>
    <w:rsid w:val="00445F3E"/>
    <w:rPr>
      <w:rFonts w:ascii="Times New Roman" w:hAnsi="Times New Roman"/>
      <w:b/>
      <w:bCs/>
      <w:sz w:val="27"/>
      <w:szCs w:val="27"/>
    </w:rPr>
  </w:style>
  <w:style w:type="character" w:styleId="af8">
    <w:name w:val="Strong"/>
    <w:basedOn w:val="a0"/>
    <w:uiPriority w:val="22"/>
    <w:qFormat/>
    <w:rsid w:val="00445F3E"/>
    <w:rPr>
      <w:b/>
      <w:bCs/>
    </w:rPr>
  </w:style>
  <w:style w:type="character" w:styleId="af9">
    <w:name w:val="Emphasis"/>
    <w:basedOn w:val="a0"/>
    <w:uiPriority w:val="20"/>
    <w:qFormat/>
    <w:rsid w:val="00445F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2841">
      <w:bodyDiv w:val="1"/>
      <w:marLeft w:val="0"/>
      <w:marRight w:val="0"/>
      <w:marTop w:val="0"/>
      <w:marBottom w:val="0"/>
      <w:divBdr>
        <w:top w:val="none" w:sz="0" w:space="0" w:color="auto"/>
        <w:left w:val="none" w:sz="0" w:space="0" w:color="auto"/>
        <w:bottom w:val="none" w:sz="0" w:space="0" w:color="auto"/>
        <w:right w:val="none" w:sz="0" w:space="0" w:color="auto"/>
      </w:divBdr>
    </w:div>
    <w:div w:id="1170020195">
      <w:bodyDiv w:val="1"/>
      <w:marLeft w:val="0"/>
      <w:marRight w:val="0"/>
      <w:marTop w:val="0"/>
      <w:marBottom w:val="0"/>
      <w:divBdr>
        <w:top w:val="none" w:sz="0" w:space="0" w:color="auto"/>
        <w:left w:val="none" w:sz="0" w:space="0" w:color="auto"/>
        <w:bottom w:val="none" w:sz="0" w:space="0" w:color="auto"/>
        <w:right w:val="none" w:sz="0" w:space="0" w:color="auto"/>
      </w:divBdr>
    </w:div>
    <w:div w:id="1213811366">
      <w:bodyDiv w:val="1"/>
      <w:marLeft w:val="0"/>
      <w:marRight w:val="0"/>
      <w:marTop w:val="0"/>
      <w:marBottom w:val="0"/>
      <w:divBdr>
        <w:top w:val="none" w:sz="0" w:space="0" w:color="auto"/>
        <w:left w:val="none" w:sz="0" w:space="0" w:color="auto"/>
        <w:bottom w:val="none" w:sz="0" w:space="0" w:color="auto"/>
        <w:right w:val="none" w:sz="0" w:space="0" w:color="auto"/>
      </w:divBdr>
    </w:div>
    <w:div w:id="1884975813">
      <w:bodyDiv w:val="1"/>
      <w:marLeft w:val="0"/>
      <w:marRight w:val="0"/>
      <w:marTop w:val="0"/>
      <w:marBottom w:val="0"/>
      <w:divBdr>
        <w:top w:val="none" w:sz="0" w:space="0" w:color="auto"/>
        <w:left w:val="none" w:sz="0" w:space="0" w:color="auto"/>
        <w:bottom w:val="none" w:sz="0" w:space="0" w:color="auto"/>
        <w:right w:val="none" w:sz="0" w:space="0" w:color="auto"/>
      </w:divBdr>
    </w:div>
    <w:div w:id="198215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E9343D4987C6478DC1BE6EDC107D2A" ma:contentTypeVersion="2" ma:contentTypeDescription="Create a new document." ma:contentTypeScope="" ma:versionID="accf42b3bcc0c5f4f4cd3f70261d3e4a">
  <xsd:schema xmlns:xsd="http://www.w3.org/2001/XMLSchema" xmlns:xs="http://www.w3.org/2001/XMLSchema" xmlns:p="http://schemas.microsoft.com/office/2006/metadata/properties" xmlns:ns1="http://schemas.microsoft.com/sharepoint/v3" targetNamespace="http://schemas.microsoft.com/office/2006/metadata/properties" ma:root="true" ma:fieldsID="77402afa3d4ca2a94263dbb7393923a8"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eWaveListOrderVal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element name="eWaveListOrderValue" ma:index="10" nillable="true" ma:displayName="סידור" ma:decimals="2" ma:internalName="eWaveListOrderValue" ma:readOnly="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eWaveListOrderValu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C8C08-DE6D-4052-A05A-FF43BF313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D70AE1-37F1-4A16-B90F-7D9393E12D42}">
  <ds:schemaRefs>
    <ds:schemaRef ds:uri="http://schemas.microsoft.com/sharepoint/v3/contenttype/forms"/>
  </ds:schemaRefs>
</ds:datastoreItem>
</file>

<file path=customXml/itemProps3.xml><?xml version="1.0" encoding="utf-8"?>
<ds:datastoreItem xmlns:ds="http://schemas.openxmlformats.org/officeDocument/2006/customXml" ds:itemID="{37CB3AD7-C05B-4FB1-A8D2-B75B3DAE7EF1}">
  <ds:schemaRefs>
    <ds:schemaRef ds:uri="http://schemas.microsoft.com/office/infopath/2007/PartnerControls"/>
    <ds:schemaRef ds:uri="http://purl.org/dc/terms/"/>
    <ds:schemaRef ds:uri="http://schemas.microsoft.com/office/2006/documentManagement/types"/>
    <ds:schemaRef ds:uri="http://schemas.microsoft.com/sharepoint/v3"/>
    <ds:schemaRef ds:uri="http://purl.org/dc/elements/1.1/"/>
    <ds:schemaRef ds:uri="http://schemas.openxmlformats.org/package/2006/metadata/core-properties"/>
    <ds:schemaRef ds:uri="http://www.w3.org/XML/1998/namespace"/>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0EF7E3ED-C0C2-4DB4-8963-F7BFB6FE5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2802</Characters>
  <Application>Microsoft Office Word</Application>
  <DocSecurity>4</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2026-11-02T11:41:00Z</dcterms:created>
  <dcterms:modified xsi:type="dcterms:W3CDTF">2026-11-02T11:41:00Z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0x010100BEE9343D4987C6478DC1BE6EDC107D2A</vt:lpwstr>
  </property>
</Properties>
</file>