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p>
    <w:p w:rsidR="007926C7" w:rsidRPr="003B4DD7" w:rsidRDefault="00ED0F40" w:rsidP="00ED0F40">
      <w:pPr>
        <w:bidi w:val="0"/>
        <w:jc w:val="both"/>
        <w:rPr>
          <w:rFonts w:asciiTheme="majorBidi" w:hAnsiTheme="majorBidi" w:cstheme="majorBidi"/>
        </w:rPr>
      </w:pPr>
      <w:r>
        <w:rPr>
          <w:rFonts w:asciiTheme="majorBidi" w:hAnsiTheme="majorBidi" w:cstheme="majorBidi"/>
        </w:rPr>
        <w:t>May</w:t>
      </w:r>
      <w:r w:rsidR="00E16FFB">
        <w:rPr>
          <w:rFonts w:asciiTheme="majorBidi" w:hAnsiTheme="majorBidi" w:cstheme="majorBidi"/>
        </w:rPr>
        <w:t xml:space="preserve"> </w:t>
      </w:r>
      <w:r>
        <w:rPr>
          <w:rFonts w:asciiTheme="majorBidi" w:hAnsiTheme="majorBidi" w:cstheme="majorBidi"/>
        </w:rPr>
        <w:t>24</w:t>
      </w:r>
      <w:r w:rsidR="00E16FFB">
        <w:rPr>
          <w:rFonts w:asciiTheme="majorBidi" w:hAnsiTheme="majorBidi" w:cstheme="majorBidi"/>
        </w:rPr>
        <w:t>, 202</w:t>
      </w:r>
      <w:r>
        <w:rPr>
          <w:rFonts w:asciiTheme="majorBidi" w:hAnsiTheme="majorBidi" w:cstheme="majorBidi"/>
        </w:rPr>
        <w:t>3</w:t>
      </w:r>
    </w:p>
    <w:p w:rsidR="007926C7" w:rsidRPr="003B4DD7" w:rsidRDefault="007926C7" w:rsidP="00A3549C">
      <w:pPr>
        <w:bidi w:val="0"/>
        <w:jc w:val="both"/>
        <w:rPr>
          <w:rFonts w:asciiTheme="majorBidi" w:hAnsiTheme="majorBidi" w:cstheme="majorBidi"/>
        </w:rPr>
      </w:pPr>
    </w:p>
    <w:p w:rsidR="00892A46" w:rsidRPr="003B4DD7" w:rsidRDefault="00892A46" w:rsidP="00A3549C">
      <w:pPr>
        <w:bidi w:val="0"/>
        <w:jc w:val="both"/>
        <w:rPr>
          <w:rFonts w:asciiTheme="majorBidi" w:hAnsiTheme="majorBidi" w:cstheme="majorBidi"/>
        </w:rPr>
      </w:pPr>
      <w:r w:rsidRPr="003B4DD7">
        <w:rPr>
          <w:rFonts w:asciiTheme="majorBidi" w:hAnsiTheme="majorBidi" w:cstheme="majorBidi"/>
        </w:rPr>
        <w:t>Press Release:</w:t>
      </w:r>
    </w:p>
    <w:p w:rsidR="00892A46" w:rsidRPr="003B4DD7" w:rsidRDefault="00892A46" w:rsidP="00A3549C">
      <w:pPr>
        <w:tabs>
          <w:tab w:val="center" w:pos="4156"/>
          <w:tab w:val="right" w:pos="8312"/>
        </w:tabs>
        <w:bidi w:val="0"/>
        <w:jc w:val="both"/>
        <w:rPr>
          <w:rFonts w:asciiTheme="majorBidi" w:hAnsiTheme="majorBidi" w:cstheme="majorBidi"/>
        </w:rPr>
      </w:pPr>
    </w:p>
    <w:p w:rsidR="003B4DD7" w:rsidRPr="003B4DD7" w:rsidRDefault="003B4DD7" w:rsidP="00A3549C">
      <w:pPr>
        <w:tabs>
          <w:tab w:val="center" w:pos="4156"/>
          <w:tab w:val="right" w:pos="8312"/>
        </w:tabs>
        <w:bidi w:val="0"/>
        <w:jc w:val="both"/>
        <w:rPr>
          <w:rFonts w:asciiTheme="majorBidi" w:hAnsiTheme="majorBidi" w:cstheme="majorBidi"/>
        </w:rPr>
      </w:pPr>
    </w:p>
    <w:p w:rsidR="00A3549C" w:rsidRDefault="00A3549C" w:rsidP="00A3549C">
      <w:pPr>
        <w:bidi w:val="0"/>
        <w:jc w:val="center"/>
        <w:rPr>
          <w:b/>
          <w:bCs/>
        </w:rPr>
      </w:pPr>
      <w:bookmarkStart w:id="0" w:name="_GoBack"/>
      <w:r w:rsidRPr="00A3549C">
        <w:rPr>
          <w:b/>
          <w:bCs/>
          <w:sz w:val="32"/>
          <w:szCs w:val="32"/>
        </w:rPr>
        <w:t>Remarks by the Supervisor of Banks</w:t>
      </w:r>
      <w:r w:rsidR="007455AF">
        <w:rPr>
          <w:b/>
          <w:bCs/>
          <w:sz w:val="32"/>
          <w:szCs w:val="32"/>
        </w:rPr>
        <w:t xml:space="preserve">, </w:t>
      </w:r>
      <w:proofErr w:type="spellStart"/>
      <w:r w:rsidR="007455AF">
        <w:rPr>
          <w:b/>
          <w:bCs/>
          <w:sz w:val="32"/>
          <w:szCs w:val="32"/>
        </w:rPr>
        <w:t>Yair</w:t>
      </w:r>
      <w:proofErr w:type="spellEnd"/>
      <w:r w:rsidR="007455AF">
        <w:rPr>
          <w:b/>
          <w:bCs/>
          <w:sz w:val="32"/>
          <w:szCs w:val="32"/>
        </w:rPr>
        <w:t xml:space="preserve"> </w:t>
      </w:r>
      <w:proofErr w:type="spellStart"/>
      <w:r w:rsidR="007455AF">
        <w:rPr>
          <w:b/>
          <w:bCs/>
          <w:sz w:val="32"/>
          <w:szCs w:val="32"/>
        </w:rPr>
        <w:t>Avidan</w:t>
      </w:r>
      <w:proofErr w:type="spellEnd"/>
      <w:r w:rsidR="007455AF">
        <w:rPr>
          <w:b/>
          <w:bCs/>
          <w:sz w:val="32"/>
          <w:szCs w:val="32"/>
        </w:rPr>
        <w:t>,</w:t>
      </w:r>
      <w:r w:rsidRPr="00A3549C">
        <w:rPr>
          <w:b/>
          <w:bCs/>
          <w:sz w:val="32"/>
          <w:szCs w:val="32"/>
        </w:rPr>
        <w:t xml:space="preserve"> at the Conference </w:t>
      </w:r>
      <w:r>
        <w:rPr>
          <w:b/>
          <w:bCs/>
          <w:sz w:val="32"/>
          <w:szCs w:val="32"/>
        </w:rPr>
        <w:t xml:space="preserve">Marking </w:t>
      </w:r>
      <w:r w:rsidRPr="00A3549C">
        <w:rPr>
          <w:b/>
          <w:bCs/>
          <w:sz w:val="32"/>
          <w:szCs w:val="32"/>
        </w:rPr>
        <w:t>Fifty Years of the Banking Supervision Department Survey</w:t>
      </w:r>
      <w:bookmarkEnd w:id="0"/>
    </w:p>
    <w:p w:rsidR="00A3549C" w:rsidRDefault="00A3549C" w:rsidP="00436C35">
      <w:pPr>
        <w:bidi w:val="0"/>
        <w:spacing w:line="300" w:lineRule="exact"/>
        <w:jc w:val="both"/>
      </w:pPr>
    </w:p>
    <w:p w:rsidR="00A3549C" w:rsidRDefault="00A3549C" w:rsidP="00436C35">
      <w:pPr>
        <w:bidi w:val="0"/>
        <w:spacing w:line="300" w:lineRule="exact"/>
        <w:jc w:val="both"/>
      </w:pPr>
      <w:r>
        <w:t xml:space="preserve">Governor of the Bank of Israel, Director General of the Bank of Israel, members of Bank of Israel management, former supervisors, members of the </w:t>
      </w:r>
      <w:proofErr w:type="spellStart"/>
      <w:r>
        <w:t>Heth</w:t>
      </w:r>
      <w:proofErr w:type="spellEnd"/>
      <w:r>
        <w:t xml:space="preserve"> family, chairs and CEOs of the banks and credit card companies, CEO of the Association of Banks, managers and staff of the Banking Supervision Department, eminent invitees: </w:t>
      </w:r>
    </w:p>
    <w:p w:rsidR="00A3549C" w:rsidRDefault="00A3549C" w:rsidP="00436C35">
      <w:pPr>
        <w:pStyle w:val="PS"/>
        <w:spacing w:line="300" w:lineRule="exact"/>
        <w:ind w:firstLine="0"/>
        <w:jc w:val="both"/>
      </w:pPr>
    </w:p>
    <w:p w:rsidR="00A3549C" w:rsidRDefault="00A3549C" w:rsidP="00436C35">
      <w:pPr>
        <w:pStyle w:val="PS"/>
        <w:spacing w:line="300" w:lineRule="exact"/>
        <w:ind w:firstLine="0"/>
        <w:jc w:val="both"/>
      </w:pPr>
      <w:r>
        <w:t>I am very excited to be here today, at this esteemed conference.</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Once I was young; then I matured. Some of you were my teachers and mentors and a few of you did not even know it. You built a legacy. You built a home, a developing home, a growing home, a home suited to the challenges of time and place. A home that’s prepared to develop and to deal with tomorrow’s challenges as well.</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So, before anything else—thank you all!</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From the perspective of many years of activity of the Banking Supervision Department, I would say very briefly that the Supervisors of Banks were shaped by various factors of the developments and challenges that they faced. I begin by relating to four main pillars of the vision, objectives, and activity of the Department that, in my estimation, are also correct from an international perspective.</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The developments and challenges that the supervisors confronted were shaped by technological progress, globalization, financial crises, geopolitical crises, crises derived from wars, the evolution of new risks, evolving regulatory frameworks, the development of products and services, and changes in consumers’ patterns of consumption and behavior, to name only a few. The supervisors had to adjust their approaches, impose tougher risk-based supervision, and cooperate with domestic and international colleagues in order to assure the stability and integrity of the banking system. Although many take the stability of the domestic banking system for granted, recent events in the global financial system have made it doubly important today.</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 xml:space="preserve">The development of consumer protection has been typified by heightened disclosure demands, legislation and regulation relating to fairness, tougher consumer enforcement, improvement of complaint-handling processes, consumer financial education, and </w:t>
      </w:r>
      <w:r>
        <w:rPr>
          <w:szCs w:val="24"/>
        </w:rPr>
        <w:lastRenderedPageBreak/>
        <w:t>current issues associated with information privacy and cyber security. Efforts to deal with them helped to reinforce the public’s trust, promote fairness and transparency in the financial services industry, and protect consumers’ interests. Society’s expectations of banks are escalating and expanding into areas that now command central status and supreme importance, including the demand for considerable social involvement and responsibility, strengthening and preserving values of equality, and financial inclusion of all population groups.</w:t>
      </w:r>
    </w:p>
    <w:p w:rsidR="00A3549C" w:rsidRDefault="00A3549C" w:rsidP="00436C35">
      <w:pPr>
        <w:pStyle w:val="PS"/>
        <w:spacing w:line="300" w:lineRule="exact"/>
        <w:ind w:firstLine="0"/>
        <w:jc w:val="both"/>
        <w:rPr>
          <w:szCs w:val="24"/>
        </w:rPr>
      </w:pPr>
    </w:p>
    <w:p w:rsidR="00A3549C" w:rsidRDefault="00436C35" w:rsidP="00436C35">
      <w:pPr>
        <w:pStyle w:val="PS"/>
        <w:spacing w:line="300" w:lineRule="exact"/>
        <w:ind w:firstLine="0"/>
        <w:jc w:val="both"/>
        <w:rPr>
          <w:szCs w:val="24"/>
        </w:rPr>
      </w:pPr>
      <w:r>
        <w:rPr>
          <w:szCs w:val="24"/>
        </w:rPr>
        <w:t xml:space="preserve">Regarding </w:t>
      </w:r>
      <w:r w:rsidR="00A3549C">
        <w:rPr>
          <w:szCs w:val="24"/>
        </w:rPr>
        <w:t xml:space="preserve">competition, the banking industry has witnessed meaningful developments in this field in recent decades due to deregulation, technological progress, globalization, competition from nonbank entities, mergers and acquisitions, regulatory reforms, and the focus on consumer choice. These factors have cultivated a more competitive environment that encourages innovation, efficiency, and better services for consumers. Financial information about customers, once the sole possession of banking corporations, is now available openly and accessibly, allowing valuable services and offers to be given to customers on an individual bases and tailored to the nature and characteristics of their activity. Competition is expected to continue intensifying in coming years as many measures promoted by the Banking Supervision Department, and by many other worthy players, </w:t>
      </w:r>
      <w:r>
        <w:rPr>
          <w:szCs w:val="24"/>
        </w:rPr>
        <w:t xml:space="preserve">mature </w:t>
      </w:r>
      <w:r w:rsidR="00A3549C">
        <w:rPr>
          <w:szCs w:val="24"/>
        </w:rPr>
        <w:t>and move toward completion.</w:t>
      </w:r>
    </w:p>
    <w:p w:rsidR="00A3549C" w:rsidRDefault="00A3549C"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As for the significant infrastructure of supervisory human resources, its development has been affected by challenges such as technological progress, regulatory complexity, globalization, and the public services’ ability to attract and retain talent. To cope with these challenges, the Department has focused on improving and empowering expertise, ongoing professional development, knowledge-sharing, creating a sense of mission, and attaining the highest level of professional standards. These developments are vital in building a trained and talented workforce capable of supervising the banking industry effectively.</w:t>
      </w:r>
    </w:p>
    <w:p w:rsidR="006465FB" w:rsidRDefault="006465FB" w:rsidP="00436C35">
      <w:pPr>
        <w:pStyle w:val="PS"/>
        <w:spacing w:line="300" w:lineRule="exact"/>
        <w:ind w:firstLine="0"/>
        <w:jc w:val="both"/>
        <w:rPr>
          <w:szCs w:val="24"/>
        </w:rPr>
      </w:pPr>
    </w:p>
    <w:p w:rsidR="00A3549C" w:rsidRDefault="00A3549C" w:rsidP="006465FB">
      <w:pPr>
        <w:pStyle w:val="PS"/>
        <w:spacing w:line="300" w:lineRule="exact"/>
        <w:ind w:firstLine="0"/>
        <w:jc w:val="both"/>
        <w:rPr>
          <w:szCs w:val="24"/>
        </w:rPr>
      </w:pPr>
      <w:r>
        <w:rPr>
          <w:szCs w:val="24"/>
        </w:rPr>
        <w:t>Analyzing and surveying the Department’s activity today and tomorrow in an evolutionary and developing world, I note that everyone seated here today—</w:t>
      </w:r>
      <w:r w:rsidRPr="007A31C2">
        <w:rPr>
          <w:szCs w:val="24"/>
        </w:rPr>
        <w:t xml:space="preserve"> </w:t>
      </w:r>
      <w:r>
        <w:rPr>
          <w:szCs w:val="24"/>
        </w:rPr>
        <w:t xml:space="preserve">particularly the supervisors—has a meaningful role to play in the structure, vision, objectives, and infrastructures of supervision including ethos, </w:t>
      </w:r>
      <w:r w:rsidR="006465FB">
        <w:rPr>
          <w:szCs w:val="24"/>
        </w:rPr>
        <w:t>stateliness</w:t>
      </w:r>
      <w:r>
        <w:rPr>
          <w:szCs w:val="24"/>
        </w:rPr>
        <w:t>, responsibility, a state-level perspective, and an eye on the well-being of the economy and society.</w:t>
      </w:r>
    </w:p>
    <w:p w:rsidR="006465FB" w:rsidRDefault="006465FB" w:rsidP="00436C35">
      <w:pPr>
        <w:pStyle w:val="PS"/>
        <w:spacing w:line="300" w:lineRule="exact"/>
        <w:ind w:firstLine="0"/>
        <w:jc w:val="both"/>
        <w:rPr>
          <w:szCs w:val="24"/>
        </w:rPr>
      </w:pPr>
    </w:p>
    <w:p w:rsidR="00A3549C" w:rsidRDefault="00A3549C" w:rsidP="00CE124A">
      <w:pPr>
        <w:pStyle w:val="PS"/>
        <w:spacing w:line="300" w:lineRule="exact"/>
        <w:ind w:firstLine="0"/>
        <w:jc w:val="both"/>
        <w:rPr>
          <w:szCs w:val="24"/>
        </w:rPr>
      </w:pPr>
      <w:r>
        <w:rPr>
          <w:szCs w:val="24"/>
        </w:rPr>
        <w:t xml:space="preserve">From a present-day point of view, the year 2023 </w:t>
      </w:r>
      <w:r w:rsidR="00CE124A">
        <w:rPr>
          <w:szCs w:val="24"/>
        </w:rPr>
        <w:t xml:space="preserve">comes with </w:t>
      </w:r>
      <w:r>
        <w:rPr>
          <w:szCs w:val="24"/>
        </w:rPr>
        <w:t xml:space="preserve">a steep increase in uncertainty. In the domestic arena, this surge of uncertainty originates, </w:t>
      </w:r>
      <w:r>
        <w:rPr>
          <w:i/>
          <w:iCs/>
          <w:szCs w:val="24"/>
        </w:rPr>
        <w:t xml:space="preserve">inter alia, </w:t>
      </w:r>
      <w:r>
        <w:rPr>
          <w:szCs w:val="24"/>
        </w:rPr>
        <w:t>in the potential of the promotion of major legislative changes relating to the judicial system in the absence of broad consensus. Insofar as the changes impair the institutions’ independence and strength, they may also harm the activity and prosperity of the Israeli economy over time and also find expression in the performance of the banking system.</w:t>
      </w:r>
    </w:p>
    <w:p w:rsidR="00CE124A" w:rsidRDefault="00CE124A"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Amid these developments are international ones. The first few months of 2023 have seen several bank failures in the United States and Europe, influenced among other things by changes in the global macroeconomic environment. These events underscore the importance of a stable and reliable banking system for support of the economy.</w:t>
      </w:r>
    </w:p>
    <w:p w:rsidR="00CE124A" w:rsidRDefault="00CE124A"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These occurrences place even more emphasis on the importance of the resilience of a banking system that is based on high-quality corporate governance, professional and holistic risk management, high regulatory standards, and tough supervision.</w:t>
      </w:r>
    </w:p>
    <w:p w:rsidR="00CE124A" w:rsidRDefault="00CE124A" w:rsidP="00436C35">
      <w:pPr>
        <w:pStyle w:val="PS"/>
        <w:spacing w:line="300" w:lineRule="exact"/>
        <w:ind w:firstLine="0"/>
        <w:jc w:val="both"/>
        <w:rPr>
          <w:szCs w:val="24"/>
        </w:rPr>
      </w:pPr>
    </w:p>
    <w:p w:rsidR="00A3549C" w:rsidRDefault="00A3549C" w:rsidP="00CE124A">
      <w:pPr>
        <w:pStyle w:val="PS"/>
        <w:spacing w:line="300" w:lineRule="exact"/>
        <w:ind w:firstLine="0"/>
        <w:jc w:val="both"/>
        <w:rPr>
          <w:szCs w:val="24"/>
        </w:rPr>
      </w:pPr>
      <w:r>
        <w:rPr>
          <w:szCs w:val="24"/>
        </w:rPr>
        <w:t xml:space="preserve">The Bank of Israel and the Banking Supervision Department, as an integral part of the Bank, will continue, as always, to supervise and monitor the ingrained and evolving risks that arise in the activity of the banking system. The Department will act, to the extent necessary, by </w:t>
      </w:r>
      <w:r w:rsidR="00CE124A">
        <w:rPr>
          <w:szCs w:val="24"/>
        </w:rPr>
        <w:t xml:space="preserve">utilizing </w:t>
      </w:r>
      <w:r>
        <w:rPr>
          <w:szCs w:val="24"/>
        </w:rPr>
        <w:t>the tools available to it and by tailoring its activity and capabilities to current and developing challenges in accordance with accepted professional and international standards adjusted to domestic needs.</w:t>
      </w:r>
    </w:p>
    <w:p w:rsidR="00CE124A" w:rsidRDefault="00CE124A"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 xml:space="preserve">The late Professor </w:t>
      </w:r>
      <w:proofErr w:type="spellStart"/>
      <w:r>
        <w:rPr>
          <w:szCs w:val="24"/>
        </w:rPr>
        <w:t>Heth</w:t>
      </w:r>
      <w:proofErr w:type="spellEnd"/>
      <w:r>
        <w:rPr>
          <w:szCs w:val="24"/>
        </w:rPr>
        <w:t xml:space="preserve"> was the third Supervisor of Banks and, to some extent, he laid the foundations of the Banking Supervision Department. Some of the processes, units, and products installed during his term as the Supervisor are still with us. Indeed, since 1972 the Department has been publishing a broad and comprehensive annual survey of developments in the banking system. The survey for 2022, published this morning, is the fiftieth in the series.</w:t>
      </w:r>
    </w:p>
    <w:p w:rsidR="00CE124A" w:rsidRDefault="00CE124A"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Looking back at half a century of supervision and banking and sharing it with those who held the Supervisor’s post during that time, I am amazed by the extent to which some of the topics and challenges down the generations remain relevant even though each was unique in its era.</w:t>
      </w:r>
    </w:p>
    <w:p w:rsidR="00CE124A" w:rsidRDefault="00CE124A"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In the remarks that follow, I will try to elaborate on several matters that substantiate the similarities and dissimilarities of the challenges that we face at our desks as supervisors.</w:t>
      </w:r>
    </w:p>
    <w:p w:rsidR="00A3549C" w:rsidRDefault="00A3549C" w:rsidP="00CE124A">
      <w:pPr>
        <w:pStyle w:val="PS"/>
        <w:spacing w:line="300" w:lineRule="exact"/>
        <w:ind w:firstLine="0"/>
        <w:jc w:val="both"/>
        <w:rPr>
          <w:szCs w:val="24"/>
        </w:rPr>
      </w:pPr>
      <w:r>
        <w:rPr>
          <w:szCs w:val="24"/>
        </w:rPr>
        <w:t>Most of us, at varying levels of intensity, have dealt with promoting an advanced legislative and regulatory infrastructure in the field of banking, thoroughly understanding the importance of a complete and advanced legislative infrastructure for the development of a healthy and well developed banking industry in the Israeli economy. Here I refer to the adjustment of the Banking Ordinance, the Banking (Licensing) Law, the Banking (</w:t>
      </w:r>
      <w:r w:rsidR="00CE124A">
        <w:rPr>
          <w:szCs w:val="24"/>
        </w:rPr>
        <w:t xml:space="preserve">Service to the </w:t>
      </w:r>
      <w:r>
        <w:rPr>
          <w:szCs w:val="24"/>
        </w:rPr>
        <w:t>Customer)</w:t>
      </w:r>
      <w:r w:rsidRPr="000F783F">
        <w:rPr>
          <w:szCs w:val="24"/>
        </w:rPr>
        <w:t xml:space="preserve"> </w:t>
      </w:r>
      <w:r>
        <w:rPr>
          <w:szCs w:val="24"/>
        </w:rPr>
        <w:t>Law, and other statutes in order to tailor them to the current and the evolving reality. The challenge of promoting banking-legislation processes has accompanied all of us. Today, too, it is one of the most meaningful challenges that we have, and it will continue to stalk and challenge supervisory activity so that it may respond appropriately to the development of the business models, products, and services, and the challenges of the business model that is typified, today more than ever, as having revolutionary dimensions.</w:t>
      </w:r>
    </w:p>
    <w:p w:rsidR="008756F3" w:rsidRDefault="008756F3" w:rsidP="00CE124A">
      <w:pPr>
        <w:pStyle w:val="PS"/>
        <w:spacing w:line="300" w:lineRule="exact"/>
        <w:ind w:firstLine="0"/>
        <w:jc w:val="both"/>
        <w:rPr>
          <w:szCs w:val="24"/>
        </w:rPr>
      </w:pPr>
    </w:p>
    <w:p w:rsidR="00A3549C" w:rsidRDefault="00A3549C" w:rsidP="00CE124A">
      <w:pPr>
        <w:pStyle w:val="PS"/>
        <w:spacing w:line="300" w:lineRule="exact"/>
        <w:ind w:firstLine="0"/>
        <w:jc w:val="both"/>
        <w:rPr>
          <w:szCs w:val="24"/>
        </w:rPr>
      </w:pPr>
      <w:r>
        <w:rPr>
          <w:szCs w:val="24"/>
        </w:rPr>
        <w:t xml:space="preserve">Another crucial issue that deserves attention is the delivery of adequate banking services with emphasis on processes of business and functional continuity that will ensure adequate service even during emergencies and extreme events. The importance of business continuity has been, and remains, clear in supervisory life at all times. The events and scenarios may vary but the essence remains similar. To demonstrate this, the mass mobilization compelled by the Yom Kippur War created major hardships in staffing bank branches, resulting in measures to delay repayment of loans and expansion of corporate credit facilities. During the </w:t>
      </w:r>
      <w:r w:rsidR="00CE124A">
        <w:rPr>
          <w:szCs w:val="24"/>
        </w:rPr>
        <w:t>COVID-19</w:t>
      </w:r>
      <w:r>
        <w:rPr>
          <w:szCs w:val="24"/>
        </w:rPr>
        <w:t xml:space="preserve"> era, which somewhat resembled the time of the Yom Kippur War, the banking system, facing a shortage of service staff, acted to delay loan repayments on an unprecedented scale and coped meaningfully in order to continue delivering adequate and appropriate service to customers despite the limitations and the hardships. It is true that the ability to provide digital services did not exist in the early 1970s, unlike the situation today, in which households carry out nearly 90 percent of their banking activity digitally.</w:t>
      </w:r>
    </w:p>
    <w:p w:rsidR="008756F3" w:rsidRDefault="008756F3" w:rsidP="00CE124A">
      <w:pPr>
        <w:pStyle w:val="PS"/>
        <w:spacing w:line="300" w:lineRule="exact"/>
        <w:ind w:firstLine="0"/>
        <w:jc w:val="both"/>
        <w:rPr>
          <w:szCs w:val="24"/>
        </w:rPr>
      </w:pPr>
    </w:p>
    <w:p w:rsidR="00A3549C" w:rsidRDefault="00A3549C" w:rsidP="00DF6EC0">
      <w:pPr>
        <w:pStyle w:val="PS"/>
        <w:spacing w:line="300" w:lineRule="exact"/>
        <w:ind w:firstLine="0"/>
        <w:jc w:val="both"/>
        <w:rPr>
          <w:szCs w:val="24"/>
        </w:rPr>
      </w:pPr>
      <w:r>
        <w:rPr>
          <w:szCs w:val="24"/>
        </w:rPr>
        <w:lastRenderedPageBreak/>
        <w:t xml:space="preserve">Now, a few words about the trend of mergers among banking institutions. This phenomenon, too, has varied in intensity during the period reviewed. In the past three years, the banking system—global and domestic—has been trending toward mergers and acquisitions. This tendency usually presents itself not so much due to bank failures but to the </w:t>
      </w:r>
      <w:r w:rsidR="008756F3">
        <w:rPr>
          <w:szCs w:val="24"/>
        </w:rPr>
        <w:t xml:space="preserve">economies of scale </w:t>
      </w:r>
      <w:r>
        <w:rPr>
          <w:szCs w:val="24"/>
        </w:rPr>
        <w:t xml:space="preserve">that exist in the banking industry along with the business, regulatory, technological, and other challenges that expose the disadvantage of these corporations’ small size before the merger. Incidentally, scale economies are becoming more and more important in our era of mammoth investments in information systems, development of models, and management of information-security and cyber risks. It is true that some of the recent mergers in the </w:t>
      </w:r>
      <w:r w:rsidR="00DF6EC0">
        <w:rPr>
          <w:szCs w:val="24"/>
        </w:rPr>
        <w:t>US</w:t>
      </w:r>
      <w:r>
        <w:rPr>
          <w:szCs w:val="24"/>
        </w:rPr>
        <w:t xml:space="preserve"> banking system were necessitated by bank failures. Still, amid the merger and closure of banks, there has been criticism in the </w:t>
      </w:r>
      <w:r w:rsidR="00DF6EC0">
        <w:rPr>
          <w:szCs w:val="24"/>
        </w:rPr>
        <w:t xml:space="preserve">US </w:t>
      </w:r>
      <w:r>
        <w:rPr>
          <w:szCs w:val="24"/>
        </w:rPr>
        <w:t>and a major regulatory push toward establishing new banks in view of the falling numbers of banks in the system.</w:t>
      </w:r>
    </w:p>
    <w:p w:rsidR="00DF6EC0" w:rsidRDefault="00DF6EC0" w:rsidP="00DF6EC0">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 xml:space="preserve">The number of banks in Israel, too, is dwindling. Here it is correct to mention the years of abundant criticism of concentration in the banking system, the profitability of the system—which has reached record levels in the past two years—and the implications of the matter for fairness and bank–customer relations. The topic of concentration has commanded headlines and resonance on the watch of most of us as supervisors. It remains current today and has recently been discussed by the committee on concentration and the commission that has been examining the structure of financial supervision. It also surfaces regularly in the deliberations of the Finance and Economic </w:t>
      </w:r>
      <w:r w:rsidR="00587BBE">
        <w:rPr>
          <w:szCs w:val="24"/>
        </w:rPr>
        <w:t xml:space="preserve">Affairs </w:t>
      </w:r>
      <w:r>
        <w:rPr>
          <w:szCs w:val="24"/>
        </w:rPr>
        <w:t>committees and seems unlikely to fall off the agenda in the foreseeable future.</w:t>
      </w:r>
    </w:p>
    <w:p w:rsidR="00587BBE" w:rsidRDefault="00587BBE"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Speaking of criticism, there is no avoiding mention of the broad and lively public discourse about supervisory activity, also often accompanied with criticism, that we have all experienced. The public discourse has positive and important value, although its characteristics and nature may lack such value at times. The Department is attentive to the public discourse, has learned from it, and has even improved itself due to it. Obviously, the circumstances, reasons, and extent of the criticism vary somewhat from one period to another. Today, digitization, social networks, and the pace of developments, accompanied to some extent by parliamentary activism, have a challenging effect and mandate the need for alertness, rapid response and attention, and so on.</w:t>
      </w:r>
    </w:p>
    <w:p w:rsidR="005C3A07" w:rsidRDefault="005C3A07" w:rsidP="00436C35">
      <w:pPr>
        <w:pStyle w:val="PS"/>
        <w:spacing w:line="300" w:lineRule="exact"/>
        <w:ind w:firstLine="0"/>
        <w:jc w:val="both"/>
        <w:rPr>
          <w:szCs w:val="24"/>
        </w:rPr>
      </w:pPr>
    </w:p>
    <w:p w:rsidR="00A3549C" w:rsidRDefault="00A3549C" w:rsidP="00BD6DE5">
      <w:pPr>
        <w:pStyle w:val="PS"/>
        <w:spacing w:line="300" w:lineRule="exact"/>
        <w:ind w:firstLine="0"/>
        <w:jc w:val="both"/>
        <w:rPr>
          <w:szCs w:val="24"/>
        </w:rPr>
      </w:pPr>
      <w:r>
        <w:rPr>
          <w:szCs w:val="24"/>
        </w:rPr>
        <w:t xml:space="preserve">It is in technological development and its effects that the difference among periods in the Banking Supervision Department’s work is most </w:t>
      </w:r>
      <w:r w:rsidR="006172E0">
        <w:rPr>
          <w:szCs w:val="24"/>
        </w:rPr>
        <w:t>notable</w:t>
      </w:r>
      <w:r>
        <w:rPr>
          <w:szCs w:val="24"/>
        </w:rPr>
        <w:t xml:space="preserve">. This is not to say that technology and its effects have not been meaningful at all times. Rather, I wish to emphasize the pace, the </w:t>
      </w:r>
      <w:r w:rsidR="006172E0">
        <w:rPr>
          <w:szCs w:val="24"/>
        </w:rPr>
        <w:t>range</w:t>
      </w:r>
      <w:r>
        <w:rPr>
          <w:szCs w:val="24"/>
        </w:rPr>
        <w:t xml:space="preserve">, and the breadth of the effect, which are typified by variance among different periods. Today, the banking system uses advanced technology to manage its activity and provide advanced and efficient service for its population of customers, who now carry out most of their activity along direct and digital channels and not along the traditional paths of service—the bank branch and the telephone call center. To serve them, optimal practices in managing risks in technology, information security, outsourcing, and cyber are needed. The last-mentioned field, cyber risks, is universally acknowledged as the most </w:t>
      </w:r>
      <w:r w:rsidR="00BD6DE5">
        <w:rPr>
          <w:szCs w:val="24"/>
        </w:rPr>
        <w:t xml:space="preserve">serious </w:t>
      </w:r>
      <w:r>
        <w:rPr>
          <w:szCs w:val="24"/>
        </w:rPr>
        <w:t xml:space="preserve">and troubling in recent years and also, perhaps, going forward. From the banks’ perspective, the management of these risks is no less important, and sometimes even more important, than the management of traditional risks such as credit, interest, and market risks. To avoid underestimating the technological challenge, I emphasize the traditional banks’ integration of core banking systems, which have been serving the system in recent decades, and </w:t>
      </w:r>
      <w:r w:rsidR="007455AF" w:rsidRPr="007455AF">
        <w:rPr>
          <w:szCs w:val="24"/>
        </w:rPr>
        <w:t xml:space="preserve">front </w:t>
      </w:r>
      <w:r w:rsidRPr="007455AF">
        <w:rPr>
          <w:szCs w:val="24"/>
        </w:rPr>
        <w:t>end systems</w:t>
      </w:r>
      <w:r>
        <w:rPr>
          <w:szCs w:val="24"/>
        </w:rPr>
        <w:t xml:space="preserve">, </w:t>
      </w:r>
      <w:r>
        <w:rPr>
          <w:szCs w:val="24"/>
        </w:rPr>
        <w:lastRenderedPageBreak/>
        <w:t>which support customers’ applications and movements—systems that have to be up-to-date, fast, flexible, and agile—and that must allow the possibility of banking-system operations in the cloud.</w:t>
      </w:r>
    </w:p>
    <w:p w:rsidR="00181E26" w:rsidRDefault="00181E26" w:rsidP="00BD6DE5">
      <w:pPr>
        <w:pStyle w:val="PS"/>
        <w:spacing w:line="300" w:lineRule="exact"/>
        <w:ind w:firstLine="0"/>
        <w:jc w:val="both"/>
        <w:rPr>
          <w:szCs w:val="24"/>
        </w:rPr>
      </w:pPr>
    </w:p>
    <w:p w:rsidR="00A3549C" w:rsidRDefault="00A3549C" w:rsidP="00FF1731">
      <w:pPr>
        <w:pStyle w:val="PS"/>
        <w:spacing w:line="300" w:lineRule="exact"/>
        <w:ind w:firstLine="0"/>
        <w:jc w:val="both"/>
        <w:rPr>
          <w:szCs w:val="24"/>
        </w:rPr>
      </w:pPr>
      <w:r>
        <w:rPr>
          <w:szCs w:val="24"/>
        </w:rPr>
        <w:t>The development of technology and the impetus it has given, apart from allowing barriers to fall, lenienc</w:t>
      </w:r>
      <w:r w:rsidR="00181E26">
        <w:rPr>
          <w:szCs w:val="24"/>
        </w:rPr>
        <w:t>i</w:t>
      </w:r>
      <w:r>
        <w:rPr>
          <w:szCs w:val="24"/>
        </w:rPr>
        <w:t>es to be given, and a government bureau of digitization services to be created, are an important trigger for the establishment of One</w:t>
      </w:r>
      <w:r w:rsidR="00FF1731">
        <w:rPr>
          <w:szCs w:val="24"/>
        </w:rPr>
        <w:t xml:space="preserve"> </w:t>
      </w:r>
      <w:r>
        <w:rPr>
          <w:szCs w:val="24"/>
        </w:rPr>
        <w:t xml:space="preserve">Zero Bank and progress toward the establishment of </w:t>
      </w:r>
      <w:proofErr w:type="spellStart"/>
      <w:r w:rsidR="00FF1731">
        <w:rPr>
          <w:szCs w:val="24"/>
        </w:rPr>
        <w:t>e</w:t>
      </w:r>
      <w:r>
        <w:rPr>
          <w:szCs w:val="24"/>
        </w:rPr>
        <w:t>sh</w:t>
      </w:r>
      <w:proofErr w:type="spellEnd"/>
      <w:r>
        <w:rPr>
          <w:szCs w:val="24"/>
        </w:rPr>
        <w:t xml:space="preserve"> Israel Bank, after forty-two years in which no new bank was founded in Israel.</w:t>
      </w:r>
    </w:p>
    <w:p w:rsidR="00181E26" w:rsidRDefault="00181E26"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At this distinguished occasion, I consider it my obligat</w:t>
      </w:r>
      <w:r w:rsidR="006E08CE">
        <w:rPr>
          <w:szCs w:val="24"/>
        </w:rPr>
        <w:t xml:space="preserve">ion and duty to say a few words </w:t>
      </w:r>
      <w:r>
        <w:rPr>
          <w:szCs w:val="24"/>
        </w:rPr>
        <w:t>about the changes and challenges in the banking environment at this very time, affecting the entire ecosystem and, in turn, the banks, their customers, and the Banking Supervision Department. By referring to this, of course, I do not mean to suggest that these matters have been treated with inaction and/or failure of focus at other times.</w:t>
      </w:r>
    </w:p>
    <w:p w:rsidR="002365EE" w:rsidRDefault="002365EE"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 xml:space="preserve">The changing business-model and competitive-environment risk: This is the risk that marches in tandem with the opportunity intrinsic to the revolutionary process under way. Technology and digitization that can bring down barriers, the development of </w:t>
      </w:r>
      <w:proofErr w:type="spellStart"/>
      <w:r>
        <w:rPr>
          <w:szCs w:val="24"/>
        </w:rPr>
        <w:t>fintech</w:t>
      </w:r>
      <w:proofErr w:type="spellEnd"/>
      <w:r>
        <w:rPr>
          <w:szCs w:val="24"/>
        </w:rPr>
        <w:t>, and the vast importance of big-tech platforms are creating a new “playground,” one that will diversify sources of income, promote cooperation, unpack services and products, and more and more.</w:t>
      </w:r>
    </w:p>
    <w:p w:rsidR="002365EE" w:rsidRDefault="002365EE"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The information world: We are in an era where power is moving over to the customer; plainly, the asset of banking information is owned by the customer. The open-banking reform is a significant move that has the potential of tipping the asset of information in the customer’s favor by handing it over to a third party with the customer’s consent. This momentous reform is definitely challenging the system in matters such as the meaning of customer consent, the definition of permissible use; the challenge of permissible dealings and uses that accompany the use of the information; the ability to develop models on the basis of the information; information-security risks, protection of privacy, and other matters.</w:t>
      </w:r>
    </w:p>
    <w:p w:rsidR="006530C4" w:rsidRDefault="006530C4" w:rsidP="00436C35">
      <w:pPr>
        <w:pStyle w:val="PS"/>
        <w:spacing w:line="300" w:lineRule="exact"/>
        <w:ind w:firstLine="0"/>
        <w:jc w:val="both"/>
        <w:rPr>
          <w:szCs w:val="24"/>
        </w:rPr>
      </w:pPr>
    </w:p>
    <w:p w:rsidR="00A3549C" w:rsidRDefault="00A3549C" w:rsidP="00A75CE7">
      <w:pPr>
        <w:pStyle w:val="PS"/>
        <w:spacing w:line="300" w:lineRule="exact"/>
        <w:ind w:firstLine="0"/>
        <w:jc w:val="both"/>
        <w:rPr>
          <w:szCs w:val="24"/>
        </w:rPr>
      </w:pPr>
      <w:r>
        <w:rPr>
          <w:szCs w:val="24"/>
        </w:rPr>
        <w:t>I cannot, of course, avoid making reference to environmental, social, and governmental (ESG)</w:t>
      </w:r>
      <w:r w:rsidRPr="001958B2">
        <w:rPr>
          <w:szCs w:val="24"/>
        </w:rPr>
        <w:t xml:space="preserve"> </w:t>
      </w:r>
      <w:r>
        <w:rPr>
          <w:szCs w:val="24"/>
        </w:rPr>
        <w:t>aspects. The banking system plays an immensely important role in the country’s socioeconomic fabric. Within this construct, we at the Banking Supervision Department are also flexing our muscles in these regards. Our activity is manifested, among other things, in the Department’s treatment of regulating climate risks, mandating periodic ESG report</w:t>
      </w:r>
      <w:r w:rsidR="00A75CE7">
        <w:rPr>
          <w:szCs w:val="24"/>
        </w:rPr>
        <w:t>ing</w:t>
      </w:r>
      <w:r>
        <w:rPr>
          <w:szCs w:val="24"/>
        </w:rPr>
        <w:t>; and pledging meaningful attention and resources to the worlds of financial inclusion, financial education</w:t>
      </w:r>
      <w:r w:rsidR="00A75CE7">
        <w:rPr>
          <w:szCs w:val="24"/>
        </w:rPr>
        <w:t>,</w:t>
      </w:r>
      <w:r>
        <w:rPr>
          <w:szCs w:val="24"/>
        </w:rPr>
        <w:t xml:space="preserve"> diversity, treatment of disempowered population groups, equal opportunity, and much more.</w:t>
      </w:r>
    </w:p>
    <w:p w:rsidR="00A75CE7" w:rsidRDefault="00A75CE7" w:rsidP="00436C35">
      <w:pPr>
        <w:pStyle w:val="PS"/>
        <w:spacing w:line="300" w:lineRule="exact"/>
        <w:ind w:firstLine="0"/>
        <w:jc w:val="both"/>
        <w:rPr>
          <w:szCs w:val="24"/>
        </w:rPr>
      </w:pPr>
    </w:p>
    <w:p w:rsidR="00A3549C" w:rsidRDefault="00A3549C" w:rsidP="00436C35">
      <w:pPr>
        <w:pStyle w:val="PS"/>
        <w:spacing w:line="300" w:lineRule="exact"/>
        <w:ind w:firstLine="0"/>
        <w:jc w:val="both"/>
        <w:rPr>
          <w:szCs w:val="24"/>
        </w:rPr>
      </w:pPr>
      <w:r>
        <w:rPr>
          <w:szCs w:val="24"/>
        </w:rPr>
        <w:t>I feel it my duty to note that profits generated in the course of creating social value are of higher strategic value than are others. Hence businesses should and must assume responsibility and influence their human and physical environment positively; this should even be an inseparable part of the business license.</w:t>
      </w:r>
    </w:p>
    <w:p w:rsidR="00A75CE7" w:rsidRDefault="00A75CE7" w:rsidP="00436C35">
      <w:pPr>
        <w:pStyle w:val="PS"/>
        <w:spacing w:line="300" w:lineRule="exact"/>
        <w:ind w:firstLine="0"/>
        <w:jc w:val="both"/>
        <w:rPr>
          <w:szCs w:val="24"/>
        </w:rPr>
      </w:pPr>
    </w:p>
    <w:p w:rsidR="00A3549C" w:rsidRDefault="00A3549C" w:rsidP="00031FEA">
      <w:pPr>
        <w:pStyle w:val="PS"/>
        <w:spacing w:line="300" w:lineRule="exact"/>
        <w:ind w:firstLine="0"/>
        <w:jc w:val="both"/>
        <w:rPr>
          <w:szCs w:val="24"/>
        </w:rPr>
      </w:pPr>
      <w:r>
        <w:rPr>
          <w:szCs w:val="24"/>
        </w:rPr>
        <w:t xml:space="preserve">In sum, it is important for me to note, and the esteemed audience certainly understands and values, the breadth and complexity of the activity of the Banking Supervision Department and, in turn, the challenge and complexity of the Supervisor’s role. Outsiders will not understand this; you know it well and first-hand. The </w:t>
      </w:r>
      <w:r w:rsidR="00031FEA">
        <w:rPr>
          <w:szCs w:val="24"/>
        </w:rPr>
        <w:t xml:space="preserve">range </w:t>
      </w:r>
      <w:r>
        <w:rPr>
          <w:szCs w:val="24"/>
        </w:rPr>
        <w:t xml:space="preserve">starts </w:t>
      </w:r>
      <w:r>
        <w:rPr>
          <w:szCs w:val="24"/>
        </w:rPr>
        <w:lastRenderedPageBreak/>
        <w:t xml:space="preserve">with </w:t>
      </w:r>
      <w:proofErr w:type="spellStart"/>
      <w:r>
        <w:rPr>
          <w:szCs w:val="24"/>
        </w:rPr>
        <w:t>macroprudential</w:t>
      </w:r>
      <w:proofErr w:type="spellEnd"/>
      <w:r>
        <w:rPr>
          <w:szCs w:val="24"/>
        </w:rPr>
        <w:t xml:space="preserve"> stability, continues with the protection of consumers of banking services, and goes all the way to aspects of competition and digitization. It is so wide as to seem limitless. Every important issue, every matter of substance, may strongly affect the banking system and its customers—most of whom are citizens of the state. Here, I am convinced that there is a common denominator and a very strong understanding of the challenges and the magnitude of the task at hand.</w:t>
      </w:r>
    </w:p>
    <w:p w:rsidR="00A3549C" w:rsidRPr="0014271D" w:rsidRDefault="00A3549C" w:rsidP="00436C35">
      <w:pPr>
        <w:pStyle w:val="PS"/>
        <w:spacing w:line="300" w:lineRule="exact"/>
        <w:ind w:firstLine="0"/>
        <w:jc w:val="both"/>
        <w:rPr>
          <w:szCs w:val="24"/>
        </w:rPr>
      </w:pPr>
    </w:p>
    <w:p w:rsidR="00A3549C" w:rsidRDefault="00A3549C" w:rsidP="00436C35">
      <w:pPr>
        <w:bidi w:val="0"/>
        <w:spacing w:line="300" w:lineRule="exact"/>
        <w:jc w:val="both"/>
        <w:rPr>
          <w:rFonts w:asciiTheme="majorBidi" w:hAnsiTheme="majorBidi" w:cstheme="majorBidi"/>
          <w:b/>
          <w:bCs/>
          <w:sz w:val="32"/>
          <w:szCs w:val="32"/>
        </w:rPr>
      </w:pPr>
    </w:p>
    <w:sectPr w:rsidR="00A3549C"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10" w:rsidRDefault="00A56B10" w:rsidP="00E64B36">
      <w:r>
        <w:separator/>
      </w:r>
    </w:p>
  </w:endnote>
  <w:endnote w:type="continuationSeparator" w:id="0">
    <w:p w:rsidR="00A56B10" w:rsidRDefault="00A56B10"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3529CF" w:rsidRDefault="00B96022" w:rsidP="003529CF">
    <w:pPr>
      <w:pStyle w:val="a6"/>
      <w:rPr>
        <w:rtl/>
        <w: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10" w:rsidRDefault="00A56B10" w:rsidP="00E64B36">
      <w:r>
        <w:separator/>
      </w:r>
    </w:p>
  </w:footnote>
  <w:footnote w:type="continuationSeparator" w:id="0">
    <w:p w:rsidR="00A56B10" w:rsidRDefault="00A56B10"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1FEA"/>
    <w:rsid w:val="00033569"/>
    <w:rsid w:val="00051247"/>
    <w:rsid w:val="000526A0"/>
    <w:rsid w:val="0005726E"/>
    <w:rsid w:val="00065D9C"/>
    <w:rsid w:val="000A520E"/>
    <w:rsid w:val="000C710C"/>
    <w:rsid w:val="000F48F6"/>
    <w:rsid w:val="000F4BF2"/>
    <w:rsid w:val="001001A2"/>
    <w:rsid w:val="00101B55"/>
    <w:rsid w:val="00115451"/>
    <w:rsid w:val="00130245"/>
    <w:rsid w:val="001428C4"/>
    <w:rsid w:val="00143F3A"/>
    <w:rsid w:val="00151D84"/>
    <w:rsid w:val="00160B25"/>
    <w:rsid w:val="00162F5E"/>
    <w:rsid w:val="00165CB6"/>
    <w:rsid w:val="00175CDA"/>
    <w:rsid w:val="001815E1"/>
    <w:rsid w:val="00181E26"/>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65EE"/>
    <w:rsid w:val="00237CE5"/>
    <w:rsid w:val="00247387"/>
    <w:rsid w:val="00252C62"/>
    <w:rsid w:val="0027020A"/>
    <w:rsid w:val="00273AE1"/>
    <w:rsid w:val="00281C70"/>
    <w:rsid w:val="00283FB7"/>
    <w:rsid w:val="0029640A"/>
    <w:rsid w:val="00297100"/>
    <w:rsid w:val="002A0D2A"/>
    <w:rsid w:val="002B48CC"/>
    <w:rsid w:val="002C6A25"/>
    <w:rsid w:val="002C756D"/>
    <w:rsid w:val="002F4149"/>
    <w:rsid w:val="002F7EEF"/>
    <w:rsid w:val="0030279B"/>
    <w:rsid w:val="00310A8E"/>
    <w:rsid w:val="003129D6"/>
    <w:rsid w:val="003136EE"/>
    <w:rsid w:val="00321832"/>
    <w:rsid w:val="00322C28"/>
    <w:rsid w:val="003276ED"/>
    <w:rsid w:val="003365E0"/>
    <w:rsid w:val="00344E60"/>
    <w:rsid w:val="003529CF"/>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36C35"/>
    <w:rsid w:val="00443044"/>
    <w:rsid w:val="00445B15"/>
    <w:rsid w:val="00447E5A"/>
    <w:rsid w:val="00456B7E"/>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87BBE"/>
    <w:rsid w:val="0059277F"/>
    <w:rsid w:val="00592A99"/>
    <w:rsid w:val="00596FB4"/>
    <w:rsid w:val="00597EED"/>
    <w:rsid w:val="005A2991"/>
    <w:rsid w:val="005C3A07"/>
    <w:rsid w:val="005D0AF8"/>
    <w:rsid w:val="005F3A83"/>
    <w:rsid w:val="005F3E47"/>
    <w:rsid w:val="0060215A"/>
    <w:rsid w:val="0061692C"/>
    <w:rsid w:val="006172E0"/>
    <w:rsid w:val="006216F9"/>
    <w:rsid w:val="00621BB5"/>
    <w:rsid w:val="0062658F"/>
    <w:rsid w:val="00640EEA"/>
    <w:rsid w:val="0064482B"/>
    <w:rsid w:val="006465FB"/>
    <w:rsid w:val="00652D53"/>
    <w:rsid w:val="006530C4"/>
    <w:rsid w:val="00662FB1"/>
    <w:rsid w:val="0067516F"/>
    <w:rsid w:val="006832D0"/>
    <w:rsid w:val="006A36CC"/>
    <w:rsid w:val="006A66C5"/>
    <w:rsid w:val="006B029C"/>
    <w:rsid w:val="006B4683"/>
    <w:rsid w:val="006B5BA9"/>
    <w:rsid w:val="006B679C"/>
    <w:rsid w:val="006C714C"/>
    <w:rsid w:val="006D3582"/>
    <w:rsid w:val="006D7651"/>
    <w:rsid w:val="006E08CE"/>
    <w:rsid w:val="006E1B6A"/>
    <w:rsid w:val="0070010B"/>
    <w:rsid w:val="0070029F"/>
    <w:rsid w:val="00701734"/>
    <w:rsid w:val="00721560"/>
    <w:rsid w:val="00726036"/>
    <w:rsid w:val="0074341E"/>
    <w:rsid w:val="007455AF"/>
    <w:rsid w:val="00751F08"/>
    <w:rsid w:val="00754543"/>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403F1"/>
    <w:rsid w:val="00842057"/>
    <w:rsid w:val="00842BAF"/>
    <w:rsid w:val="0086005B"/>
    <w:rsid w:val="00864C55"/>
    <w:rsid w:val="0086637C"/>
    <w:rsid w:val="008756F3"/>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A117D2"/>
    <w:rsid w:val="00A17420"/>
    <w:rsid w:val="00A239A7"/>
    <w:rsid w:val="00A3549C"/>
    <w:rsid w:val="00A374AC"/>
    <w:rsid w:val="00A37869"/>
    <w:rsid w:val="00A44A88"/>
    <w:rsid w:val="00A56B10"/>
    <w:rsid w:val="00A72122"/>
    <w:rsid w:val="00A74752"/>
    <w:rsid w:val="00A749E1"/>
    <w:rsid w:val="00A75CE7"/>
    <w:rsid w:val="00A81B6C"/>
    <w:rsid w:val="00A94775"/>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D361F"/>
    <w:rsid w:val="00BD6DE5"/>
    <w:rsid w:val="00BE27B4"/>
    <w:rsid w:val="00BE4CAF"/>
    <w:rsid w:val="00BE52BF"/>
    <w:rsid w:val="00C00BB8"/>
    <w:rsid w:val="00C02233"/>
    <w:rsid w:val="00C05BED"/>
    <w:rsid w:val="00C106C2"/>
    <w:rsid w:val="00C15121"/>
    <w:rsid w:val="00C171FF"/>
    <w:rsid w:val="00C21009"/>
    <w:rsid w:val="00C21363"/>
    <w:rsid w:val="00C2294B"/>
    <w:rsid w:val="00C37129"/>
    <w:rsid w:val="00C47A56"/>
    <w:rsid w:val="00C52224"/>
    <w:rsid w:val="00C52FC2"/>
    <w:rsid w:val="00C5755A"/>
    <w:rsid w:val="00C67CE0"/>
    <w:rsid w:val="00C74F11"/>
    <w:rsid w:val="00C7643D"/>
    <w:rsid w:val="00C76E10"/>
    <w:rsid w:val="00C869FD"/>
    <w:rsid w:val="00CB5D78"/>
    <w:rsid w:val="00CC58F8"/>
    <w:rsid w:val="00CD0A35"/>
    <w:rsid w:val="00CD5F91"/>
    <w:rsid w:val="00CD6927"/>
    <w:rsid w:val="00CE0B40"/>
    <w:rsid w:val="00CE124A"/>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DF6EC0"/>
    <w:rsid w:val="00E04222"/>
    <w:rsid w:val="00E04459"/>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0F40"/>
    <w:rsid w:val="00ED5226"/>
    <w:rsid w:val="00EE2AA0"/>
    <w:rsid w:val="00EE3596"/>
    <w:rsid w:val="00EF1554"/>
    <w:rsid w:val="00EF1AC2"/>
    <w:rsid w:val="00F033FC"/>
    <w:rsid w:val="00F15E93"/>
    <w:rsid w:val="00F300E4"/>
    <w:rsid w:val="00F45181"/>
    <w:rsid w:val="00F45972"/>
    <w:rsid w:val="00F53236"/>
    <w:rsid w:val="00F56917"/>
    <w:rsid w:val="00F576F6"/>
    <w:rsid w:val="00F806F6"/>
    <w:rsid w:val="00FA13BA"/>
    <w:rsid w:val="00FA4548"/>
    <w:rsid w:val="00FC2A67"/>
    <w:rsid w:val="00FF1731"/>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1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4663-DFA5-46AB-8F32-9E85A1D8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2907</Words>
  <Characters>14539</Characters>
  <Application>Microsoft Office Word</Application>
  <DocSecurity>0</DocSecurity>
  <Lines>121</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17412</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2023-06-20T13:19:00Z</dcterms:created>
  <dcterms:modified xsi:type="dcterms:W3CDTF">2023-06-20T13:19:00Z</dcterms:modified>
</cp:coreProperties>
</file>