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66433F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66433F" w:rsidRDefault="00DD5923" w:rsidP="00286AB2">
            <w:pPr>
              <w:spacing w:line="360" w:lineRule="auto"/>
              <w:jc w:val="righ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6433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</w:t>
            </w:r>
            <w:r w:rsidR="00286AB2" w:rsidRPr="0066433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ראל</w:t>
            </w:r>
          </w:p>
          <w:p w:rsidR="00DD5923" w:rsidRPr="0066433F" w:rsidRDefault="00DD5923" w:rsidP="00286AB2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66433F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66433F" w:rsidRDefault="00572B04" w:rsidP="00D87676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6433F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22E6F3E" wp14:editId="5A6E6DEC">
                  <wp:extent cx="734291" cy="734291"/>
                  <wp:effectExtent l="0" t="0" r="8890" b="8890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8" cy="73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66433F" w:rsidRDefault="0089040A" w:rsidP="00851A1F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66433F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851A1F" w:rsidRPr="0066433F">
              <w:rPr>
                <w:rFonts w:ascii="David" w:hAnsi="David" w:cs="David"/>
                <w:sz w:val="24"/>
                <w:szCs w:val="24"/>
                <w:rtl/>
              </w:rPr>
              <w:t>ז</w:t>
            </w:r>
            <w:r w:rsidR="007B6206" w:rsidRPr="0066433F">
              <w:rPr>
                <w:rFonts w:ascii="David" w:hAnsi="David" w:cs="David"/>
                <w:sz w:val="24"/>
                <w:szCs w:val="24"/>
                <w:rtl/>
              </w:rPr>
              <w:t>'</w:t>
            </w:r>
            <w:r w:rsidR="00F426C3" w:rsidRPr="0066433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D1B3F" w:rsidRPr="0066433F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0C02AD" w:rsidRPr="0066433F">
              <w:rPr>
                <w:rFonts w:ascii="David" w:hAnsi="David" w:cs="David"/>
                <w:sz w:val="24"/>
                <w:szCs w:val="24"/>
                <w:rtl/>
              </w:rPr>
              <w:t>תמוז</w:t>
            </w:r>
            <w:r w:rsidR="00A06D00" w:rsidRPr="0066433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80AE9" w:rsidRPr="0066433F">
              <w:rPr>
                <w:rFonts w:ascii="David" w:hAnsi="David" w:cs="David"/>
                <w:sz w:val="24"/>
                <w:szCs w:val="24"/>
                <w:rtl/>
              </w:rPr>
              <w:t>תש"פ</w:t>
            </w:r>
          </w:p>
          <w:p w:rsidR="00DD5923" w:rsidRPr="0066433F" w:rsidRDefault="0089040A" w:rsidP="00851A1F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66433F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="00851A1F" w:rsidRPr="0066433F">
              <w:rPr>
                <w:rFonts w:ascii="David" w:hAnsi="David" w:cs="David"/>
                <w:sz w:val="24"/>
                <w:szCs w:val="24"/>
                <w:rtl/>
              </w:rPr>
              <w:t>29</w:t>
            </w:r>
            <w:r w:rsidR="00A17283" w:rsidRPr="0066433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426C3" w:rsidRPr="0066433F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0C02AD" w:rsidRPr="0066433F">
              <w:rPr>
                <w:rFonts w:ascii="David" w:hAnsi="David" w:cs="David"/>
                <w:sz w:val="24"/>
                <w:szCs w:val="24"/>
                <w:rtl/>
              </w:rPr>
              <w:t>יוני</w:t>
            </w:r>
            <w:r w:rsidR="00631A91" w:rsidRPr="0066433F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922F51" w:rsidRPr="0066433F">
              <w:rPr>
                <w:rFonts w:ascii="David" w:hAnsi="David" w:cs="David"/>
                <w:sz w:val="24"/>
                <w:szCs w:val="24"/>
                <w:rtl/>
              </w:rPr>
              <w:t>20</w:t>
            </w:r>
          </w:p>
        </w:tc>
      </w:tr>
    </w:tbl>
    <w:p w:rsidR="00FE034E" w:rsidRPr="0066433F" w:rsidRDefault="00FE034E" w:rsidP="007E18EE">
      <w:pPr>
        <w:bidi/>
        <w:rPr>
          <w:rFonts w:ascii="David" w:hAnsi="David" w:cs="David"/>
          <w:sz w:val="24"/>
          <w:szCs w:val="24"/>
          <w:rtl/>
        </w:rPr>
      </w:pPr>
    </w:p>
    <w:p w:rsidR="00C9322A" w:rsidRPr="0066433F" w:rsidRDefault="00C9322A" w:rsidP="00C9322A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66433F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66433F" w:rsidRDefault="00C9322A" w:rsidP="000C02AD">
      <w:pPr>
        <w:pStyle w:val="af4"/>
        <w:rPr>
          <w:rFonts w:ascii="David" w:hAnsi="David" w:cs="David"/>
          <w:rtl/>
        </w:rPr>
      </w:pPr>
      <w:r w:rsidRPr="0066433F">
        <w:rPr>
          <w:rFonts w:ascii="David" w:hAnsi="David" w:cs="David"/>
          <w:rtl/>
        </w:rPr>
        <w:t xml:space="preserve">התפתחות החוב </w:t>
      </w:r>
      <w:r w:rsidR="00802DF3" w:rsidRPr="0066433F">
        <w:rPr>
          <w:rFonts w:ascii="David" w:hAnsi="David" w:cs="David"/>
          <w:rtl/>
        </w:rPr>
        <w:t xml:space="preserve">של המגזר הפרטי </w:t>
      </w:r>
      <w:r w:rsidR="0077544B" w:rsidRPr="0066433F">
        <w:rPr>
          <w:rFonts w:ascii="David" w:hAnsi="David" w:cs="David"/>
          <w:rtl/>
        </w:rPr>
        <w:t>הלא</w:t>
      </w:r>
      <w:r w:rsidR="00E44E3D" w:rsidRPr="0066433F">
        <w:rPr>
          <w:rFonts w:ascii="David" w:hAnsi="David" w:cs="David"/>
          <w:rtl/>
        </w:rPr>
        <w:t>-</w:t>
      </w:r>
      <w:r w:rsidR="0077544B" w:rsidRPr="0066433F">
        <w:rPr>
          <w:rFonts w:ascii="David" w:hAnsi="David" w:cs="David"/>
          <w:rtl/>
        </w:rPr>
        <w:t xml:space="preserve">פיננסי </w:t>
      </w:r>
      <w:r w:rsidR="00FC2095" w:rsidRPr="0066433F">
        <w:rPr>
          <w:rFonts w:ascii="David" w:hAnsi="David" w:cs="David"/>
          <w:rtl/>
        </w:rPr>
        <w:t xml:space="preserve">ברביע </w:t>
      </w:r>
      <w:r w:rsidR="00E44E3D" w:rsidRPr="0066433F">
        <w:rPr>
          <w:rFonts w:ascii="David" w:hAnsi="David" w:cs="David"/>
          <w:rtl/>
        </w:rPr>
        <w:t>ה</w:t>
      </w:r>
      <w:r w:rsidR="000C02AD" w:rsidRPr="0066433F">
        <w:rPr>
          <w:rFonts w:ascii="David" w:hAnsi="David" w:cs="David"/>
          <w:rtl/>
        </w:rPr>
        <w:t>ראשון</w:t>
      </w:r>
      <w:r w:rsidR="00802DF3" w:rsidRPr="0066433F">
        <w:rPr>
          <w:rFonts w:ascii="David" w:hAnsi="David" w:cs="David"/>
          <w:rtl/>
        </w:rPr>
        <w:t xml:space="preserve"> של</w:t>
      </w:r>
      <w:r w:rsidRPr="0066433F">
        <w:rPr>
          <w:rFonts w:ascii="David" w:hAnsi="David" w:cs="David"/>
          <w:rtl/>
        </w:rPr>
        <w:t xml:space="preserve"> </w:t>
      </w:r>
      <w:r w:rsidR="000C02AD" w:rsidRPr="0066433F">
        <w:rPr>
          <w:rFonts w:ascii="David" w:hAnsi="David" w:cs="David"/>
          <w:rtl/>
        </w:rPr>
        <w:t>2020</w:t>
      </w:r>
    </w:p>
    <w:p w:rsidR="00260F11" w:rsidRPr="0066433F" w:rsidRDefault="00260F11" w:rsidP="00260F11">
      <w:pPr>
        <w:bidi/>
        <w:spacing w:line="360" w:lineRule="auto"/>
        <w:ind w:right="-101"/>
        <w:jc w:val="both"/>
        <w:rPr>
          <w:rFonts w:ascii="David" w:hAnsi="David" w:cs="David"/>
          <w:i/>
          <w:iCs/>
          <w:sz w:val="24"/>
          <w:szCs w:val="24"/>
          <w:rtl/>
        </w:rPr>
      </w:pPr>
    </w:p>
    <w:p w:rsidR="009C0650" w:rsidRPr="0066433F" w:rsidRDefault="00A93FF4" w:rsidP="003D1B87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sz w:val="24"/>
          <w:szCs w:val="24"/>
          <w:rtl/>
        </w:rPr>
        <w:t>על רקע משבר הקורונה</w:t>
      </w:r>
      <w:r w:rsidR="009C0650" w:rsidRPr="0066433F">
        <w:rPr>
          <w:rFonts w:ascii="David" w:hAnsi="David" w:cs="David"/>
          <w:sz w:val="24"/>
          <w:szCs w:val="24"/>
          <w:rtl/>
        </w:rPr>
        <w:t xml:space="preserve"> נרשמו מספר התפתחויות בנתוני החוב של המגזר הפרטי הלא</w:t>
      </w:r>
      <w:r w:rsidR="00F51C6C" w:rsidRPr="0066433F">
        <w:rPr>
          <w:rFonts w:ascii="David" w:hAnsi="David" w:cs="David"/>
          <w:sz w:val="24"/>
          <w:szCs w:val="24"/>
          <w:rtl/>
        </w:rPr>
        <w:t>-</w:t>
      </w:r>
      <w:r w:rsidR="009C0650" w:rsidRPr="0066433F">
        <w:rPr>
          <w:rFonts w:ascii="David" w:hAnsi="David" w:cs="David"/>
          <w:sz w:val="24"/>
          <w:szCs w:val="24"/>
          <w:rtl/>
        </w:rPr>
        <w:t xml:space="preserve"> פיננסי:</w:t>
      </w:r>
    </w:p>
    <w:p w:rsidR="009C0650" w:rsidRPr="0066433F" w:rsidRDefault="009C0650" w:rsidP="00715C51">
      <w:pPr>
        <w:pStyle w:val="a9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sz w:val="24"/>
          <w:szCs w:val="24"/>
          <w:rtl/>
        </w:rPr>
        <w:t>ברביע הראשון</w:t>
      </w:r>
      <w:r w:rsidR="00A93FF4" w:rsidRPr="0066433F">
        <w:rPr>
          <w:rFonts w:ascii="David" w:hAnsi="David" w:cs="David"/>
          <w:sz w:val="24"/>
          <w:szCs w:val="24"/>
          <w:rtl/>
        </w:rPr>
        <w:t xml:space="preserve"> נרשם גיוס חוב נטו משמעותי בהלוואות בנקאיות (</w:t>
      </w:r>
      <w:r w:rsidR="003D1B87" w:rsidRPr="0066433F">
        <w:rPr>
          <w:rFonts w:ascii="David" w:hAnsi="David" w:cs="David"/>
          <w:sz w:val="24"/>
          <w:szCs w:val="24"/>
          <w:rtl/>
        </w:rPr>
        <w:t xml:space="preserve">זרם/תנועות של </w:t>
      </w:r>
      <w:r w:rsidR="00A93FF4" w:rsidRPr="0066433F">
        <w:rPr>
          <w:rFonts w:ascii="David" w:hAnsi="David" w:cs="David"/>
          <w:sz w:val="24"/>
          <w:szCs w:val="24"/>
          <w:rtl/>
        </w:rPr>
        <w:t xml:space="preserve">כ-17 מיליארדי ש"ח) של </w:t>
      </w:r>
      <w:r w:rsidR="00A93FF4" w:rsidRPr="0066433F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="00715C51" w:rsidRPr="0066433F">
        <w:rPr>
          <w:rFonts w:ascii="David" w:hAnsi="David" w:cs="David"/>
          <w:sz w:val="24"/>
          <w:szCs w:val="24"/>
          <w:rtl/>
        </w:rPr>
        <w:t>.</w:t>
      </w:r>
      <w:r w:rsidR="00A93FF4" w:rsidRPr="0066433F">
        <w:rPr>
          <w:rFonts w:ascii="David" w:hAnsi="David" w:cs="David"/>
          <w:sz w:val="24"/>
          <w:szCs w:val="24"/>
          <w:rtl/>
        </w:rPr>
        <w:t xml:space="preserve"> </w:t>
      </w:r>
    </w:p>
    <w:p w:rsidR="009C0650" w:rsidRPr="0066433F" w:rsidRDefault="00A93FF4" w:rsidP="00F51C6C">
      <w:pPr>
        <w:pStyle w:val="a9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sz w:val="24"/>
          <w:szCs w:val="24"/>
          <w:rtl/>
        </w:rPr>
        <w:t xml:space="preserve">המרווח בין תשואת </w:t>
      </w:r>
      <w:proofErr w:type="spellStart"/>
      <w:r w:rsidRPr="0066433F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Pr="0066433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433F">
        <w:rPr>
          <w:rFonts w:ascii="David" w:hAnsi="David" w:cs="David"/>
          <w:sz w:val="24"/>
          <w:szCs w:val="24"/>
          <w:rtl/>
        </w:rPr>
        <w:t>הקונצרניות</w:t>
      </w:r>
      <w:proofErr w:type="spellEnd"/>
      <w:r w:rsidRPr="0066433F">
        <w:rPr>
          <w:rFonts w:ascii="David" w:hAnsi="David" w:cs="David"/>
          <w:sz w:val="24"/>
          <w:szCs w:val="24"/>
          <w:rtl/>
        </w:rPr>
        <w:t xml:space="preserve"> הכלולות במדד תל בונד 60, לבין תשואת </w:t>
      </w:r>
      <w:proofErr w:type="spellStart"/>
      <w:r w:rsidRPr="0066433F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Pr="0066433F">
        <w:rPr>
          <w:rFonts w:ascii="David" w:hAnsi="David" w:cs="David"/>
          <w:sz w:val="24"/>
          <w:szCs w:val="24"/>
          <w:rtl/>
        </w:rPr>
        <w:t xml:space="preserve"> הממשלתיות הצמודות התרחב משמעותית בחודש מרץ </w:t>
      </w:r>
      <w:r w:rsidR="00662EE0" w:rsidRPr="0066433F">
        <w:rPr>
          <w:rFonts w:ascii="David" w:hAnsi="David" w:cs="David"/>
          <w:sz w:val="24"/>
          <w:szCs w:val="24"/>
          <w:rtl/>
        </w:rPr>
        <w:t>ל</w:t>
      </w:r>
      <w:r w:rsidRPr="0066433F">
        <w:rPr>
          <w:rFonts w:ascii="David" w:hAnsi="David" w:cs="David"/>
          <w:sz w:val="24"/>
          <w:szCs w:val="24"/>
          <w:rtl/>
        </w:rPr>
        <w:t xml:space="preserve">כ-2.2 נק' האחוז; </w:t>
      </w:r>
    </w:p>
    <w:p w:rsidR="009C0650" w:rsidRPr="0066433F" w:rsidRDefault="00A93FF4" w:rsidP="003C3E4A">
      <w:pPr>
        <w:pStyle w:val="a9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sz w:val="24"/>
          <w:szCs w:val="24"/>
          <w:rtl/>
        </w:rPr>
        <w:t xml:space="preserve">יתרת 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>החוב לא לדיור</w:t>
      </w:r>
      <w:r w:rsidRPr="0066433F">
        <w:rPr>
          <w:rFonts w:ascii="David" w:hAnsi="David" w:cs="David"/>
          <w:sz w:val="24"/>
          <w:szCs w:val="24"/>
          <w:rtl/>
        </w:rPr>
        <w:t xml:space="preserve"> 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>של משקי הבית</w:t>
      </w:r>
      <w:r w:rsidRPr="0066433F">
        <w:rPr>
          <w:rFonts w:ascii="David" w:hAnsi="David" w:cs="David"/>
          <w:sz w:val="24"/>
          <w:szCs w:val="24"/>
          <w:rtl/>
        </w:rPr>
        <w:t xml:space="preserve"> קטנה משמעותית</w:t>
      </w:r>
      <w:r w:rsidR="00012EA8" w:rsidRPr="0066433F">
        <w:rPr>
          <w:rFonts w:ascii="David" w:hAnsi="David" w:cs="David"/>
          <w:sz w:val="24"/>
          <w:szCs w:val="24"/>
          <w:rtl/>
        </w:rPr>
        <w:t xml:space="preserve"> ברביע זה </w:t>
      </w:r>
      <w:r w:rsidRPr="0066433F">
        <w:rPr>
          <w:rFonts w:ascii="David" w:hAnsi="David" w:cs="David"/>
          <w:sz w:val="24"/>
          <w:szCs w:val="24"/>
          <w:rtl/>
        </w:rPr>
        <w:t xml:space="preserve"> בכ-4 מיליארדים (1.</w:t>
      </w:r>
      <w:r w:rsidR="003C3E4A" w:rsidRPr="0066433F">
        <w:rPr>
          <w:rFonts w:ascii="David" w:hAnsi="David" w:cs="David"/>
          <w:sz w:val="24"/>
          <w:szCs w:val="24"/>
          <w:rtl/>
        </w:rPr>
        <w:t>8</w:t>
      </w:r>
      <w:r w:rsidRPr="0066433F">
        <w:rPr>
          <w:rFonts w:ascii="David" w:hAnsi="David" w:cs="David"/>
          <w:sz w:val="24"/>
          <w:szCs w:val="24"/>
          <w:rtl/>
        </w:rPr>
        <w:t>%-), לראשונה מזה שנים</w:t>
      </w:r>
      <w:r w:rsidR="00A11809" w:rsidRPr="0066433F">
        <w:rPr>
          <w:rFonts w:ascii="David" w:hAnsi="David" w:cs="David"/>
          <w:sz w:val="24"/>
          <w:szCs w:val="24"/>
          <w:rtl/>
        </w:rPr>
        <w:t xml:space="preserve">. </w:t>
      </w:r>
    </w:p>
    <w:p w:rsidR="00A93FF4" w:rsidRPr="0066433F" w:rsidRDefault="009C0650" w:rsidP="0062395F">
      <w:pPr>
        <w:pStyle w:val="a9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sz w:val="24"/>
          <w:szCs w:val="24"/>
          <w:rtl/>
        </w:rPr>
        <w:t>ב</w:t>
      </w:r>
      <w:r w:rsidR="00F51C6C" w:rsidRPr="0066433F">
        <w:rPr>
          <w:rFonts w:ascii="David" w:hAnsi="David" w:cs="David"/>
          <w:sz w:val="24"/>
          <w:szCs w:val="24"/>
          <w:rtl/>
        </w:rPr>
        <w:t>חוב</w:t>
      </w:r>
      <w:r w:rsidRPr="0066433F">
        <w:rPr>
          <w:rFonts w:ascii="David" w:hAnsi="David" w:cs="David"/>
          <w:sz w:val="24"/>
          <w:szCs w:val="24"/>
          <w:rtl/>
        </w:rPr>
        <w:t xml:space="preserve"> לדיור </w:t>
      </w:r>
      <w:r w:rsidR="00F51C6C" w:rsidRPr="0066433F">
        <w:rPr>
          <w:rFonts w:ascii="David" w:hAnsi="David" w:cs="David"/>
          <w:sz w:val="24"/>
          <w:szCs w:val="24"/>
          <w:rtl/>
        </w:rPr>
        <w:t xml:space="preserve">של משקי הבית </w:t>
      </w:r>
      <w:r w:rsidRPr="0066433F">
        <w:rPr>
          <w:rFonts w:ascii="David" w:hAnsi="David" w:cs="David"/>
          <w:sz w:val="24"/>
          <w:szCs w:val="24"/>
          <w:rtl/>
        </w:rPr>
        <w:t>נרשם גידול ניכר בהיקף המשכנתאות בחודש מרץ, וירידה לרמה הממוצעת בחודש אפריל.</w:t>
      </w:r>
    </w:p>
    <w:p w:rsidR="00643343" w:rsidRPr="0066433F" w:rsidRDefault="00643343" w:rsidP="00643343">
      <w:pPr>
        <w:bidi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</w:p>
    <w:p w:rsidR="009F574F" w:rsidRPr="0066433F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6433F">
        <w:rPr>
          <w:rStyle w:val="10"/>
          <w:rFonts w:ascii="David" w:hAnsi="David" w:cs="David"/>
          <w:rtl/>
        </w:rPr>
        <w:t>החוב של המגזר העסקי</w:t>
      </w:r>
      <w:r w:rsidR="001E78A9" w:rsidRPr="0066433F">
        <w:rPr>
          <w:rStyle w:val="10"/>
          <w:rFonts w:ascii="David" w:hAnsi="David" w:cs="David"/>
          <w:rtl/>
        </w:rPr>
        <w:t xml:space="preserve"> הלא-פיננסי</w:t>
      </w:r>
      <w:r w:rsidR="00474B96" w:rsidRPr="0066433F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66433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D6427" w:rsidRPr="0066433F" w:rsidRDefault="0089040A" w:rsidP="003C3E4A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66433F">
        <w:rPr>
          <w:rFonts w:ascii="David" w:hAnsi="David" w:cs="David"/>
          <w:sz w:val="24"/>
          <w:szCs w:val="24"/>
          <w:rtl/>
        </w:rPr>
        <w:t>מהחטיבה למידע ו</w:t>
      </w:r>
      <w:r w:rsidR="00882FBA" w:rsidRPr="0066433F">
        <w:rPr>
          <w:rFonts w:ascii="David" w:hAnsi="David" w:cs="David"/>
          <w:sz w:val="24"/>
          <w:szCs w:val="24"/>
          <w:rtl/>
        </w:rPr>
        <w:t>ל</w:t>
      </w:r>
      <w:r w:rsidRPr="0066433F">
        <w:rPr>
          <w:rFonts w:ascii="David" w:hAnsi="David" w:cs="David"/>
          <w:sz w:val="24"/>
          <w:szCs w:val="24"/>
          <w:rtl/>
        </w:rPr>
        <w:t xml:space="preserve">סטטיסטיקה נמסר, כי </w:t>
      </w:r>
      <w:r w:rsidR="00406F28" w:rsidRPr="0066433F">
        <w:rPr>
          <w:rFonts w:ascii="David" w:hAnsi="David" w:cs="David"/>
          <w:sz w:val="24"/>
          <w:szCs w:val="24"/>
          <w:rtl/>
        </w:rPr>
        <w:t xml:space="preserve">ברביע </w:t>
      </w:r>
      <w:r w:rsidR="00242FFE" w:rsidRPr="0066433F">
        <w:rPr>
          <w:rFonts w:ascii="David" w:hAnsi="David" w:cs="David"/>
          <w:sz w:val="24"/>
          <w:szCs w:val="24"/>
          <w:rtl/>
        </w:rPr>
        <w:t>ה</w:t>
      </w:r>
      <w:r w:rsidR="004D33E7" w:rsidRPr="0066433F">
        <w:rPr>
          <w:rFonts w:ascii="David" w:hAnsi="David" w:cs="David"/>
          <w:sz w:val="24"/>
          <w:szCs w:val="24"/>
          <w:rtl/>
        </w:rPr>
        <w:t>ראשון</w:t>
      </w:r>
      <w:r w:rsidR="00635BDC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510ABA" w:rsidRPr="0066433F">
        <w:rPr>
          <w:rFonts w:ascii="David" w:hAnsi="David" w:cs="David"/>
          <w:sz w:val="24"/>
          <w:szCs w:val="24"/>
          <w:rtl/>
        </w:rPr>
        <w:t xml:space="preserve">של </w:t>
      </w:r>
      <w:r w:rsidR="00635BDC" w:rsidRPr="0066433F">
        <w:rPr>
          <w:rFonts w:ascii="David" w:hAnsi="David" w:cs="David"/>
          <w:sz w:val="24"/>
          <w:szCs w:val="24"/>
          <w:rtl/>
        </w:rPr>
        <w:t xml:space="preserve">שנת </w:t>
      </w:r>
      <w:r w:rsidR="004D33E7" w:rsidRPr="0066433F">
        <w:rPr>
          <w:rFonts w:ascii="David" w:hAnsi="David" w:cs="David"/>
          <w:sz w:val="24"/>
          <w:szCs w:val="24"/>
          <w:rtl/>
        </w:rPr>
        <w:t>2020</w:t>
      </w:r>
      <w:r w:rsidR="000F7E97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996717" w:rsidRPr="0066433F">
        <w:rPr>
          <w:rFonts w:ascii="David" w:hAnsi="David" w:cs="David"/>
          <w:sz w:val="24"/>
          <w:szCs w:val="24"/>
          <w:rtl/>
        </w:rPr>
        <w:t>גדלה</w:t>
      </w:r>
      <w:r w:rsidR="00807054" w:rsidRPr="0066433F">
        <w:rPr>
          <w:rFonts w:ascii="David" w:hAnsi="David" w:cs="David"/>
          <w:sz w:val="24"/>
          <w:szCs w:val="24"/>
          <w:rtl/>
        </w:rPr>
        <w:t xml:space="preserve"> יתרת ה</w:t>
      </w:r>
      <w:r w:rsidR="00340B38" w:rsidRPr="0066433F">
        <w:rPr>
          <w:rFonts w:ascii="David" w:hAnsi="David" w:cs="David"/>
          <w:sz w:val="24"/>
          <w:szCs w:val="24"/>
          <w:rtl/>
        </w:rPr>
        <w:t>חוב של המגזר העסקי</w:t>
      </w:r>
      <w:r w:rsidR="003E05CD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807054" w:rsidRPr="0066433F">
        <w:rPr>
          <w:rFonts w:ascii="David" w:hAnsi="David" w:cs="David"/>
          <w:sz w:val="24"/>
          <w:szCs w:val="24"/>
          <w:rtl/>
        </w:rPr>
        <w:t>בכ-</w:t>
      </w:r>
      <w:r w:rsidR="003C3E4A" w:rsidRPr="0066433F">
        <w:rPr>
          <w:rFonts w:ascii="David" w:hAnsi="David" w:cs="David"/>
          <w:sz w:val="24"/>
          <w:szCs w:val="24"/>
          <w:rtl/>
        </w:rPr>
        <w:t>7</w:t>
      </w:r>
      <w:r w:rsidR="00807054" w:rsidRPr="0066433F">
        <w:rPr>
          <w:rFonts w:ascii="David" w:hAnsi="David" w:cs="David"/>
          <w:sz w:val="24"/>
          <w:szCs w:val="24"/>
          <w:rtl/>
        </w:rPr>
        <w:t xml:space="preserve"> מיליארדי ש"ח (</w:t>
      </w:r>
      <w:r w:rsidR="004D33E7" w:rsidRPr="0066433F">
        <w:rPr>
          <w:rFonts w:ascii="David" w:hAnsi="David" w:cs="David"/>
          <w:sz w:val="24"/>
          <w:szCs w:val="24"/>
          <w:rtl/>
        </w:rPr>
        <w:t>0.8</w:t>
      </w:r>
      <w:r w:rsidR="00996717" w:rsidRPr="0066433F">
        <w:rPr>
          <w:rFonts w:ascii="David" w:hAnsi="David" w:cs="David"/>
          <w:sz w:val="24"/>
          <w:szCs w:val="24"/>
          <w:rtl/>
        </w:rPr>
        <w:t>%</w:t>
      </w:r>
      <w:r w:rsidR="006677B2" w:rsidRPr="0066433F">
        <w:rPr>
          <w:rFonts w:ascii="David" w:hAnsi="David" w:cs="David"/>
          <w:sz w:val="24"/>
          <w:szCs w:val="24"/>
          <w:rtl/>
        </w:rPr>
        <w:t>)</w:t>
      </w:r>
      <w:r w:rsidR="00132A42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807054" w:rsidRPr="0066433F">
        <w:rPr>
          <w:rFonts w:ascii="David" w:hAnsi="David" w:cs="David"/>
          <w:sz w:val="24"/>
          <w:szCs w:val="24"/>
          <w:rtl/>
        </w:rPr>
        <w:t>לרמה של כ-</w:t>
      </w:r>
      <w:r w:rsidR="004D33E7" w:rsidRPr="0066433F">
        <w:rPr>
          <w:rFonts w:ascii="David" w:hAnsi="David" w:cs="David"/>
          <w:sz w:val="24"/>
          <w:szCs w:val="24"/>
          <w:rtl/>
        </w:rPr>
        <w:t>96</w:t>
      </w:r>
      <w:r w:rsidR="003C3E4A" w:rsidRPr="0066433F">
        <w:rPr>
          <w:rFonts w:ascii="David" w:hAnsi="David" w:cs="David"/>
          <w:sz w:val="24"/>
          <w:szCs w:val="24"/>
          <w:rtl/>
        </w:rPr>
        <w:t>8</w:t>
      </w:r>
      <w:r w:rsidR="00132A42" w:rsidRPr="0066433F">
        <w:rPr>
          <w:rFonts w:ascii="David" w:hAnsi="David" w:cs="David"/>
          <w:sz w:val="24"/>
          <w:szCs w:val="24"/>
          <w:rtl/>
        </w:rPr>
        <w:t xml:space="preserve"> מיליארדים</w:t>
      </w:r>
      <w:r w:rsidR="00AB316B" w:rsidRPr="0066433F">
        <w:rPr>
          <w:rFonts w:ascii="David" w:hAnsi="David" w:cs="David"/>
          <w:sz w:val="24"/>
          <w:szCs w:val="24"/>
          <w:rtl/>
        </w:rPr>
        <w:t xml:space="preserve">. </w:t>
      </w:r>
      <w:r w:rsidR="00996717" w:rsidRPr="0066433F">
        <w:rPr>
          <w:rFonts w:ascii="David" w:hAnsi="David" w:cs="David"/>
          <w:sz w:val="24"/>
          <w:szCs w:val="24"/>
          <w:rtl/>
        </w:rPr>
        <w:t xml:space="preserve">העלייה </w:t>
      </w:r>
      <w:r w:rsidR="00E81FF6" w:rsidRPr="0066433F">
        <w:rPr>
          <w:rFonts w:ascii="David" w:hAnsi="David" w:cs="David"/>
          <w:sz w:val="24"/>
          <w:szCs w:val="24"/>
          <w:rtl/>
        </w:rPr>
        <w:t xml:space="preserve">ביתרת החוב </w:t>
      </w:r>
      <w:r w:rsidR="003054F9" w:rsidRPr="0066433F">
        <w:rPr>
          <w:rFonts w:ascii="David" w:hAnsi="David" w:cs="David"/>
          <w:sz w:val="24"/>
          <w:szCs w:val="24"/>
          <w:rtl/>
        </w:rPr>
        <w:t>נבעה מ</w:t>
      </w:r>
      <w:r w:rsidR="00996717" w:rsidRPr="0066433F">
        <w:rPr>
          <w:rFonts w:ascii="David" w:hAnsi="David" w:cs="David"/>
          <w:sz w:val="24"/>
          <w:szCs w:val="24"/>
          <w:rtl/>
        </w:rPr>
        <w:t>גיוס חוב נטו (תנועות)</w:t>
      </w:r>
      <w:r w:rsidR="003054F9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996717" w:rsidRPr="0066433F">
        <w:rPr>
          <w:rFonts w:ascii="David" w:hAnsi="David" w:cs="David"/>
          <w:sz w:val="24"/>
          <w:szCs w:val="24"/>
          <w:rtl/>
        </w:rPr>
        <w:t xml:space="preserve">משמעותי </w:t>
      </w:r>
      <w:r w:rsidR="008C6E36" w:rsidRPr="0066433F">
        <w:rPr>
          <w:rFonts w:ascii="David" w:hAnsi="David" w:cs="David"/>
          <w:sz w:val="24"/>
          <w:szCs w:val="24"/>
          <w:rtl/>
        </w:rPr>
        <w:t>בהלוואות בנקאיות (</w:t>
      </w:r>
      <w:r w:rsidR="00996717" w:rsidRPr="0066433F">
        <w:rPr>
          <w:rFonts w:ascii="David" w:hAnsi="David" w:cs="David"/>
          <w:sz w:val="24"/>
          <w:szCs w:val="24"/>
          <w:rtl/>
        </w:rPr>
        <w:t>כ-</w:t>
      </w:r>
      <w:r w:rsidR="008C6E36" w:rsidRPr="0066433F">
        <w:rPr>
          <w:rFonts w:ascii="David" w:hAnsi="David" w:cs="David"/>
          <w:sz w:val="24"/>
          <w:szCs w:val="24"/>
          <w:rtl/>
        </w:rPr>
        <w:t>17</w:t>
      </w:r>
      <w:r w:rsidR="00996717" w:rsidRPr="0066433F">
        <w:rPr>
          <w:rFonts w:ascii="David" w:hAnsi="David" w:cs="David"/>
          <w:sz w:val="24"/>
          <w:szCs w:val="24"/>
          <w:rtl/>
        </w:rPr>
        <w:t xml:space="preserve"> מיליארדי ש"ח</w:t>
      </w:r>
      <w:r w:rsidR="008C6E36" w:rsidRPr="0066433F">
        <w:rPr>
          <w:rFonts w:ascii="David" w:hAnsi="David" w:cs="David"/>
          <w:sz w:val="24"/>
          <w:szCs w:val="24"/>
          <w:rtl/>
        </w:rPr>
        <w:t xml:space="preserve">) על רקע </w:t>
      </w:r>
      <w:r w:rsidR="00C10057" w:rsidRPr="0066433F">
        <w:rPr>
          <w:rFonts w:ascii="David" w:hAnsi="David" w:cs="David"/>
          <w:sz w:val="24"/>
          <w:szCs w:val="24"/>
          <w:rtl/>
        </w:rPr>
        <w:t>משבר הקורונה</w:t>
      </w:r>
      <w:r w:rsidR="008C6E36" w:rsidRPr="0066433F">
        <w:rPr>
          <w:rFonts w:ascii="David" w:hAnsi="David" w:cs="David"/>
          <w:sz w:val="24"/>
          <w:szCs w:val="24"/>
          <w:rtl/>
        </w:rPr>
        <w:t>, וכן מפ</w:t>
      </w:r>
      <w:r w:rsidR="00641D43" w:rsidRPr="0066433F">
        <w:rPr>
          <w:rFonts w:ascii="David" w:hAnsi="David" w:cs="David"/>
          <w:sz w:val="24"/>
          <w:szCs w:val="24"/>
          <w:rtl/>
        </w:rPr>
        <w:t>י</w:t>
      </w:r>
      <w:r w:rsidR="008C6E36" w:rsidRPr="0066433F">
        <w:rPr>
          <w:rFonts w:ascii="David" w:hAnsi="David" w:cs="David"/>
          <w:sz w:val="24"/>
          <w:szCs w:val="24"/>
          <w:rtl/>
        </w:rPr>
        <w:t xml:space="preserve">חות </w:t>
      </w:r>
      <w:r w:rsidR="00996717" w:rsidRPr="0066433F">
        <w:rPr>
          <w:rFonts w:ascii="David" w:hAnsi="David" w:cs="David"/>
          <w:sz w:val="24"/>
          <w:szCs w:val="24"/>
          <w:rtl/>
        </w:rPr>
        <w:t>של כ-</w:t>
      </w:r>
      <w:r w:rsidR="008C6E36" w:rsidRPr="0066433F">
        <w:rPr>
          <w:rFonts w:ascii="David" w:hAnsi="David" w:cs="David"/>
          <w:sz w:val="24"/>
          <w:szCs w:val="24"/>
          <w:rtl/>
        </w:rPr>
        <w:t>3.2</w:t>
      </w:r>
      <w:r w:rsidR="00996717" w:rsidRPr="0066433F">
        <w:rPr>
          <w:rFonts w:ascii="David" w:hAnsi="David" w:cs="David"/>
          <w:sz w:val="24"/>
          <w:szCs w:val="24"/>
          <w:rtl/>
        </w:rPr>
        <w:t>% בשער החליפין של השקל מול הדולר שה</w:t>
      </w:r>
      <w:r w:rsidR="008C6E36" w:rsidRPr="0066433F">
        <w:rPr>
          <w:rFonts w:ascii="David" w:hAnsi="David" w:cs="David"/>
          <w:sz w:val="24"/>
          <w:szCs w:val="24"/>
          <w:rtl/>
        </w:rPr>
        <w:t xml:space="preserve">גדיל </w:t>
      </w:r>
      <w:r w:rsidR="00996717" w:rsidRPr="0066433F">
        <w:rPr>
          <w:rFonts w:ascii="David" w:hAnsi="David" w:cs="David"/>
          <w:sz w:val="24"/>
          <w:szCs w:val="24"/>
          <w:rtl/>
        </w:rPr>
        <w:t>את השווי של החוב הנקוב במט"ח והצמוד לו.</w:t>
      </w:r>
      <w:r w:rsidR="008C6E36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DD6427" w:rsidRPr="0066433F">
        <w:rPr>
          <w:rFonts w:ascii="David" w:hAnsi="David" w:cs="David"/>
          <w:sz w:val="24"/>
          <w:szCs w:val="24"/>
          <w:rtl/>
        </w:rPr>
        <w:t>השפעות אלו קוזזו ברובן כתוצאה מפירעונות נטו באפיקי הגיוס החוץ בנקאיים –</w:t>
      </w:r>
      <w:r w:rsidR="00102BB4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DD6427" w:rsidRPr="0066433F">
        <w:rPr>
          <w:rFonts w:ascii="David" w:hAnsi="David" w:cs="David"/>
          <w:sz w:val="24"/>
          <w:szCs w:val="24"/>
          <w:rtl/>
        </w:rPr>
        <w:t xml:space="preserve">פירעונות של הלוואות מתושבי חוץ ומהגופים המוסדיים. כתוצאה מכך ירד שיעור השינוי השנתי ביתרת החוב החוץ-בנקאי. (איורים 1 ו-2).  </w:t>
      </w:r>
    </w:p>
    <w:p w:rsidR="002A51F1" w:rsidRPr="0066433F" w:rsidRDefault="004C43DC" w:rsidP="00D11E8D">
      <w:pPr>
        <w:pStyle w:val="a9"/>
        <w:numPr>
          <w:ilvl w:val="0"/>
          <w:numId w:val="8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66433F">
        <w:rPr>
          <w:rFonts w:ascii="David" w:hAnsi="David" w:cs="David"/>
          <w:sz w:val="24"/>
          <w:szCs w:val="24"/>
          <w:rtl/>
        </w:rPr>
        <w:t xml:space="preserve">ברביע </w:t>
      </w:r>
      <w:r w:rsidR="00670D97" w:rsidRPr="0066433F">
        <w:rPr>
          <w:rFonts w:ascii="David" w:hAnsi="David" w:cs="David"/>
          <w:sz w:val="24"/>
          <w:szCs w:val="24"/>
          <w:rtl/>
        </w:rPr>
        <w:t>ה</w:t>
      </w:r>
      <w:r w:rsidR="00D11E8D" w:rsidRPr="0066433F">
        <w:rPr>
          <w:rFonts w:ascii="David" w:hAnsi="David" w:cs="David"/>
          <w:sz w:val="24"/>
          <w:szCs w:val="24"/>
          <w:rtl/>
        </w:rPr>
        <w:t xml:space="preserve">ראשון </w:t>
      </w:r>
      <w:r w:rsidR="00E335BB" w:rsidRPr="0066433F">
        <w:rPr>
          <w:rFonts w:ascii="David" w:hAnsi="David" w:cs="David"/>
          <w:sz w:val="24"/>
          <w:szCs w:val="24"/>
          <w:rtl/>
        </w:rPr>
        <w:t xml:space="preserve">של השנה 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66433F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D11E8D" w:rsidRPr="0066433F">
        <w:rPr>
          <w:rFonts w:ascii="David" w:hAnsi="David" w:cs="David"/>
          <w:sz w:val="24"/>
          <w:szCs w:val="24"/>
          <w:rtl/>
        </w:rPr>
        <w:t>10.6</w:t>
      </w:r>
      <w:r w:rsidR="00804AEF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66433F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66433F">
        <w:rPr>
          <w:rFonts w:ascii="David" w:hAnsi="David" w:cs="David"/>
          <w:sz w:val="24"/>
          <w:szCs w:val="24"/>
          <w:rtl/>
        </w:rPr>
        <w:t>,</w:t>
      </w:r>
      <w:r w:rsidR="00804AEF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D11E8D" w:rsidRPr="0066433F">
        <w:rPr>
          <w:rFonts w:ascii="David" w:hAnsi="David" w:cs="David"/>
          <w:sz w:val="24"/>
          <w:szCs w:val="24"/>
          <w:rtl/>
        </w:rPr>
        <w:t>דומה</w:t>
      </w:r>
      <w:r w:rsidR="00996717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D11E8D" w:rsidRPr="0066433F">
        <w:rPr>
          <w:rFonts w:ascii="David" w:hAnsi="David" w:cs="David"/>
          <w:sz w:val="24"/>
          <w:szCs w:val="24"/>
          <w:rtl/>
        </w:rPr>
        <w:t>ל</w:t>
      </w:r>
      <w:r w:rsidR="00474B96" w:rsidRPr="0066433F">
        <w:rPr>
          <w:rFonts w:ascii="David" w:hAnsi="David" w:cs="David"/>
          <w:sz w:val="24"/>
          <w:szCs w:val="24"/>
          <w:rtl/>
        </w:rPr>
        <w:t>מ</w:t>
      </w:r>
      <w:r w:rsidR="00804AEF" w:rsidRPr="0066433F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DA5162" w:rsidRPr="0066433F">
        <w:rPr>
          <w:rFonts w:ascii="David" w:hAnsi="David" w:cs="David"/>
          <w:sz w:val="24"/>
          <w:szCs w:val="24"/>
          <w:rtl/>
        </w:rPr>
        <w:t>ה</w:t>
      </w:r>
      <w:r w:rsidR="00996717" w:rsidRPr="0066433F">
        <w:rPr>
          <w:rFonts w:ascii="David" w:hAnsi="David" w:cs="David"/>
          <w:sz w:val="24"/>
          <w:szCs w:val="24"/>
          <w:rtl/>
        </w:rPr>
        <w:t xml:space="preserve">רבעוני </w:t>
      </w:r>
      <w:r w:rsidR="00D11E8D" w:rsidRPr="0066433F">
        <w:rPr>
          <w:rFonts w:ascii="David" w:hAnsi="David" w:cs="David"/>
          <w:sz w:val="24"/>
          <w:szCs w:val="24"/>
          <w:rtl/>
        </w:rPr>
        <w:t xml:space="preserve">בשנת 2019. </w:t>
      </w:r>
      <w:r w:rsidR="00996717" w:rsidRPr="0066433F">
        <w:rPr>
          <w:rFonts w:ascii="David" w:hAnsi="David" w:cs="David"/>
          <w:sz w:val="24"/>
          <w:szCs w:val="24"/>
          <w:rtl/>
        </w:rPr>
        <w:t>חברות מענף הנדל"ן והבינוי ממשיכות להוביל בגיוסים – כ</w:t>
      </w:r>
      <w:r w:rsidR="00D11E8D" w:rsidRPr="0066433F">
        <w:rPr>
          <w:rFonts w:ascii="David" w:hAnsi="David" w:cs="David"/>
          <w:sz w:val="24"/>
          <w:szCs w:val="24"/>
          <w:rtl/>
        </w:rPr>
        <w:t xml:space="preserve">-65% </w:t>
      </w:r>
      <w:r w:rsidR="00996717" w:rsidRPr="0066433F">
        <w:rPr>
          <w:rFonts w:ascii="David" w:hAnsi="David" w:cs="David"/>
          <w:sz w:val="24"/>
          <w:szCs w:val="24"/>
          <w:rtl/>
        </w:rPr>
        <w:t>מה</w:t>
      </w:r>
      <w:r w:rsidR="00D11E8D" w:rsidRPr="0066433F">
        <w:rPr>
          <w:rFonts w:ascii="David" w:hAnsi="David" w:cs="David"/>
          <w:sz w:val="24"/>
          <w:szCs w:val="24"/>
          <w:rtl/>
        </w:rPr>
        <w:t>גיוסים ב</w:t>
      </w:r>
      <w:r w:rsidR="00996717" w:rsidRPr="0066433F">
        <w:rPr>
          <w:rFonts w:ascii="David" w:hAnsi="David" w:cs="David"/>
          <w:sz w:val="24"/>
          <w:szCs w:val="24"/>
          <w:rtl/>
        </w:rPr>
        <w:t xml:space="preserve">רביע זה בוצעו על ידן. </w:t>
      </w:r>
      <w:r w:rsidR="00D11E8D" w:rsidRPr="0066433F">
        <w:rPr>
          <w:rFonts w:ascii="David" w:hAnsi="David" w:cs="David"/>
          <w:sz w:val="24"/>
          <w:szCs w:val="24"/>
          <w:rtl/>
        </w:rPr>
        <w:t xml:space="preserve">בחודשים אפריל-מאי </w:t>
      </w:r>
      <w:r w:rsidR="00996717" w:rsidRPr="0066433F">
        <w:rPr>
          <w:rFonts w:ascii="David" w:hAnsi="David" w:cs="David"/>
          <w:sz w:val="24"/>
          <w:szCs w:val="24"/>
          <w:rtl/>
        </w:rPr>
        <w:t>2020 הנפיק המגזר העסקי אג"ח בשווי של כ-</w:t>
      </w:r>
      <w:r w:rsidR="00D11E8D" w:rsidRPr="0066433F">
        <w:rPr>
          <w:rFonts w:ascii="David" w:hAnsi="David" w:cs="David"/>
          <w:sz w:val="24"/>
          <w:szCs w:val="24"/>
          <w:rtl/>
        </w:rPr>
        <w:t>5.7, וכ-4.4</w:t>
      </w:r>
      <w:r w:rsidR="00996717" w:rsidRPr="0066433F">
        <w:rPr>
          <w:rFonts w:ascii="David" w:hAnsi="David" w:cs="David"/>
          <w:sz w:val="24"/>
          <w:szCs w:val="24"/>
          <w:rtl/>
        </w:rPr>
        <w:t xml:space="preserve"> מיליארדי ש"ח</w:t>
      </w:r>
      <w:r w:rsidR="00D11E8D" w:rsidRPr="0066433F">
        <w:rPr>
          <w:rFonts w:ascii="David" w:hAnsi="David" w:cs="David"/>
          <w:sz w:val="24"/>
          <w:szCs w:val="24"/>
          <w:rtl/>
        </w:rPr>
        <w:t>, בהתאמה.</w:t>
      </w:r>
      <w:r w:rsidR="00DE3E4A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070391" w:rsidRPr="0066433F">
        <w:rPr>
          <w:rFonts w:ascii="David" w:hAnsi="David" w:cs="David"/>
          <w:sz w:val="24"/>
          <w:szCs w:val="24"/>
          <w:rtl/>
        </w:rPr>
        <w:t>(איור 3)</w:t>
      </w:r>
      <w:r w:rsidR="008E0911" w:rsidRPr="0066433F">
        <w:rPr>
          <w:rFonts w:ascii="David" w:hAnsi="David" w:cs="David"/>
          <w:sz w:val="24"/>
          <w:szCs w:val="24"/>
          <w:rtl/>
        </w:rPr>
        <w:t>.</w:t>
      </w:r>
    </w:p>
    <w:p w:rsidR="00E44E3D" w:rsidRPr="0066433F" w:rsidRDefault="00872B8B" w:rsidP="009C0650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66433F">
        <w:rPr>
          <w:rFonts w:ascii="David" w:hAnsi="David" w:cs="David"/>
          <w:sz w:val="24"/>
          <w:szCs w:val="24"/>
          <w:rtl/>
        </w:rPr>
        <w:t>בחודש מרץ 2020</w:t>
      </w:r>
      <w:r w:rsidR="00B17282" w:rsidRPr="0066433F">
        <w:rPr>
          <w:rFonts w:ascii="David" w:hAnsi="David" w:cs="David"/>
          <w:sz w:val="24"/>
          <w:szCs w:val="24"/>
          <w:rtl/>
        </w:rPr>
        <w:t xml:space="preserve"> 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66433F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6643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66433F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proofErr w:type="spellStart"/>
      <w:r w:rsidR="00BD4578" w:rsidRPr="0066433F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BD4578" w:rsidRPr="006643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BD4578" w:rsidRPr="0066433F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="00BD4578" w:rsidRPr="0066433F">
        <w:rPr>
          <w:rFonts w:ascii="David" w:hAnsi="David" w:cs="David"/>
          <w:b/>
          <w:bCs/>
          <w:sz w:val="24"/>
          <w:szCs w:val="24"/>
          <w:rtl/>
        </w:rPr>
        <w:t xml:space="preserve"> הכלולות במדד</w:t>
      </w:r>
      <w:r w:rsidR="00985B74" w:rsidRPr="0066433F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66433F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985B74" w:rsidRPr="0066433F">
        <w:rPr>
          <w:rFonts w:ascii="David" w:hAnsi="David" w:cs="David"/>
          <w:b/>
          <w:bCs/>
          <w:sz w:val="24"/>
          <w:szCs w:val="24"/>
          <w:rtl/>
        </w:rPr>
        <w:t xml:space="preserve"> הממשלתיות </w:t>
      </w:r>
      <w:r w:rsidR="00DA4279" w:rsidRPr="0066433F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352E42" w:rsidRPr="0066433F">
        <w:rPr>
          <w:rFonts w:ascii="David" w:hAnsi="David" w:cs="David"/>
          <w:sz w:val="24"/>
          <w:szCs w:val="24"/>
          <w:rtl/>
        </w:rPr>
        <w:t>התרחב</w:t>
      </w:r>
      <w:r w:rsidR="009B7097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571E37" w:rsidRPr="0066433F">
        <w:rPr>
          <w:rFonts w:ascii="David" w:hAnsi="David" w:cs="David"/>
          <w:sz w:val="24"/>
          <w:szCs w:val="24"/>
          <w:rtl/>
        </w:rPr>
        <w:t>משמעותית</w:t>
      </w:r>
      <w:r w:rsidR="009C0650" w:rsidRPr="0066433F">
        <w:rPr>
          <w:rFonts w:ascii="David" w:hAnsi="David" w:cs="David"/>
          <w:sz w:val="24"/>
          <w:szCs w:val="24"/>
          <w:rtl/>
        </w:rPr>
        <w:t xml:space="preserve"> (כ-1.2 נקודות אחוז)</w:t>
      </w:r>
      <w:r w:rsidRPr="0066433F">
        <w:rPr>
          <w:rFonts w:ascii="David" w:hAnsi="David" w:cs="David"/>
          <w:sz w:val="24"/>
          <w:szCs w:val="24"/>
          <w:rtl/>
        </w:rPr>
        <w:t xml:space="preserve"> ביחס למרווח שבחודש פברואר</w:t>
      </w:r>
      <w:r w:rsidR="00884ED4" w:rsidRPr="0066433F">
        <w:rPr>
          <w:rFonts w:ascii="David" w:hAnsi="David" w:cs="David"/>
          <w:sz w:val="24"/>
          <w:szCs w:val="24"/>
          <w:rtl/>
        </w:rPr>
        <w:t>, על רקע משבר הקורונה</w:t>
      </w:r>
      <w:r w:rsidR="009C0650" w:rsidRPr="0066433F">
        <w:rPr>
          <w:rFonts w:ascii="David" w:hAnsi="David" w:cs="David"/>
          <w:sz w:val="24"/>
          <w:szCs w:val="24"/>
          <w:rtl/>
        </w:rPr>
        <w:t xml:space="preserve">  עד</w:t>
      </w:r>
      <w:r w:rsidR="00DA4279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416818" w:rsidRPr="0066433F">
        <w:rPr>
          <w:rFonts w:ascii="David" w:hAnsi="David" w:cs="David"/>
          <w:sz w:val="24"/>
          <w:szCs w:val="24"/>
          <w:rtl/>
        </w:rPr>
        <w:t>ל</w:t>
      </w:r>
      <w:r w:rsidR="002C2286" w:rsidRPr="0066433F">
        <w:rPr>
          <w:rFonts w:ascii="David" w:hAnsi="David" w:cs="David"/>
          <w:sz w:val="24"/>
          <w:szCs w:val="24"/>
          <w:rtl/>
        </w:rPr>
        <w:t>כ-</w:t>
      </w:r>
      <w:r w:rsidR="00352E42" w:rsidRPr="0066433F">
        <w:rPr>
          <w:rFonts w:ascii="David" w:hAnsi="David" w:cs="David"/>
          <w:sz w:val="24"/>
          <w:szCs w:val="24"/>
          <w:rtl/>
        </w:rPr>
        <w:t>2.2</w:t>
      </w:r>
      <w:r w:rsidR="00B17282" w:rsidRPr="0066433F">
        <w:rPr>
          <w:rFonts w:ascii="David" w:hAnsi="David" w:cs="David"/>
          <w:sz w:val="24"/>
          <w:szCs w:val="24"/>
          <w:rtl/>
        </w:rPr>
        <w:t xml:space="preserve"> נק' האחוז</w:t>
      </w:r>
      <w:r w:rsidR="00884ED4" w:rsidRPr="0066433F">
        <w:rPr>
          <w:rFonts w:ascii="David" w:hAnsi="David" w:cs="David"/>
          <w:sz w:val="24"/>
          <w:szCs w:val="24"/>
          <w:rtl/>
        </w:rPr>
        <w:t xml:space="preserve">. </w:t>
      </w:r>
      <w:r w:rsidR="008E7A02" w:rsidRPr="0066433F">
        <w:rPr>
          <w:rFonts w:ascii="David" w:hAnsi="David" w:cs="David"/>
          <w:sz w:val="24"/>
          <w:szCs w:val="24"/>
          <w:rtl/>
        </w:rPr>
        <w:t>ב</w:t>
      </w:r>
      <w:r w:rsidR="00352E42" w:rsidRPr="0066433F">
        <w:rPr>
          <w:rFonts w:ascii="David" w:hAnsi="David" w:cs="David"/>
          <w:sz w:val="24"/>
          <w:szCs w:val="24"/>
          <w:rtl/>
        </w:rPr>
        <w:t>אפריל</w:t>
      </w:r>
      <w:r w:rsidR="00F35A1F" w:rsidRPr="0066433F">
        <w:rPr>
          <w:rFonts w:ascii="David" w:hAnsi="David" w:cs="David"/>
          <w:sz w:val="24"/>
          <w:szCs w:val="24"/>
          <w:rtl/>
        </w:rPr>
        <w:t xml:space="preserve"> 2020</w:t>
      </w:r>
      <w:r w:rsidR="008E7A02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AC5163" w:rsidRPr="0066433F">
        <w:rPr>
          <w:rFonts w:ascii="David" w:hAnsi="David" w:cs="David"/>
          <w:sz w:val="24"/>
          <w:szCs w:val="24"/>
          <w:rtl/>
        </w:rPr>
        <w:t xml:space="preserve">מרווח </w:t>
      </w:r>
      <w:r w:rsidR="002777F9" w:rsidRPr="0066433F">
        <w:rPr>
          <w:rFonts w:ascii="David" w:hAnsi="David" w:cs="David"/>
          <w:sz w:val="24"/>
          <w:szCs w:val="24"/>
          <w:rtl/>
        </w:rPr>
        <w:t>זה</w:t>
      </w:r>
      <w:r w:rsidR="009C0650" w:rsidRPr="0066433F">
        <w:rPr>
          <w:rFonts w:ascii="David" w:hAnsi="David" w:cs="David"/>
          <w:sz w:val="24"/>
          <w:szCs w:val="24"/>
          <w:rtl/>
        </w:rPr>
        <w:t xml:space="preserve"> שב והצטמצם</w:t>
      </w:r>
      <w:r w:rsidR="002777F9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416818" w:rsidRPr="0066433F">
        <w:rPr>
          <w:rFonts w:ascii="David" w:hAnsi="David" w:cs="David"/>
          <w:sz w:val="24"/>
          <w:szCs w:val="24"/>
          <w:rtl/>
        </w:rPr>
        <w:t>עד ל</w:t>
      </w:r>
      <w:r w:rsidR="00284B68" w:rsidRPr="0066433F">
        <w:rPr>
          <w:rFonts w:ascii="David" w:hAnsi="David" w:cs="David"/>
          <w:sz w:val="24"/>
          <w:szCs w:val="24"/>
          <w:rtl/>
        </w:rPr>
        <w:t xml:space="preserve">רמה של </w:t>
      </w:r>
      <w:r w:rsidR="002C2286" w:rsidRPr="0066433F">
        <w:rPr>
          <w:rFonts w:ascii="David" w:hAnsi="David" w:cs="David"/>
          <w:sz w:val="24"/>
          <w:szCs w:val="24"/>
          <w:rtl/>
        </w:rPr>
        <w:t>כ-</w:t>
      </w:r>
      <w:r w:rsidR="00352E42" w:rsidRPr="0066433F">
        <w:rPr>
          <w:rFonts w:ascii="David" w:hAnsi="David" w:cs="David"/>
          <w:sz w:val="24"/>
          <w:szCs w:val="24"/>
          <w:rtl/>
        </w:rPr>
        <w:t>1.7</w:t>
      </w:r>
      <w:r w:rsidR="00AC5163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2C2286" w:rsidRPr="0066433F">
        <w:rPr>
          <w:rFonts w:ascii="David" w:hAnsi="David" w:cs="David"/>
          <w:sz w:val="24"/>
          <w:szCs w:val="24"/>
          <w:rtl/>
        </w:rPr>
        <w:t>נק' האחוז</w:t>
      </w:r>
      <w:r w:rsidR="008E7A02" w:rsidRPr="0066433F">
        <w:rPr>
          <w:rFonts w:ascii="David" w:hAnsi="David" w:cs="David"/>
          <w:sz w:val="24"/>
          <w:szCs w:val="24"/>
          <w:rtl/>
        </w:rPr>
        <w:t>.</w:t>
      </w:r>
      <w:r w:rsidR="00070391" w:rsidRPr="0066433F">
        <w:rPr>
          <w:rFonts w:ascii="David" w:hAnsi="David" w:cs="David"/>
          <w:sz w:val="24"/>
          <w:szCs w:val="24"/>
          <w:rtl/>
        </w:rPr>
        <w:t xml:space="preserve"> (איור 4)</w:t>
      </w:r>
      <w:r w:rsidR="008E0911" w:rsidRPr="0066433F">
        <w:rPr>
          <w:rFonts w:ascii="David" w:hAnsi="David" w:cs="David"/>
          <w:sz w:val="24"/>
          <w:szCs w:val="24"/>
          <w:rtl/>
        </w:rPr>
        <w:t>.</w:t>
      </w:r>
    </w:p>
    <w:p w:rsidR="00C402A8" w:rsidRDefault="00C402A8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b/>
          <w:bCs/>
          <w:rtl/>
        </w:rPr>
      </w:pPr>
    </w:p>
    <w:p w:rsidR="00C402A8" w:rsidRDefault="00C402A8" w:rsidP="00C402A8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b/>
          <w:bCs/>
          <w:rtl/>
        </w:rPr>
      </w:pPr>
    </w:p>
    <w:p w:rsidR="00C402A8" w:rsidRDefault="00C402A8" w:rsidP="00C402A8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b/>
          <w:bCs/>
          <w:rtl/>
        </w:rPr>
      </w:pPr>
    </w:p>
    <w:p w:rsidR="00F21AEA" w:rsidRPr="0066433F" w:rsidRDefault="00C402A8" w:rsidP="00C402A8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ל</w:t>
      </w:r>
      <w:bookmarkStart w:id="0" w:name="_GoBack"/>
      <w:bookmarkEnd w:id="0"/>
      <w:r w:rsidR="00AC3E61" w:rsidRPr="0066433F">
        <w:rPr>
          <w:rFonts w:ascii="David" w:hAnsi="David" w:cs="David"/>
          <w:b/>
          <w:bCs/>
          <w:rtl/>
        </w:rPr>
        <w:t>וח 1: התפלגות החוב של המגזר העסקי</w:t>
      </w:r>
      <w:r w:rsidR="001E78A9" w:rsidRPr="0066433F">
        <w:rPr>
          <w:rFonts w:ascii="David" w:hAnsi="David" w:cs="David"/>
          <w:b/>
          <w:bCs/>
          <w:rtl/>
        </w:rPr>
        <w:t xml:space="preserve"> הלא-פיננסי</w:t>
      </w:r>
      <w:r w:rsidR="0012175B" w:rsidRPr="0066433F">
        <w:rPr>
          <w:rFonts w:ascii="David" w:hAnsi="David" w:cs="David"/>
          <w:vertAlign w:val="superscript"/>
          <w:rtl/>
        </w:rPr>
        <w:t>1</w:t>
      </w:r>
      <w:r w:rsidR="00303DA6" w:rsidRPr="0066433F">
        <w:rPr>
          <w:rFonts w:ascii="David" w:hAnsi="David" w:cs="David"/>
          <w:vertAlign w:val="superscript"/>
          <w:rtl/>
        </w:rPr>
        <w:t xml:space="preserve"> </w:t>
      </w:r>
    </w:p>
    <w:p w:rsidR="002A60C4" w:rsidRPr="0066433F" w:rsidRDefault="003C3E4A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  <w:r w:rsidRPr="0066433F">
        <w:rPr>
          <w:rFonts w:ascii="David" w:hAnsi="David" w:cs="David"/>
          <w:noProof/>
          <w:rtl/>
        </w:rPr>
        <w:drawing>
          <wp:inline distT="0" distB="0" distL="0" distR="0">
            <wp:extent cx="5278120" cy="2502122"/>
            <wp:effectExtent l="0" t="0" r="0" b="0"/>
            <wp:docPr id="2" name="תמונה 2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66433F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AC3E61" w:rsidRPr="0066433F" w:rsidRDefault="00AC3E61" w:rsidP="00374BF3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66433F">
        <w:rPr>
          <w:rFonts w:ascii="David" w:hAnsi="David" w:cs="David"/>
          <w:b/>
          <w:bCs/>
          <w:rtl/>
        </w:rPr>
        <w:t xml:space="preserve">איור 1: </w:t>
      </w:r>
      <w:r w:rsidR="00AD3F98" w:rsidRPr="0066433F">
        <w:rPr>
          <w:rFonts w:ascii="David" w:hAnsi="David" w:cs="David"/>
          <w:b/>
          <w:bCs/>
          <w:rtl/>
        </w:rPr>
        <w:t xml:space="preserve">אומדן </w:t>
      </w:r>
      <w:r w:rsidR="00374BF3" w:rsidRPr="0066433F">
        <w:rPr>
          <w:rFonts w:ascii="David" w:hAnsi="David" w:cs="David"/>
          <w:b/>
          <w:bCs/>
          <w:rtl/>
        </w:rPr>
        <w:t>לתנועות של סך ה</w:t>
      </w:r>
      <w:r w:rsidR="00AD3F98" w:rsidRPr="0066433F">
        <w:rPr>
          <w:rFonts w:ascii="David" w:hAnsi="David" w:cs="David"/>
          <w:b/>
          <w:bCs/>
          <w:rtl/>
        </w:rPr>
        <w:t>חוב של</w:t>
      </w:r>
      <w:r w:rsidRPr="0066433F">
        <w:rPr>
          <w:rFonts w:ascii="David" w:hAnsi="David" w:cs="David"/>
          <w:b/>
          <w:bCs/>
          <w:rtl/>
        </w:rPr>
        <w:t xml:space="preserve"> </w:t>
      </w:r>
      <w:r w:rsidR="0004490E" w:rsidRPr="0066433F">
        <w:rPr>
          <w:rFonts w:ascii="David" w:hAnsi="David" w:cs="David"/>
          <w:b/>
          <w:bCs/>
          <w:rtl/>
        </w:rPr>
        <w:t>המגזר</w:t>
      </w:r>
      <w:r w:rsidR="00AD3F98" w:rsidRPr="0066433F">
        <w:rPr>
          <w:rFonts w:ascii="David" w:hAnsi="David" w:cs="David"/>
          <w:b/>
          <w:bCs/>
          <w:rtl/>
        </w:rPr>
        <w:t xml:space="preserve"> העסקי </w:t>
      </w:r>
      <w:r w:rsidR="001E78A9" w:rsidRPr="0066433F">
        <w:rPr>
          <w:rFonts w:ascii="David" w:hAnsi="David" w:cs="David"/>
          <w:b/>
          <w:bCs/>
          <w:rtl/>
        </w:rPr>
        <w:t>הלא-פיננסי</w:t>
      </w:r>
    </w:p>
    <w:p w:rsidR="002A60C4" w:rsidRPr="0066433F" w:rsidRDefault="003C3E4A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noProof/>
          <w:sz w:val="24"/>
          <w:szCs w:val="24"/>
          <w:lang w:eastAsia="en-US"/>
        </w:rPr>
        <w:drawing>
          <wp:inline distT="0" distB="0" distL="0" distR="0">
            <wp:extent cx="5278120" cy="2841822"/>
            <wp:effectExtent l="0" t="0" r="0" b="0"/>
            <wp:docPr id="6" name="תמונה 6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E8" w:rsidRPr="0066433F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602E8" w:rsidRPr="0066433F" w:rsidRDefault="00D602E8">
      <w:pPr>
        <w:spacing w:after="200" w:line="276" w:lineRule="auto"/>
        <w:rPr>
          <w:rFonts w:ascii="David" w:hAnsi="David" w:cs="David"/>
          <w:b/>
          <w:bCs/>
          <w:sz w:val="24"/>
          <w:szCs w:val="24"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675551" w:rsidRPr="0066433F" w:rsidRDefault="00675551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lastRenderedPageBreak/>
        <w:t>איור 2: שיעורי השינוי לעומת הרביע המקביל בשנה הקודמת בחוב הבנקאי והחוץ-בנקאי של המגזר העסקי</w:t>
      </w:r>
      <w:r w:rsidR="001E78A9" w:rsidRPr="0066433F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66433F" w:rsidRDefault="003C3E4A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2594695"/>
            <wp:effectExtent l="0" t="0" r="0" b="0"/>
            <wp:docPr id="8" name="תמונה 8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0A" w:rsidRPr="0066433F" w:rsidRDefault="00C9450A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C3E61" w:rsidRPr="0066433F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66433F">
        <w:rPr>
          <w:rFonts w:ascii="David" w:hAnsi="David" w:cs="David"/>
          <w:b/>
          <w:bCs/>
          <w:sz w:val="24"/>
          <w:szCs w:val="24"/>
        </w:rPr>
        <w:t>3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66433F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66433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66433F" w:rsidRDefault="00D84C05" w:rsidP="001F1E1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noProof/>
          <w:sz w:val="24"/>
          <w:szCs w:val="24"/>
          <w:lang w:eastAsia="en-US"/>
        </w:rPr>
        <w:drawing>
          <wp:inline distT="0" distB="0" distL="0" distR="0">
            <wp:extent cx="5200015" cy="2954655"/>
            <wp:effectExtent l="0" t="0" r="635" b="0"/>
            <wp:docPr id="9" name="תמונה 9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67" w:rsidRPr="0066433F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66433F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66433F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66433F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5413E" w:rsidRPr="0066433F" w:rsidRDefault="0045413E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522BB0" w:rsidRPr="0066433F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66433F">
        <w:rPr>
          <w:rFonts w:ascii="David" w:hAnsi="David" w:cs="David"/>
          <w:b/>
          <w:bCs/>
          <w:sz w:val="24"/>
          <w:szCs w:val="24"/>
        </w:rPr>
        <w:t>4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66433F">
        <w:rPr>
          <w:rFonts w:ascii="David" w:hAnsi="David" w:cs="David"/>
          <w:b/>
          <w:bCs/>
          <w:sz w:val="24"/>
          <w:szCs w:val="24"/>
          <w:rtl/>
        </w:rPr>
        <w:t>ות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66433F">
        <w:rPr>
          <w:rFonts w:ascii="David" w:hAnsi="David" w:cs="David"/>
          <w:b/>
          <w:bCs/>
          <w:sz w:val="24"/>
          <w:szCs w:val="24"/>
          <w:rtl/>
        </w:rPr>
        <w:t>ות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66433F">
        <w:rPr>
          <w:rFonts w:ascii="David" w:hAnsi="David" w:cs="David"/>
          <w:b/>
          <w:bCs/>
          <w:sz w:val="24"/>
          <w:szCs w:val="24"/>
          <w:rtl/>
        </w:rPr>
        <w:t>ות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6433F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66433F" w:rsidRDefault="00D84C05" w:rsidP="00522BB0">
      <w:pPr>
        <w:pStyle w:val="a9"/>
        <w:bidi/>
        <w:spacing w:line="360" w:lineRule="auto"/>
        <w:ind w:left="-52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2723763"/>
            <wp:effectExtent l="0" t="0" r="0" b="635"/>
            <wp:docPr id="10" name="תמונה 10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2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B0" w:rsidRPr="0066433F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9F574F" w:rsidRPr="0066433F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66433F">
        <w:rPr>
          <w:rStyle w:val="10"/>
          <w:rFonts w:ascii="David" w:hAnsi="David" w:cs="David"/>
          <w:rtl/>
        </w:rPr>
        <w:t>החוב של משקי הבית</w:t>
      </w:r>
    </w:p>
    <w:p w:rsidR="00D01EC4" w:rsidRPr="0066433F" w:rsidRDefault="002319C1" w:rsidP="002D0394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Pr="0066433F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66433F">
        <w:rPr>
          <w:rFonts w:ascii="David" w:hAnsi="David" w:cs="David"/>
          <w:sz w:val="24"/>
          <w:szCs w:val="24"/>
          <w:rtl/>
        </w:rPr>
        <w:t>גדלה</w:t>
      </w:r>
      <w:r w:rsidR="0004490E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66433F">
        <w:rPr>
          <w:rFonts w:ascii="David" w:hAnsi="David" w:cs="David"/>
          <w:sz w:val="24"/>
          <w:szCs w:val="24"/>
          <w:rtl/>
        </w:rPr>
        <w:t>ב</w:t>
      </w:r>
      <w:r w:rsidR="00DA070E" w:rsidRPr="0066433F">
        <w:rPr>
          <w:rFonts w:ascii="David" w:hAnsi="David" w:cs="David"/>
          <w:sz w:val="24"/>
          <w:szCs w:val="24"/>
          <w:rtl/>
        </w:rPr>
        <w:t xml:space="preserve">רביע </w:t>
      </w:r>
      <w:r w:rsidR="00CF24FB" w:rsidRPr="0066433F">
        <w:rPr>
          <w:rFonts w:ascii="David" w:hAnsi="David" w:cs="David"/>
          <w:sz w:val="24"/>
          <w:szCs w:val="24"/>
          <w:rtl/>
        </w:rPr>
        <w:t>ה</w:t>
      </w:r>
      <w:r w:rsidR="008E0911" w:rsidRPr="0066433F">
        <w:rPr>
          <w:rFonts w:ascii="David" w:hAnsi="David" w:cs="David"/>
          <w:sz w:val="24"/>
          <w:szCs w:val="24"/>
          <w:rtl/>
        </w:rPr>
        <w:t>ר</w:t>
      </w:r>
      <w:r w:rsidR="00641D43" w:rsidRPr="0066433F">
        <w:rPr>
          <w:rFonts w:ascii="David" w:hAnsi="David" w:cs="David"/>
          <w:sz w:val="24"/>
          <w:szCs w:val="24"/>
          <w:rtl/>
        </w:rPr>
        <w:t>אשון</w:t>
      </w:r>
      <w:r w:rsidR="00182968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04490E" w:rsidRPr="0066433F">
        <w:rPr>
          <w:rFonts w:ascii="David" w:hAnsi="David" w:cs="David"/>
          <w:sz w:val="24"/>
          <w:szCs w:val="24"/>
          <w:rtl/>
        </w:rPr>
        <w:t xml:space="preserve">של שנת </w:t>
      </w:r>
      <w:r w:rsidR="00641D43" w:rsidRPr="0066433F">
        <w:rPr>
          <w:rFonts w:ascii="David" w:hAnsi="David" w:cs="David"/>
          <w:sz w:val="24"/>
          <w:szCs w:val="24"/>
          <w:rtl/>
        </w:rPr>
        <w:t>2020</w:t>
      </w:r>
      <w:r w:rsidR="0004490E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54512E" w:rsidRPr="0066433F">
        <w:rPr>
          <w:rFonts w:ascii="David" w:hAnsi="David" w:cs="David"/>
          <w:sz w:val="24"/>
          <w:szCs w:val="24"/>
          <w:rtl/>
        </w:rPr>
        <w:t xml:space="preserve">לרמה של </w:t>
      </w:r>
      <w:r w:rsidR="0004490E" w:rsidRPr="0066433F">
        <w:rPr>
          <w:rFonts w:ascii="David" w:hAnsi="David" w:cs="David"/>
          <w:sz w:val="24"/>
          <w:szCs w:val="24"/>
          <w:rtl/>
        </w:rPr>
        <w:t>כ-</w:t>
      </w:r>
      <w:r w:rsidR="00641D43" w:rsidRPr="0066433F">
        <w:rPr>
          <w:rFonts w:ascii="David" w:hAnsi="David" w:cs="David"/>
          <w:sz w:val="24"/>
          <w:szCs w:val="24"/>
          <w:rtl/>
        </w:rPr>
        <w:t>592</w:t>
      </w:r>
      <w:r w:rsidR="0004490E" w:rsidRPr="0066433F">
        <w:rPr>
          <w:rFonts w:ascii="David" w:hAnsi="David" w:cs="David"/>
          <w:sz w:val="24"/>
          <w:szCs w:val="24"/>
          <w:rtl/>
        </w:rPr>
        <w:t xml:space="preserve"> מיליארדי</w:t>
      </w:r>
      <w:r w:rsidR="008E0911" w:rsidRPr="0066433F">
        <w:rPr>
          <w:rFonts w:ascii="David" w:hAnsi="David" w:cs="David"/>
          <w:sz w:val="24"/>
          <w:szCs w:val="24"/>
          <w:rtl/>
        </w:rPr>
        <w:t xml:space="preserve"> ש"ח - עלייה של כ-</w:t>
      </w:r>
      <w:r w:rsidR="002D0394" w:rsidRPr="0066433F">
        <w:rPr>
          <w:rFonts w:ascii="David" w:hAnsi="David" w:cs="David"/>
          <w:sz w:val="24"/>
          <w:szCs w:val="24"/>
          <w:rtl/>
        </w:rPr>
        <w:t>4</w:t>
      </w:r>
      <w:r w:rsidR="00806DF9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8E0911" w:rsidRPr="0066433F">
        <w:rPr>
          <w:rFonts w:ascii="David" w:hAnsi="David" w:cs="David"/>
          <w:sz w:val="24"/>
          <w:szCs w:val="24"/>
          <w:rtl/>
        </w:rPr>
        <w:t>מיליארדים (</w:t>
      </w:r>
      <w:r w:rsidR="00641D43" w:rsidRPr="0066433F">
        <w:rPr>
          <w:rFonts w:ascii="David" w:hAnsi="David" w:cs="David"/>
          <w:sz w:val="24"/>
          <w:szCs w:val="24"/>
          <w:rtl/>
        </w:rPr>
        <w:t>0.</w:t>
      </w:r>
      <w:r w:rsidR="002D0394" w:rsidRPr="0066433F">
        <w:rPr>
          <w:rFonts w:ascii="David" w:hAnsi="David" w:cs="David"/>
          <w:sz w:val="24"/>
          <w:szCs w:val="24"/>
          <w:rtl/>
        </w:rPr>
        <w:t>8</w:t>
      </w:r>
      <w:r w:rsidR="008E0911" w:rsidRPr="0066433F">
        <w:rPr>
          <w:rFonts w:ascii="David" w:hAnsi="David" w:cs="David"/>
          <w:sz w:val="24"/>
          <w:szCs w:val="24"/>
          <w:rtl/>
        </w:rPr>
        <w:t>%)</w:t>
      </w:r>
      <w:r w:rsidR="00641D43" w:rsidRPr="0066433F">
        <w:rPr>
          <w:rFonts w:ascii="David" w:hAnsi="David" w:cs="David"/>
          <w:sz w:val="24"/>
          <w:szCs w:val="24"/>
          <w:rtl/>
        </w:rPr>
        <w:t xml:space="preserve">: יתרת </w:t>
      </w:r>
      <w:r w:rsidR="00641D43" w:rsidRPr="0066433F">
        <w:rPr>
          <w:rFonts w:ascii="David" w:hAnsi="David" w:cs="David"/>
          <w:b/>
          <w:bCs/>
          <w:sz w:val="24"/>
          <w:szCs w:val="24"/>
          <w:rtl/>
        </w:rPr>
        <w:t xml:space="preserve">החוב לדיור </w:t>
      </w:r>
      <w:r w:rsidR="00641D43" w:rsidRPr="0066433F">
        <w:rPr>
          <w:rFonts w:ascii="David" w:hAnsi="David" w:cs="David"/>
          <w:sz w:val="24"/>
          <w:szCs w:val="24"/>
          <w:rtl/>
        </w:rPr>
        <w:t xml:space="preserve">גדלה בכ-8 מיליארדי </w:t>
      </w:r>
      <w:r w:rsidR="00102BB4" w:rsidRPr="0066433F">
        <w:rPr>
          <w:rFonts w:ascii="David" w:hAnsi="David" w:cs="David"/>
          <w:sz w:val="24"/>
          <w:szCs w:val="24"/>
          <w:rtl/>
        </w:rPr>
        <w:t>ש"ח</w:t>
      </w:r>
      <w:r w:rsidR="00C75098" w:rsidRPr="0066433F">
        <w:rPr>
          <w:rFonts w:ascii="David" w:hAnsi="David" w:cs="David"/>
          <w:sz w:val="24"/>
          <w:szCs w:val="24"/>
          <w:rtl/>
        </w:rPr>
        <w:t xml:space="preserve"> (</w:t>
      </w:r>
      <w:r w:rsidR="00102BB4" w:rsidRPr="0066433F">
        <w:rPr>
          <w:rFonts w:ascii="David" w:hAnsi="David" w:cs="David"/>
          <w:sz w:val="24"/>
          <w:szCs w:val="24"/>
        </w:rPr>
        <w:t>2.1%</w:t>
      </w:r>
      <w:r w:rsidR="00C75098" w:rsidRPr="0066433F">
        <w:rPr>
          <w:rFonts w:ascii="David" w:hAnsi="David" w:cs="David"/>
          <w:sz w:val="24"/>
          <w:szCs w:val="24"/>
          <w:rtl/>
        </w:rPr>
        <w:t>)</w:t>
      </w:r>
      <w:r w:rsidR="00641D43" w:rsidRPr="0066433F">
        <w:rPr>
          <w:rFonts w:ascii="David" w:hAnsi="David" w:cs="David"/>
          <w:sz w:val="24"/>
          <w:szCs w:val="24"/>
          <w:rtl/>
        </w:rPr>
        <w:t xml:space="preserve"> לרמה של כ-394 מיליארדים, ואילו </w:t>
      </w:r>
      <w:r w:rsidR="008E0911" w:rsidRPr="0066433F">
        <w:rPr>
          <w:rFonts w:ascii="David" w:hAnsi="David" w:cs="David"/>
          <w:sz w:val="24"/>
          <w:szCs w:val="24"/>
          <w:rtl/>
        </w:rPr>
        <w:t>יתרת</w:t>
      </w:r>
      <w:r w:rsidR="008E0911" w:rsidRPr="0066433F">
        <w:rPr>
          <w:rFonts w:ascii="David" w:hAnsi="David" w:cs="David"/>
          <w:b/>
          <w:bCs/>
          <w:sz w:val="24"/>
          <w:szCs w:val="24"/>
          <w:rtl/>
        </w:rPr>
        <w:t xml:space="preserve"> החוב לא לדיור</w:t>
      </w:r>
      <w:r w:rsidR="008E0911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641D43" w:rsidRPr="0066433F">
        <w:rPr>
          <w:rFonts w:ascii="David" w:hAnsi="David" w:cs="David"/>
          <w:sz w:val="24"/>
          <w:szCs w:val="24"/>
          <w:rtl/>
        </w:rPr>
        <w:t xml:space="preserve">קטנה </w:t>
      </w:r>
      <w:r w:rsidR="00CA70B4" w:rsidRPr="0066433F">
        <w:rPr>
          <w:rFonts w:ascii="David" w:hAnsi="David" w:cs="David"/>
          <w:sz w:val="24"/>
          <w:szCs w:val="24"/>
          <w:rtl/>
        </w:rPr>
        <w:t xml:space="preserve">משמעותית </w:t>
      </w:r>
      <w:r w:rsidR="00641D43" w:rsidRPr="0066433F">
        <w:rPr>
          <w:rFonts w:ascii="David" w:hAnsi="David" w:cs="David"/>
          <w:sz w:val="24"/>
          <w:szCs w:val="24"/>
          <w:rtl/>
        </w:rPr>
        <w:t xml:space="preserve">בכ-4 מיליארדים </w:t>
      </w:r>
      <w:r w:rsidR="00C75098" w:rsidRPr="0066433F">
        <w:rPr>
          <w:rFonts w:ascii="David" w:hAnsi="David" w:cs="David"/>
          <w:sz w:val="24"/>
          <w:szCs w:val="24"/>
          <w:rtl/>
        </w:rPr>
        <w:t>(</w:t>
      </w:r>
      <w:r w:rsidR="00102BB4" w:rsidRPr="0066433F">
        <w:rPr>
          <w:rFonts w:ascii="David" w:hAnsi="David" w:cs="David"/>
          <w:sz w:val="24"/>
          <w:szCs w:val="24"/>
          <w:rtl/>
        </w:rPr>
        <w:t>1.</w:t>
      </w:r>
      <w:r w:rsidR="002D0394" w:rsidRPr="0066433F">
        <w:rPr>
          <w:rFonts w:ascii="David" w:hAnsi="David" w:cs="David"/>
          <w:sz w:val="24"/>
          <w:szCs w:val="24"/>
          <w:rtl/>
        </w:rPr>
        <w:t>8</w:t>
      </w:r>
      <w:r w:rsidR="00102BB4" w:rsidRPr="0066433F">
        <w:rPr>
          <w:rFonts w:ascii="David" w:hAnsi="David" w:cs="David"/>
          <w:sz w:val="24"/>
          <w:szCs w:val="24"/>
          <w:rtl/>
        </w:rPr>
        <w:t>%-</w:t>
      </w:r>
      <w:r w:rsidR="00C75098" w:rsidRPr="0066433F">
        <w:rPr>
          <w:rFonts w:ascii="David" w:hAnsi="David" w:cs="David"/>
          <w:sz w:val="24"/>
          <w:szCs w:val="24"/>
          <w:rtl/>
        </w:rPr>
        <w:t>)</w:t>
      </w:r>
      <w:r w:rsidR="00CA70B4" w:rsidRPr="0066433F">
        <w:rPr>
          <w:rFonts w:ascii="David" w:hAnsi="David" w:cs="David"/>
          <w:sz w:val="24"/>
          <w:szCs w:val="24"/>
          <w:rtl/>
        </w:rPr>
        <w:t>, לראשונה מזה שנים,</w:t>
      </w:r>
      <w:r w:rsidR="00C75098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641D43" w:rsidRPr="0066433F">
        <w:rPr>
          <w:rFonts w:ascii="David" w:hAnsi="David" w:cs="David"/>
          <w:sz w:val="24"/>
          <w:szCs w:val="24"/>
          <w:rtl/>
        </w:rPr>
        <w:t>לרמה של כ-198</w:t>
      </w:r>
      <w:r w:rsidR="008E0911" w:rsidRPr="0066433F">
        <w:rPr>
          <w:rFonts w:ascii="David" w:hAnsi="David" w:cs="David"/>
          <w:sz w:val="24"/>
          <w:szCs w:val="24"/>
          <w:rtl/>
        </w:rPr>
        <w:t xml:space="preserve"> מיליארדי</w:t>
      </w:r>
      <w:r w:rsidR="00641D43" w:rsidRPr="0066433F">
        <w:rPr>
          <w:rFonts w:ascii="David" w:hAnsi="David" w:cs="David"/>
          <w:sz w:val="24"/>
          <w:szCs w:val="24"/>
          <w:rtl/>
        </w:rPr>
        <w:t>ם</w:t>
      </w:r>
      <w:r w:rsidR="008E0911" w:rsidRPr="0066433F">
        <w:rPr>
          <w:rFonts w:ascii="David" w:hAnsi="David" w:cs="David"/>
          <w:sz w:val="24"/>
          <w:szCs w:val="24"/>
          <w:rtl/>
        </w:rPr>
        <w:t xml:space="preserve">. </w:t>
      </w:r>
      <w:r w:rsidR="00641D43" w:rsidRPr="0066433F">
        <w:rPr>
          <w:rFonts w:ascii="David" w:hAnsi="David" w:cs="David"/>
          <w:sz w:val="24"/>
          <w:szCs w:val="24"/>
          <w:rtl/>
        </w:rPr>
        <w:t xml:space="preserve">כתוצאה מכך </w:t>
      </w:r>
      <w:r w:rsidR="008E0911" w:rsidRPr="0066433F">
        <w:rPr>
          <w:rFonts w:ascii="David" w:hAnsi="David" w:cs="David"/>
          <w:sz w:val="24"/>
          <w:szCs w:val="24"/>
          <w:rtl/>
        </w:rPr>
        <w:t xml:space="preserve">ברביע זה חלה ירידה </w:t>
      </w:r>
      <w:r w:rsidR="00641D43" w:rsidRPr="0066433F">
        <w:rPr>
          <w:rFonts w:ascii="David" w:hAnsi="David" w:cs="David"/>
          <w:sz w:val="24"/>
          <w:szCs w:val="24"/>
          <w:rtl/>
        </w:rPr>
        <w:t xml:space="preserve">משמעותית </w:t>
      </w:r>
      <w:r w:rsidR="008E0911" w:rsidRPr="0066433F">
        <w:rPr>
          <w:rFonts w:ascii="David" w:hAnsi="David" w:cs="David"/>
          <w:sz w:val="24"/>
          <w:szCs w:val="24"/>
          <w:rtl/>
        </w:rPr>
        <w:t>בשיעור השינוי השנתי של יתרת החוב לא לדיור</w:t>
      </w:r>
      <w:r w:rsidR="00641D43" w:rsidRPr="0066433F">
        <w:rPr>
          <w:rFonts w:ascii="David" w:hAnsi="David" w:cs="David"/>
          <w:sz w:val="24"/>
          <w:szCs w:val="24"/>
          <w:rtl/>
        </w:rPr>
        <w:t xml:space="preserve">. </w:t>
      </w:r>
      <w:r w:rsidR="00D01EC4" w:rsidRPr="0066433F">
        <w:rPr>
          <w:rFonts w:ascii="David" w:hAnsi="David" w:cs="David"/>
          <w:sz w:val="24"/>
          <w:szCs w:val="24"/>
          <w:rtl/>
        </w:rPr>
        <w:t xml:space="preserve">(איור </w:t>
      </w:r>
      <w:r w:rsidR="00B42CE6" w:rsidRPr="0066433F">
        <w:rPr>
          <w:rFonts w:ascii="David" w:hAnsi="David" w:cs="David"/>
          <w:sz w:val="24"/>
          <w:szCs w:val="24"/>
          <w:rtl/>
        </w:rPr>
        <w:t>5</w:t>
      </w:r>
      <w:r w:rsidR="008E0911" w:rsidRPr="0066433F">
        <w:rPr>
          <w:rFonts w:ascii="David" w:hAnsi="David" w:cs="David"/>
          <w:sz w:val="24"/>
          <w:szCs w:val="24"/>
          <w:rtl/>
        </w:rPr>
        <w:t>).</w:t>
      </w:r>
      <w:r w:rsidR="00D01EC4" w:rsidRPr="0066433F">
        <w:rPr>
          <w:rFonts w:ascii="David" w:hAnsi="David" w:cs="David"/>
          <w:sz w:val="24"/>
          <w:szCs w:val="24"/>
          <w:rtl/>
        </w:rPr>
        <w:t xml:space="preserve"> </w:t>
      </w:r>
    </w:p>
    <w:p w:rsidR="006B0BAE" w:rsidRPr="0066433F" w:rsidRDefault="00AB31EF" w:rsidP="00FC55B9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sz w:val="24"/>
          <w:szCs w:val="24"/>
          <w:rtl/>
        </w:rPr>
        <w:t>ב</w:t>
      </w:r>
      <w:r w:rsidR="00FC55B9" w:rsidRPr="0066433F">
        <w:rPr>
          <w:rFonts w:ascii="David" w:hAnsi="David" w:cs="David"/>
          <w:sz w:val="24"/>
          <w:szCs w:val="24"/>
          <w:rtl/>
        </w:rPr>
        <w:t xml:space="preserve">חודש מרץ </w:t>
      </w:r>
      <w:r w:rsidR="00C1276C" w:rsidRPr="0066433F">
        <w:rPr>
          <w:rFonts w:ascii="David" w:hAnsi="David" w:cs="David"/>
          <w:sz w:val="24"/>
          <w:szCs w:val="24"/>
          <w:rtl/>
        </w:rPr>
        <w:t>2020</w:t>
      </w:r>
      <w:r w:rsidRPr="0066433F">
        <w:rPr>
          <w:rFonts w:ascii="David" w:hAnsi="David" w:cs="David"/>
          <w:sz w:val="24"/>
          <w:szCs w:val="24"/>
          <w:rtl/>
        </w:rPr>
        <w:t xml:space="preserve"> </w:t>
      </w:r>
      <w:r w:rsidR="00FC55B9" w:rsidRPr="0066433F">
        <w:rPr>
          <w:rFonts w:ascii="David" w:hAnsi="David" w:cs="David"/>
          <w:sz w:val="24"/>
          <w:szCs w:val="24"/>
          <w:rtl/>
        </w:rPr>
        <w:t>נרשמה עלייה משמעותית, עונתית בחלקה, ב</w:t>
      </w:r>
      <w:r w:rsidR="00045838" w:rsidRPr="0066433F">
        <w:rPr>
          <w:rFonts w:ascii="David" w:hAnsi="David" w:cs="David"/>
          <w:sz w:val="24"/>
          <w:szCs w:val="24"/>
          <w:rtl/>
        </w:rPr>
        <w:t>נטילת</w:t>
      </w:r>
      <w:r w:rsidR="003138AF" w:rsidRPr="0066433F">
        <w:rPr>
          <w:rFonts w:ascii="David" w:hAnsi="David" w:cs="David"/>
          <w:sz w:val="24"/>
          <w:szCs w:val="24"/>
          <w:rtl/>
        </w:rPr>
        <w:t xml:space="preserve"> משכנתאות</w:t>
      </w:r>
      <w:r w:rsidR="00D46A28" w:rsidRPr="0066433F">
        <w:rPr>
          <w:rFonts w:ascii="David" w:hAnsi="David" w:cs="David"/>
          <w:sz w:val="24"/>
          <w:szCs w:val="24"/>
          <w:rtl/>
        </w:rPr>
        <w:t xml:space="preserve"> חדשות</w:t>
      </w:r>
      <w:r w:rsidR="003138AF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FC55B9" w:rsidRPr="0066433F">
        <w:rPr>
          <w:rFonts w:ascii="David" w:hAnsi="David" w:cs="David"/>
          <w:sz w:val="24"/>
          <w:szCs w:val="24"/>
          <w:rtl/>
        </w:rPr>
        <w:t>והן הסתכמו בכ-8.7</w:t>
      </w:r>
      <w:r w:rsidR="00045838" w:rsidRPr="0066433F">
        <w:rPr>
          <w:rFonts w:ascii="David" w:hAnsi="David" w:cs="David"/>
          <w:sz w:val="24"/>
          <w:szCs w:val="24"/>
          <w:rtl/>
        </w:rPr>
        <w:t xml:space="preserve"> מיליארדי </w:t>
      </w:r>
      <w:r w:rsidR="003A5570" w:rsidRPr="0066433F">
        <w:rPr>
          <w:rFonts w:ascii="David" w:hAnsi="David" w:cs="David"/>
          <w:sz w:val="24"/>
          <w:szCs w:val="24"/>
          <w:rtl/>
        </w:rPr>
        <w:t>ש"ח,</w:t>
      </w:r>
      <w:r w:rsidR="00045838" w:rsidRPr="0066433F">
        <w:rPr>
          <w:rFonts w:ascii="David" w:hAnsi="David" w:cs="David"/>
          <w:sz w:val="24"/>
          <w:szCs w:val="24"/>
          <w:rtl/>
        </w:rPr>
        <w:t xml:space="preserve"> גבוה</w:t>
      </w:r>
      <w:r w:rsidRPr="0066433F">
        <w:rPr>
          <w:rFonts w:ascii="David" w:hAnsi="David" w:cs="David"/>
          <w:sz w:val="24"/>
          <w:szCs w:val="24"/>
          <w:rtl/>
        </w:rPr>
        <w:t xml:space="preserve"> </w:t>
      </w:r>
      <w:r w:rsidR="00C1276C" w:rsidRPr="0066433F">
        <w:rPr>
          <w:rFonts w:ascii="David" w:hAnsi="David" w:cs="David"/>
          <w:sz w:val="24"/>
          <w:szCs w:val="24"/>
          <w:rtl/>
        </w:rPr>
        <w:t xml:space="preserve">משמעותית </w:t>
      </w:r>
      <w:r w:rsidR="00CF24FB" w:rsidRPr="0066433F">
        <w:rPr>
          <w:rFonts w:ascii="David" w:hAnsi="David" w:cs="David"/>
          <w:sz w:val="24"/>
          <w:szCs w:val="24"/>
          <w:rtl/>
        </w:rPr>
        <w:t>מ</w:t>
      </w:r>
      <w:r w:rsidR="00FC55B9" w:rsidRPr="0066433F">
        <w:rPr>
          <w:rFonts w:ascii="David" w:hAnsi="David" w:cs="David"/>
          <w:sz w:val="24"/>
          <w:szCs w:val="24"/>
          <w:rtl/>
        </w:rPr>
        <w:t xml:space="preserve">החודש </w:t>
      </w:r>
      <w:r w:rsidRPr="0066433F">
        <w:rPr>
          <w:rFonts w:ascii="David" w:hAnsi="David" w:cs="David"/>
          <w:sz w:val="24"/>
          <w:szCs w:val="24"/>
          <w:rtl/>
        </w:rPr>
        <w:t>המקביל אשתקד</w:t>
      </w:r>
      <w:r w:rsidR="00CF24FB" w:rsidRPr="0066433F">
        <w:rPr>
          <w:rFonts w:ascii="David" w:hAnsi="David" w:cs="David"/>
          <w:sz w:val="24"/>
          <w:szCs w:val="24"/>
          <w:rtl/>
        </w:rPr>
        <w:t xml:space="preserve"> (</w:t>
      </w:r>
      <w:r w:rsidR="00CC2676" w:rsidRPr="0066433F">
        <w:rPr>
          <w:rFonts w:ascii="David" w:hAnsi="David" w:cs="David"/>
          <w:sz w:val="24"/>
          <w:szCs w:val="24"/>
          <w:rtl/>
        </w:rPr>
        <w:t>כ-</w:t>
      </w:r>
      <w:r w:rsidR="00FC55B9" w:rsidRPr="0066433F">
        <w:rPr>
          <w:rFonts w:ascii="David" w:hAnsi="David" w:cs="David"/>
          <w:sz w:val="24"/>
          <w:szCs w:val="24"/>
          <w:rtl/>
        </w:rPr>
        <w:t>5.3</w:t>
      </w:r>
      <w:r w:rsidR="00221420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CF24FB" w:rsidRPr="0066433F">
        <w:rPr>
          <w:rFonts w:ascii="David" w:hAnsi="David" w:cs="David"/>
          <w:sz w:val="24"/>
          <w:szCs w:val="24"/>
          <w:rtl/>
        </w:rPr>
        <w:t>מיליארדים)</w:t>
      </w:r>
      <w:r w:rsidR="000E45F2" w:rsidRPr="0066433F">
        <w:rPr>
          <w:rFonts w:ascii="David" w:hAnsi="David" w:cs="David"/>
          <w:sz w:val="24"/>
          <w:szCs w:val="24"/>
          <w:rtl/>
        </w:rPr>
        <w:t xml:space="preserve">. </w:t>
      </w:r>
      <w:r w:rsidR="00C1276C" w:rsidRPr="0066433F">
        <w:rPr>
          <w:rFonts w:ascii="David" w:hAnsi="David" w:cs="David"/>
          <w:sz w:val="24"/>
          <w:szCs w:val="24"/>
          <w:rtl/>
        </w:rPr>
        <w:t xml:space="preserve">באפריל 2020 </w:t>
      </w:r>
      <w:r w:rsidR="00CB07FA" w:rsidRPr="0066433F">
        <w:rPr>
          <w:rFonts w:ascii="David" w:hAnsi="David" w:cs="David"/>
          <w:sz w:val="24"/>
          <w:szCs w:val="24"/>
          <w:rtl/>
        </w:rPr>
        <w:t xml:space="preserve">נטילת משכנתאות חדשות </w:t>
      </w:r>
      <w:r w:rsidR="002E2CC4" w:rsidRPr="0066433F">
        <w:rPr>
          <w:rFonts w:ascii="David" w:hAnsi="David" w:cs="David"/>
          <w:sz w:val="24"/>
          <w:szCs w:val="24"/>
          <w:rtl/>
        </w:rPr>
        <w:t>הסתכמ</w:t>
      </w:r>
      <w:r w:rsidR="00C1276C" w:rsidRPr="0066433F">
        <w:rPr>
          <w:rFonts w:ascii="David" w:hAnsi="David" w:cs="David"/>
          <w:sz w:val="24"/>
          <w:szCs w:val="24"/>
          <w:rtl/>
        </w:rPr>
        <w:t xml:space="preserve">ה </w:t>
      </w:r>
      <w:r w:rsidR="00CB07FA" w:rsidRPr="0066433F">
        <w:rPr>
          <w:rFonts w:ascii="David" w:hAnsi="David" w:cs="David"/>
          <w:sz w:val="24"/>
          <w:szCs w:val="24"/>
          <w:rtl/>
        </w:rPr>
        <w:t>בכ-</w:t>
      </w:r>
      <w:r w:rsidR="00C1276C" w:rsidRPr="0066433F">
        <w:rPr>
          <w:rFonts w:ascii="David" w:hAnsi="David" w:cs="David"/>
          <w:sz w:val="24"/>
          <w:szCs w:val="24"/>
          <w:rtl/>
        </w:rPr>
        <w:t>5</w:t>
      </w:r>
      <w:r w:rsidR="00CB07FA" w:rsidRPr="0066433F">
        <w:rPr>
          <w:rFonts w:ascii="David" w:hAnsi="David" w:cs="David"/>
          <w:sz w:val="24"/>
          <w:szCs w:val="24"/>
          <w:rtl/>
        </w:rPr>
        <w:t xml:space="preserve"> מיליארדי ש"ח</w:t>
      </w:r>
      <w:r w:rsidR="00C1276C" w:rsidRPr="0066433F">
        <w:rPr>
          <w:rFonts w:ascii="David" w:hAnsi="David" w:cs="David"/>
          <w:sz w:val="24"/>
          <w:szCs w:val="24"/>
          <w:rtl/>
        </w:rPr>
        <w:t>, בדומה לחודש המקביל אשתקד</w:t>
      </w:r>
      <w:r w:rsidR="002E2CC4" w:rsidRPr="0066433F">
        <w:rPr>
          <w:rFonts w:ascii="David" w:hAnsi="David" w:cs="David"/>
          <w:sz w:val="24"/>
          <w:szCs w:val="24"/>
          <w:rtl/>
        </w:rPr>
        <w:t>.</w:t>
      </w:r>
      <w:r w:rsidR="007C30EE" w:rsidRPr="0066433F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66433F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66433F">
        <w:rPr>
          <w:rFonts w:ascii="David" w:hAnsi="David" w:cs="David"/>
          <w:sz w:val="24"/>
          <w:szCs w:val="24"/>
          <w:rtl/>
        </w:rPr>
        <w:t>6</w:t>
      </w:r>
      <w:r w:rsidR="00060D8E" w:rsidRPr="0066433F">
        <w:rPr>
          <w:rFonts w:ascii="David" w:hAnsi="David" w:cs="David"/>
          <w:sz w:val="24"/>
          <w:szCs w:val="24"/>
          <w:rtl/>
        </w:rPr>
        <w:t>)</w:t>
      </w:r>
      <w:r w:rsidR="00161CB7" w:rsidRPr="0066433F">
        <w:rPr>
          <w:rFonts w:ascii="David" w:hAnsi="David" w:cs="David"/>
          <w:sz w:val="24"/>
          <w:szCs w:val="24"/>
          <w:rtl/>
        </w:rPr>
        <w:t>.</w:t>
      </w:r>
    </w:p>
    <w:p w:rsidR="007B3BC5" w:rsidRPr="0066433F" w:rsidRDefault="007B3BC5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E149DD" w:rsidRPr="0066433F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לוח </w:t>
      </w:r>
      <w:r w:rsidR="00416818" w:rsidRPr="0066433F">
        <w:rPr>
          <w:rFonts w:ascii="David" w:hAnsi="David" w:cs="David"/>
          <w:b/>
          <w:bCs/>
          <w:sz w:val="24"/>
          <w:szCs w:val="24"/>
        </w:rPr>
        <w:t>2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66433F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66433F">
        <w:rPr>
          <w:rFonts w:ascii="David" w:hAnsi="David" w:cs="David"/>
          <w:sz w:val="24"/>
          <w:szCs w:val="24"/>
        </w:rPr>
        <w:t xml:space="preserve"> </w:t>
      </w:r>
    </w:p>
    <w:p w:rsidR="006D3752" w:rsidRPr="0066433F" w:rsidRDefault="003C3E4A" w:rsidP="00E149DD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4685400"/>
            <wp:effectExtent l="0" t="0" r="0" b="1270"/>
            <wp:docPr id="11" name="תמונה 11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6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66433F" w:rsidRDefault="00D46A28" w:rsidP="00DC51E3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6A28" w:rsidRPr="0066433F" w:rsidRDefault="00D46A28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66433F" w:rsidRDefault="00941A49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66433F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66433F" w:rsidRDefault="00D251F2" w:rsidP="00E149DD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D47FBF" w:rsidRPr="0066433F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66433F">
        <w:rPr>
          <w:rFonts w:ascii="David" w:hAnsi="David" w:cs="David"/>
          <w:b/>
          <w:bCs/>
          <w:sz w:val="24"/>
          <w:szCs w:val="24"/>
        </w:rPr>
        <w:t>5</w:t>
      </w:r>
      <w:r w:rsidR="00DC51E3" w:rsidRPr="0066433F">
        <w:rPr>
          <w:rFonts w:ascii="David" w:hAnsi="David" w:cs="David"/>
          <w:b/>
          <w:bCs/>
          <w:sz w:val="24"/>
          <w:szCs w:val="24"/>
          <w:rtl/>
        </w:rPr>
        <w:t>: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66433F" w:rsidRDefault="006D3752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66433F" w:rsidRDefault="003C3E4A" w:rsidP="00B33FA0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2848749"/>
            <wp:effectExtent l="0" t="0" r="0" b="8890"/>
            <wp:docPr id="12" name="תמונה 12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4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1" w:rsidRPr="0066433F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80F81" w:rsidRPr="0066433F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DA4977" w:rsidRPr="0066433F">
        <w:rPr>
          <w:rFonts w:ascii="David" w:hAnsi="David" w:cs="David"/>
          <w:b/>
          <w:bCs/>
          <w:sz w:val="24"/>
          <w:szCs w:val="24"/>
          <w:rtl/>
        </w:rPr>
        <w:t>6</w:t>
      </w:r>
      <w:r w:rsidRPr="0066433F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66433F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66433F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66433F" w:rsidRDefault="00005C41" w:rsidP="00005C4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24EF2" w:rsidRPr="0066433F" w:rsidRDefault="00D84C05" w:rsidP="00280F81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2830934"/>
            <wp:effectExtent l="0" t="0" r="0" b="7620"/>
            <wp:docPr id="13" name="תמונה 13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3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D41" w:rsidRPr="0066433F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66433F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6" w:history="1">
        <w:r w:rsidRPr="0066433F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66433F">
        <w:rPr>
          <w:rFonts w:ascii="David" w:hAnsi="David" w:cs="David"/>
          <w:sz w:val="24"/>
          <w:szCs w:val="24"/>
          <w:rtl/>
        </w:rPr>
        <w:t xml:space="preserve">, קישור </w:t>
      </w:r>
      <w:hyperlink r:id="rId17" w:history="1">
        <w:r w:rsidRPr="0066433F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66433F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8" w:history="1">
        <w:r w:rsidR="00F97D41" w:rsidRPr="0066433F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66433F">
        <w:rPr>
          <w:rFonts w:ascii="David" w:hAnsi="David" w:cs="David"/>
          <w:sz w:val="24"/>
          <w:szCs w:val="24"/>
          <w:rtl/>
        </w:rPr>
        <w:t>.</w:t>
      </w:r>
      <w:r w:rsidR="002559B7" w:rsidRPr="0066433F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66433F" w:rsidSect="007A3CCD"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4D" w:rsidRDefault="0062134D" w:rsidP="00C04A6B">
      <w:r>
        <w:separator/>
      </w:r>
    </w:p>
  </w:endnote>
  <w:endnote w:type="continuationSeparator" w:id="0">
    <w:p w:rsidR="0062134D" w:rsidRDefault="0062134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4D" w:rsidRDefault="0062134D" w:rsidP="00C04A6B">
      <w:r>
        <w:separator/>
      </w:r>
    </w:p>
  </w:footnote>
  <w:footnote w:type="continuationSeparator" w:id="0">
    <w:p w:rsidR="0062134D" w:rsidRDefault="0062134D" w:rsidP="00C04A6B">
      <w:r>
        <w:continuationSeparator/>
      </w:r>
    </w:p>
  </w:footnote>
  <w:footnote w:id="1">
    <w:p w:rsidR="00474B96" w:rsidRPr="00474B96" w:rsidRDefault="00474B96" w:rsidP="00474B96">
      <w:pPr>
        <w:pStyle w:val="af"/>
        <w:bidi/>
        <w:rPr>
          <w:rFonts w:asciiTheme="minorBidi" w:hAnsiTheme="minorBidi" w:cstheme="minorBidi" w:hint="cs"/>
          <w:rtl/>
        </w:rPr>
      </w:pPr>
      <w:r w:rsidRPr="00474B96">
        <w:rPr>
          <w:rStyle w:val="af1"/>
          <w:rFonts w:asciiTheme="minorBidi" w:hAnsiTheme="minorBidi" w:cstheme="minorBidi"/>
        </w:rPr>
        <w:footnoteRef/>
      </w:r>
      <w:r w:rsidRPr="00474B96">
        <w:rPr>
          <w:rFonts w:asciiTheme="minorBidi" w:hAnsiTheme="minorBidi" w:cstheme="minorBidi"/>
        </w:rPr>
        <w:t xml:space="preserve"> </w:t>
      </w:r>
      <w:r w:rsidR="00DC263E">
        <w:rPr>
          <w:rFonts w:asciiTheme="minorBidi" w:hAnsiTheme="minorBidi" w:cstheme="minorBidi" w:hint="cs"/>
          <w:rtl/>
        </w:rPr>
        <w:t xml:space="preserve">חברות עסקיות ישראליות, </w:t>
      </w:r>
      <w:r w:rsidRPr="00474B96">
        <w:rPr>
          <w:rFonts w:asciiTheme="minorBidi" w:hAnsiTheme="minorBidi" w:cstheme="minorBidi"/>
          <w:rtl/>
        </w:rPr>
        <w:t>ללא בנקים, חברות כרטיסי אשראי וחברות ביטוח</w:t>
      </w:r>
      <w:r>
        <w:rPr>
          <w:rFonts w:asciiTheme="minorBidi" w:hAnsiTheme="minorBidi" w:cstheme="minorBidi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5682"/>
    <w:rsid w:val="00005C41"/>
    <w:rsid w:val="00011D14"/>
    <w:rsid w:val="00012EA8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490E"/>
    <w:rsid w:val="00045838"/>
    <w:rsid w:val="000471CF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0391"/>
    <w:rsid w:val="000713E4"/>
    <w:rsid w:val="00075FC4"/>
    <w:rsid w:val="0007712F"/>
    <w:rsid w:val="000812AB"/>
    <w:rsid w:val="00081313"/>
    <w:rsid w:val="000822C2"/>
    <w:rsid w:val="00085BE0"/>
    <w:rsid w:val="000874C1"/>
    <w:rsid w:val="000911D7"/>
    <w:rsid w:val="000915A6"/>
    <w:rsid w:val="0009315D"/>
    <w:rsid w:val="00097E8B"/>
    <w:rsid w:val="000A4C37"/>
    <w:rsid w:val="000A588A"/>
    <w:rsid w:val="000B083E"/>
    <w:rsid w:val="000B190F"/>
    <w:rsid w:val="000B2F20"/>
    <w:rsid w:val="000B6B82"/>
    <w:rsid w:val="000B7AE3"/>
    <w:rsid w:val="000B7D5E"/>
    <w:rsid w:val="000C02AD"/>
    <w:rsid w:val="000C62F4"/>
    <w:rsid w:val="000D1F8A"/>
    <w:rsid w:val="000D2923"/>
    <w:rsid w:val="000D756E"/>
    <w:rsid w:val="000E3992"/>
    <w:rsid w:val="000E3B3B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B59"/>
    <w:rsid w:val="0010731B"/>
    <w:rsid w:val="00107D10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43AD"/>
    <w:rsid w:val="00161CB7"/>
    <w:rsid w:val="00162787"/>
    <w:rsid w:val="00164C8D"/>
    <w:rsid w:val="00166C6B"/>
    <w:rsid w:val="0017002C"/>
    <w:rsid w:val="00177686"/>
    <w:rsid w:val="00180E8A"/>
    <w:rsid w:val="00182968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449D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E7722"/>
    <w:rsid w:val="001E78A9"/>
    <w:rsid w:val="001E7B40"/>
    <w:rsid w:val="001F1E1B"/>
    <w:rsid w:val="001F436F"/>
    <w:rsid w:val="001F50C9"/>
    <w:rsid w:val="001F529C"/>
    <w:rsid w:val="00201B88"/>
    <w:rsid w:val="00207836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3083"/>
    <w:rsid w:val="00264230"/>
    <w:rsid w:val="00265361"/>
    <w:rsid w:val="00266DC3"/>
    <w:rsid w:val="0027192B"/>
    <w:rsid w:val="00274A6A"/>
    <w:rsid w:val="002777F9"/>
    <w:rsid w:val="00280F81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A2E"/>
    <w:rsid w:val="002972B4"/>
    <w:rsid w:val="0029790E"/>
    <w:rsid w:val="002A0469"/>
    <w:rsid w:val="002A2B7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394"/>
    <w:rsid w:val="002D0FD7"/>
    <w:rsid w:val="002D1779"/>
    <w:rsid w:val="002D3C1F"/>
    <w:rsid w:val="002D565A"/>
    <w:rsid w:val="002E016D"/>
    <w:rsid w:val="002E20F7"/>
    <w:rsid w:val="002E2CC4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5DCB"/>
    <w:rsid w:val="00317948"/>
    <w:rsid w:val="00320FD1"/>
    <w:rsid w:val="0032217A"/>
    <w:rsid w:val="00322FC0"/>
    <w:rsid w:val="00323164"/>
    <w:rsid w:val="003240D3"/>
    <w:rsid w:val="00324EF2"/>
    <w:rsid w:val="0033214F"/>
    <w:rsid w:val="0033261D"/>
    <w:rsid w:val="00333F8E"/>
    <w:rsid w:val="00340B38"/>
    <w:rsid w:val="0034285A"/>
    <w:rsid w:val="003439F5"/>
    <w:rsid w:val="0035070F"/>
    <w:rsid w:val="003509EF"/>
    <w:rsid w:val="00351EF0"/>
    <w:rsid w:val="00352E42"/>
    <w:rsid w:val="003537B9"/>
    <w:rsid w:val="003576B2"/>
    <w:rsid w:val="00357818"/>
    <w:rsid w:val="00362DEB"/>
    <w:rsid w:val="00363D6A"/>
    <w:rsid w:val="003641D5"/>
    <w:rsid w:val="003645A9"/>
    <w:rsid w:val="00364AB7"/>
    <w:rsid w:val="003657E7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5C57"/>
    <w:rsid w:val="003A0C66"/>
    <w:rsid w:val="003A0F9B"/>
    <w:rsid w:val="003A242C"/>
    <w:rsid w:val="003A2FA9"/>
    <w:rsid w:val="003A315C"/>
    <w:rsid w:val="003A43C0"/>
    <w:rsid w:val="003A48D2"/>
    <w:rsid w:val="003A490D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ADF"/>
    <w:rsid w:val="003C3E4A"/>
    <w:rsid w:val="003C751F"/>
    <w:rsid w:val="003D04A2"/>
    <w:rsid w:val="003D06D2"/>
    <w:rsid w:val="003D1B87"/>
    <w:rsid w:val="003D54D0"/>
    <w:rsid w:val="003E05CD"/>
    <w:rsid w:val="003E2965"/>
    <w:rsid w:val="003E3AEF"/>
    <w:rsid w:val="003E4002"/>
    <w:rsid w:val="003E68CF"/>
    <w:rsid w:val="003F12AD"/>
    <w:rsid w:val="003F1CD9"/>
    <w:rsid w:val="003F240A"/>
    <w:rsid w:val="003F39B8"/>
    <w:rsid w:val="003F4002"/>
    <w:rsid w:val="003F454D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20F93"/>
    <w:rsid w:val="00424BF3"/>
    <w:rsid w:val="00426001"/>
    <w:rsid w:val="004268D2"/>
    <w:rsid w:val="00426A9C"/>
    <w:rsid w:val="0043226F"/>
    <w:rsid w:val="0044713E"/>
    <w:rsid w:val="004474C7"/>
    <w:rsid w:val="0045197C"/>
    <w:rsid w:val="00453DD1"/>
    <w:rsid w:val="0045413E"/>
    <w:rsid w:val="004606C0"/>
    <w:rsid w:val="00460712"/>
    <w:rsid w:val="004625EB"/>
    <w:rsid w:val="0046354A"/>
    <w:rsid w:val="00463AE6"/>
    <w:rsid w:val="00464A9A"/>
    <w:rsid w:val="00466F96"/>
    <w:rsid w:val="00470630"/>
    <w:rsid w:val="00470996"/>
    <w:rsid w:val="004717A3"/>
    <w:rsid w:val="00472EDE"/>
    <w:rsid w:val="00474B96"/>
    <w:rsid w:val="004806BA"/>
    <w:rsid w:val="00480FFC"/>
    <w:rsid w:val="00482D0E"/>
    <w:rsid w:val="00484208"/>
    <w:rsid w:val="00493882"/>
    <w:rsid w:val="00497BD0"/>
    <w:rsid w:val="004A56B9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63EE"/>
    <w:rsid w:val="004D746B"/>
    <w:rsid w:val="004D763E"/>
    <w:rsid w:val="004D79EB"/>
    <w:rsid w:val="004E2566"/>
    <w:rsid w:val="004F06E0"/>
    <w:rsid w:val="004F16EA"/>
    <w:rsid w:val="004F1EB9"/>
    <w:rsid w:val="004F3279"/>
    <w:rsid w:val="004F3600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983"/>
    <w:rsid w:val="00525A49"/>
    <w:rsid w:val="00525B9D"/>
    <w:rsid w:val="00526641"/>
    <w:rsid w:val="00532713"/>
    <w:rsid w:val="00534C99"/>
    <w:rsid w:val="0054311D"/>
    <w:rsid w:val="0054323B"/>
    <w:rsid w:val="0054512E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16B4"/>
    <w:rsid w:val="00584275"/>
    <w:rsid w:val="0058468A"/>
    <w:rsid w:val="00585612"/>
    <w:rsid w:val="005861E2"/>
    <w:rsid w:val="005913CE"/>
    <w:rsid w:val="005921D5"/>
    <w:rsid w:val="005951B2"/>
    <w:rsid w:val="005958D0"/>
    <w:rsid w:val="00596389"/>
    <w:rsid w:val="005972B0"/>
    <w:rsid w:val="005A199D"/>
    <w:rsid w:val="005A3573"/>
    <w:rsid w:val="005A4B9C"/>
    <w:rsid w:val="005A5B31"/>
    <w:rsid w:val="005A6536"/>
    <w:rsid w:val="005A7029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34D"/>
    <w:rsid w:val="006219DA"/>
    <w:rsid w:val="0062395F"/>
    <w:rsid w:val="00624066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53AB"/>
    <w:rsid w:val="0064551B"/>
    <w:rsid w:val="00645D90"/>
    <w:rsid w:val="00650A9D"/>
    <w:rsid w:val="00652294"/>
    <w:rsid w:val="00656E22"/>
    <w:rsid w:val="00662EE0"/>
    <w:rsid w:val="0066433F"/>
    <w:rsid w:val="00664600"/>
    <w:rsid w:val="00664A0B"/>
    <w:rsid w:val="00665A1C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2887"/>
    <w:rsid w:val="006B2FAC"/>
    <w:rsid w:val="006B58A2"/>
    <w:rsid w:val="006B624E"/>
    <w:rsid w:val="006B6ACF"/>
    <w:rsid w:val="006B6CFA"/>
    <w:rsid w:val="006C01FB"/>
    <w:rsid w:val="006C165A"/>
    <w:rsid w:val="006C27C7"/>
    <w:rsid w:val="006D0C16"/>
    <w:rsid w:val="006D3752"/>
    <w:rsid w:val="006D526D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466B"/>
    <w:rsid w:val="0071581F"/>
    <w:rsid w:val="00715C51"/>
    <w:rsid w:val="0071617D"/>
    <w:rsid w:val="00716EF2"/>
    <w:rsid w:val="00720923"/>
    <w:rsid w:val="00725208"/>
    <w:rsid w:val="00725739"/>
    <w:rsid w:val="00727054"/>
    <w:rsid w:val="00737106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D0D18"/>
    <w:rsid w:val="007D0EF4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6DF9"/>
    <w:rsid w:val="00807054"/>
    <w:rsid w:val="00811358"/>
    <w:rsid w:val="008121D7"/>
    <w:rsid w:val="00814206"/>
    <w:rsid w:val="008158A5"/>
    <w:rsid w:val="008215C3"/>
    <w:rsid w:val="00825878"/>
    <w:rsid w:val="008259B7"/>
    <w:rsid w:val="00825D9B"/>
    <w:rsid w:val="00825F21"/>
    <w:rsid w:val="00826337"/>
    <w:rsid w:val="00826810"/>
    <w:rsid w:val="00835FC5"/>
    <w:rsid w:val="00843E29"/>
    <w:rsid w:val="008478AE"/>
    <w:rsid w:val="00847B21"/>
    <w:rsid w:val="0085187D"/>
    <w:rsid w:val="00851A1F"/>
    <w:rsid w:val="00852D44"/>
    <w:rsid w:val="00860503"/>
    <w:rsid w:val="008608B4"/>
    <w:rsid w:val="0086154C"/>
    <w:rsid w:val="0086330B"/>
    <w:rsid w:val="00864546"/>
    <w:rsid w:val="0086574C"/>
    <w:rsid w:val="00872529"/>
    <w:rsid w:val="00872B8B"/>
    <w:rsid w:val="008737F5"/>
    <w:rsid w:val="0087446B"/>
    <w:rsid w:val="00877900"/>
    <w:rsid w:val="00877EDF"/>
    <w:rsid w:val="00880799"/>
    <w:rsid w:val="00880DF0"/>
    <w:rsid w:val="00881187"/>
    <w:rsid w:val="00881EF7"/>
    <w:rsid w:val="00882BAF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C6E36"/>
    <w:rsid w:val="008D098C"/>
    <w:rsid w:val="008D2EA6"/>
    <w:rsid w:val="008D5AD7"/>
    <w:rsid w:val="008D68DB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5424"/>
    <w:rsid w:val="00915CE8"/>
    <w:rsid w:val="00916B4B"/>
    <w:rsid w:val="00917C1C"/>
    <w:rsid w:val="0092021B"/>
    <w:rsid w:val="00922F51"/>
    <w:rsid w:val="00923125"/>
    <w:rsid w:val="009231C3"/>
    <w:rsid w:val="00925F5D"/>
    <w:rsid w:val="009303F4"/>
    <w:rsid w:val="00930697"/>
    <w:rsid w:val="009311DE"/>
    <w:rsid w:val="00933604"/>
    <w:rsid w:val="00941A49"/>
    <w:rsid w:val="00943887"/>
    <w:rsid w:val="00943CA7"/>
    <w:rsid w:val="009444D9"/>
    <w:rsid w:val="009467BA"/>
    <w:rsid w:val="009468C4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6717"/>
    <w:rsid w:val="009974D0"/>
    <w:rsid w:val="009A2755"/>
    <w:rsid w:val="009A3808"/>
    <w:rsid w:val="009A54F7"/>
    <w:rsid w:val="009A6580"/>
    <w:rsid w:val="009A7195"/>
    <w:rsid w:val="009A773E"/>
    <w:rsid w:val="009B0128"/>
    <w:rsid w:val="009B16C6"/>
    <w:rsid w:val="009B2722"/>
    <w:rsid w:val="009B27C2"/>
    <w:rsid w:val="009B4172"/>
    <w:rsid w:val="009B5DCF"/>
    <w:rsid w:val="009B7097"/>
    <w:rsid w:val="009C0650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1809"/>
    <w:rsid w:val="00A17283"/>
    <w:rsid w:val="00A20385"/>
    <w:rsid w:val="00A23183"/>
    <w:rsid w:val="00A2499F"/>
    <w:rsid w:val="00A24CC8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4B3D"/>
    <w:rsid w:val="00A85E92"/>
    <w:rsid w:val="00A878A6"/>
    <w:rsid w:val="00A933C6"/>
    <w:rsid w:val="00A93FF4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49ED"/>
    <w:rsid w:val="00B055B5"/>
    <w:rsid w:val="00B058F3"/>
    <w:rsid w:val="00B072ED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BFF"/>
    <w:rsid w:val="00BA5E1F"/>
    <w:rsid w:val="00BB15EB"/>
    <w:rsid w:val="00BB1F1B"/>
    <w:rsid w:val="00BB23C1"/>
    <w:rsid w:val="00BB4550"/>
    <w:rsid w:val="00BB4F5C"/>
    <w:rsid w:val="00BB7F49"/>
    <w:rsid w:val="00BC578A"/>
    <w:rsid w:val="00BD1037"/>
    <w:rsid w:val="00BD3A1C"/>
    <w:rsid w:val="00BD4578"/>
    <w:rsid w:val="00BD55EC"/>
    <w:rsid w:val="00BD69F9"/>
    <w:rsid w:val="00BD7804"/>
    <w:rsid w:val="00BE0F06"/>
    <w:rsid w:val="00BE235C"/>
    <w:rsid w:val="00BE3716"/>
    <w:rsid w:val="00BE49A2"/>
    <w:rsid w:val="00BE6F10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057"/>
    <w:rsid w:val="00C10811"/>
    <w:rsid w:val="00C1139C"/>
    <w:rsid w:val="00C1276C"/>
    <w:rsid w:val="00C21539"/>
    <w:rsid w:val="00C22C1E"/>
    <w:rsid w:val="00C22E09"/>
    <w:rsid w:val="00C259B6"/>
    <w:rsid w:val="00C25C1C"/>
    <w:rsid w:val="00C3219B"/>
    <w:rsid w:val="00C402A8"/>
    <w:rsid w:val="00C411E7"/>
    <w:rsid w:val="00C4129A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1CD5"/>
    <w:rsid w:val="00C63A60"/>
    <w:rsid w:val="00C656C3"/>
    <w:rsid w:val="00C7000A"/>
    <w:rsid w:val="00C71943"/>
    <w:rsid w:val="00C725A9"/>
    <w:rsid w:val="00C72743"/>
    <w:rsid w:val="00C73E91"/>
    <w:rsid w:val="00C75098"/>
    <w:rsid w:val="00C843C1"/>
    <w:rsid w:val="00C84B20"/>
    <w:rsid w:val="00C87F91"/>
    <w:rsid w:val="00C9110B"/>
    <w:rsid w:val="00C9322A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187C"/>
    <w:rsid w:val="00CB1B2B"/>
    <w:rsid w:val="00CB39D9"/>
    <w:rsid w:val="00CB450C"/>
    <w:rsid w:val="00CC1A24"/>
    <w:rsid w:val="00CC2676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4887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0F39"/>
    <w:rsid w:val="00D446DF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748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5186"/>
    <w:rsid w:val="00D960E3"/>
    <w:rsid w:val="00DA01D8"/>
    <w:rsid w:val="00DA070E"/>
    <w:rsid w:val="00DA2C0B"/>
    <w:rsid w:val="00DA3BD9"/>
    <w:rsid w:val="00DA3CE5"/>
    <w:rsid w:val="00DA4279"/>
    <w:rsid w:val="00DA4977"/>
    <w:rsid w:val="00DA5162"/>
    <w:rsid w:val="00DB2E03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D6427"/>
    <w:rsid w:val="00DD7866"/>
    <w:rsid w:val="00DE3E4A"/>
    <w:rsid w:val="00DE4BB3"/>
    <w:rsid w:val="00DE6ABB"/>
    <w:rsid w:val="00DE75E2"/>
    <w:rsid w:val="00DF19B1"/>
    <w:rsid w:val="00DF3670"/>
    <w:rsid w:val="00DF4120"/>
    <w:rsid w:val="00DF56CB"/>
    <w:rsid w:val="00E01030"/>
    <w:rsid w:val="00E040EA"/>
    <w:rsid w:val="00E10836"/>
    <w:rsid w:val="00E108C6"/>
    <w:rsid w:val="00E11343"/>
    <w:rsid w:val="00E13412"/>
    <w:rsid w:val="00E149DD"/>
    <w:rsid w:val="00E15796"/>
    <w:rsid w:val="00E16719"/>
    <w:rsid w:val="00E20EC3"/>
    <w:rsid w:val="00E23336"/>
    <w:rsid w:val="00E3272D"/>
    <w:rsid w:val="00E335BB"/>
    <w:rsid w:val="00E34121"/>
    <w:rsid w:val="00E34148"/>
    <w:rsid w:val="00E35818"/>
    <w:rsid w:val="00E36930"/>
    <w:rsid w:val="00E4179F"/>
    <w:rsid w:val="00E42B88"/>
    <w:rsid w:val="00E44E3D"/>
    <w:rsid w:val="00E46A8F"/>
    <w:rsid w:val="00E46FD4"/>
    <w:rsid w:val="00E51F1E"/>
    <w:rsid w:val="00E577A9"/>
    <w:rsid w:val="00E6122C"/>
    <w:rsid w:val="00E65ACA"/>
    <w:rsid w:val="00E67ECB"/>
    <w:rsid w:val="00E73497"/>
    <w:rsid w:val="00E7456B"/>
    <w:rsid w:val="00E750DB"/>
    <w:rsid w:val="00E76580"/>
    <w:rsid w:val="00E76607"/>
    <w:rsid w:val="00E80E85"/>
    <w:rsid w:val="00E81FF6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D17CE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35CB"/>
    <w:rsid w:val="00F136A6"/>
    <w:rsid w:val="00F1596F"/>
    <w:rsid w:val="00F17A79"/>
    <w:rsid w:val="00F21AEA"/>
    <w:rsid w:val="00F2699B"/>
    <w:rsid w:val="00F27B14"/>
    <w:rsid w:val="00F35A1F"/>
    <w:rsid w:val="00F35B9D"/>
    <w:rsid w:val="00F36EA0"/>
    <w:rsid w:val="00F40978"/>
    <w:rsid w:val="00F426C3"/>
    <w:rsid w:val="00F42876"/>
    <w:rsid w:val="00F44567"/>
    <w:rsid w:val="00F45101"/>
    <w:rsid w:val="00F452C6"/>
    <w:rsid w:val="00F45C2D"/>
    <w:rsid w:val="00F50C6B"/>
    <w:rsid w:val="00F51A34"/>
    <w:rsid w:val="00F51C6C"/>
    <w:rsid w:val="00F520E2"/>
    <w:rsid w:val="00F5237D"/>
    <w:rsid w:val="00F527AF"/>
    <w:rsid w:val="00F53C31"/>
    <w:rsid w:val="00F5509B"/>
    <w:rsid w:val="00F55D76"/>
    <w:rsid w:val="00F57830"/>
    <w:rsid w:val="00F57D67"/>
    <w:rsid w:val="00F61882"/>
    <w:rsid w:val="00F632C4"/>
    <w:rsid w:val="00F712F6"/>
    <w:rsid w:val="00F718FB"/>
    <w:rsid w:val="00F73B58"/>
    <w:rsid w:val="00F74172"/>
    <w:rsid w:val="00F74693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6355"/>
    <w:rsid w:val="00FA6451"/>
    <w:rsid w:val="00FA7EB2"/>
    <w:rsid w:val="00FB2A8C"/>
    <w:rsid w:val="00FB2BC1"/>
    <w:rsid w:val="00FB3D77"/>
    <w:rsid w:val="00FC0C52"/>
    <w:rsid w:val="00FC1281"/>
    <w:rsid w:val="00FC2095"/>
    <w:rsid w:val="00FC55B9"/>
    <w:rsid w:val="00FC6CF7"/>
    <w:rsid w:val="00FD0096"/>
    <w:rsid w:val="00FD1B37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94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yperlink" Target="http://www.boi.org.il/he/BankingSupervision/Data/Pages/Tables.aspx?ChapterId=6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yperlink" Target="http://www.boi.org.il/he/BankingSupervision/Data/Pages/Tables.aspx?ChapterId=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i.org.il/he/DataAndStatistics/Pages/MainPage.aspx?Level=4&amp;Sid=53&amp;SubjectType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customXml" Target="../customXml/item3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33B6C-D7E1-42C0-954E-5352C0C3BE0E}"/>
</file>

<file path=customXml/itemProps2.xml><?xml version="1.0" encoding="utf-8"?>
<ds:datastoreItem xmlns:ds="http://schemas.openxmlformats.org/officeDocument/2006/customXml" ds:itemID="{A9D23299-150B-473E-A221-28743325574B}"/>
</file>

<file path=customXml/itemProps3.xml><?xml version="1.0" encoding="utf-8"?>
<ds:datastoreItem xmlns:ds="http://schemas.openxmlformats.org/officeDocument/2006/customXml" ds:itemID="{187633D1-1BFC-4698-9F08-D587B2EBD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2941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2020-06-29T07:53:00Z</dcterms:created>
  <dcterms:modified xsi:type="dcterms:W3CDTF">2020-06-29T07:53:00Z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