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631"/>
        <w:bidiVisual/>
        <w:tblW w:w="9072" w:type="dxa"/>
        <w:tblLayout w:type="fixed"/>
        <w:tblLook w:val="0000" w:firstRow="0" w:lastRow="0" w:firstColumn="0" w:lastColumn="0" w:noHBand="0" w:noVBand="0"/>
      </w:tblPr>
      <w:tblGrid>
        <w:gridCol w:w="3392"/>
        <w:gridCol w:w="2596"/>
        <w:gridCol w:w="3084"/>
      </w:tblGrid>
      <w:tr w:rsidR="00CC2499" w:rsidRPr="005655E6" w:rsidTr="00CC2499">
        <w:trPr>
          <w:cantSplit/>
        </w:trPr>
        <w:tc>
          <w:tcPr>
            <w:tcW w:w="3392" w:type="dxa"/>
            <w:tcBorders>
              <w:top w:val="nil"/>
              <w:left w:val="nil"/>
              <w:bottom w:val="nil"/>
              <w:right w:val="nil"/>
            </w:tcBorders>
            <w:vAlign w:val="center"/>
          </w:tcPr>
          <w:p w:rsidR="00CC2499" w:rsidRPr="005655E6" w:rsidRDefault="00CC2499" w:rsidP="00A73D0F">
            <w:pPr>
              <w:rPr>
                <w:rFonts w:cstheme="minorHAnsi"/>
                <w:b/>
                <w:bCs/>
                <w:sz w:val="24"/>
                <w:szCs w:val="24"/>
              </w:rPr>
            </w:pPr>
            <w:r w:rsidRPr="005655E6">
              <w:rPr>
                <w:rFonts w:cstheme="minorHAnsi"/>
                <w:b/>
                <w:bCs/>
                <w:sz w:val="24"/>
                <w:szCs w:val="24"/>
                <w:rtl/>
              </w:rPr>
              <w:t>בנק ישראל</w:t>
            </w:r>
          </w:p>
          <w:p w:rsidR="00CC2499" w:rsidRPr="005655E6" w:rsidRDefault="00CC2499" w:rsidP="00A73D0F">
            <w:pPr>
              <w:ind w:right="-101"/>
              <w:rPr>
                <w:rFonts w:cstheme="minorHAnsi"/>
                <w:sz w:val="24"/>
                <w:szCs w:val="24"/>
              </w:rPr>
            </w:pPr>
            <w:r w:rsidRPr="005655E6">
              <w:rPr>
                <w:rFonts w:cstheme="minorHAnsi"/>
                <w:sz w:val="24"/>
                <w:szCs w:val="24"/>
                <w:rtl/>
              </w:rPr>
              <w:t>דוברות והסברה כלכלית</w:t>
            </w:r>
          </w:p>
        </w:tc>
        <w:tc>
          <w:tcPr>
            <w:tcW w:w="2596" w:type="dxa"/>
            <w:tcBorders>
              <w:top w:val="nil"/>
              <w:left w:val="nil"/>
              <w:bottom w:val="nil"/>
              <w:right w:val="nil"/>
            </w:tcBorders>
          </w:tcPr>
          <w:p w:rsidR="00CC2499" w:rsidRPr="005655E6" w:rsidRDefault="00CC2499" w:rsidP="00A73D0F">
            <w:pPr>
              <w:rPr>
                <w:rFonts w:cstheme="minorHAnsi"/>
                <w:sz w:val="24"/>
                <w:szCs w:val="24"/>
              </w:rPr>
            </w:pPr>
            <w:r w:rsidRPr="005655E6">
              <w:rPr>
                <w:rFonts w:cstheme="minorHAnsi"/>
                <w:noProof/>
                <w:sz w:val="24"/>
                <w:szCs w:val="24"/>
                <w:rtl/>
              </w:rPr>
              <w:drawing>
                <wp:anchor distT="0" distB="0" distL="114300" distR="114300" simplePos="0" relativeHeight="251659264" behindDoc="0" locked="0" layoutInCell="1" allowOverlap="1" wp14:anchorId="7EE8FFD9" wp14:editId="4BAC1441">
                  <wp:simplePos x="0" y="0"/>
                  <wp:positionH relativeFrom="column">
                    <wp:posOffset>338455</wp:posOffset>
                  </wp:positionH>
                  <wp:positionV relativeFrom="paragraph">
                    <wp:posOffset>166370</wp:posOffset>
                  </wp:positionV>
                  <wp:extent cx="1051200" cy="1051200"/>
                  <wp:effectExtent l="0" t="0" r="0" b="0"/>
                  <wp:wrapSquare wrapText="bothSides"/>
                  <wp:docPr id="14" name="תמונה 14"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1200" cy="1051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84" w:type="dxa"/>
            <w:tcBorders>
              <w:top w:val="nil"/>
              <w:left w:val="nil"/>
              <w:bottom w:val="nil"/>
              <w:right w:val="nil"/>
            </w:tcBorders>
            <w:vAlign w:val="center"/>
          </w:tcPr>
          <w:p w:rsidR="00CC2499" w:rsidRPr="005655E6" w:rsidRDefault="00CC2499" w:rsidP="00A73D0F">
            <w:pPr>
              <w:rPr>
                <w:rFonts w:cstheme="minorHAnsi"/>
                <w:sz w:val="24"/>
                <w:szCs w:val="24"/>
              </w:rPr>
            </w:pPr>
            <w:r w:rsidRPr="005655E6">
              <w:rPr>
                <w:rFonts w:cstheme="minorHAnsi"/>
                <w:sz w:val="24"/>
                <w:szCs w:val="24"/>
                <w:rtl/>
              </w:rPr>
              <w:t xml:space="preserve">‏ ירושלים, </w:t>
            </w:r>
            <w:r w:rsidR="00D50BB3" w:rsidRPr="005655E6">
              <w:rPr>
                <w:rFonts w:cstheme="minorHAnsi"/>
                <w:sz w:val="24"/>
                <w:szCs w:val="24"/>
                <w:rtl/>
              </w:rPr>
              <w:t>ח</w:t>
            </w:r>
            <w:r w:rsidR="00DC2B95" w:rsidRPr="005655E6">
              <w:rPr>
                <w:rFonts w:cstheme="minorHAnsi"/>
                <w:sz w:val="24"/>
                <w:szCs w:val="24"/>
                <w:rtl/>
              </w:rPr>
              <w:t>'</w:t>
            </w:r>
            <w:r w:rsidRPr="005655E6">
              <w:rPr>
                <w:rFonts w:cstheme="minorHAnsi"/>
                <w:sz w:val="24"/>
                <w:szCs w:val="24"/>
                <w:rtl/>
              </w:rPr>
              <w:t xml:space="preserve"> </w:t>
            </w:r>
            <w:r w:rsidR="00DC2B95" w:rsidRPr="005655E6">
              <w:rPr>
                <w:rFonts w:cstheme="minorHAnsi"/>
                <w:sz w:val="24"/>
                <w:szCs w:val="24"/>
                <w:rtl/>
              </w:rPr>
              <w:t>באדר ב'</w:t>
            </w:r>
            <w:r w:rsidRPr="005655E6">
              <w:rPr>
                <w:rFonts w:cstheme="minorHAnsi"/>
                <w:sz w:val="24"/>
                <w:szCs w:val="24"/>
                <w:rtl/>
              </w:rPr>
              <w:t>, תשפ"ד</w:t>
            </w:r>
          </w:p>
          <w:p w:rsidR="00CC2499" w:rsidRPr="005655E6" w:rsidRDefault="00CC2499" w:rsidP="00A73D0F">
            <w:pPr>
              <w:rPr>
                <w:rFonts w:cstheme="minorHAnsi"/>
                <w:sz w:val="24"/>
                <w:szCs w:val="24"/>
                <w:highlight w:val="yellow"/>
              </w:rPr>
            </w:pPr>
            <w:r w:rsidRPr="005655E6">
              <w:rPr>
                <w:rFonts w:cstheme="minorHAnsi"/>
                <w:sz w:val="24"/>
                <w:szCs w:val="24"/>
                <w:rtl/>
              </w:rPr>
              <w:t>‏‏‏‏‏‏</w:t>
            </w:r>
            <w:r w:rsidR="00D50BB3" w:rsidRPr="005655E6">
              <w:rPr>
                <w:rFonts w:cstheme="minorHAnsi"/>
                <w:sz w:val="24"/>
                <w:szCs w:val="24"/>
                <w:rtl/>
              </w:rPr>
              <w:t>18</w:t>
            </w:r>
            <w:r w:rsidR="00DC2B95" w:rsidRPr="005655E6">
              <w:rPr>
                <w:rFonts w:cstheme="minorHAnsi"/>
                <w:sz w:val="24"/>
                <w:szCs w:val="24"/>
                <w:rtl/>
              </w:rPr>
              <w:t xml:space="preserve"> במרץ</w:t>
            </w:r>
            <w:r w:rsidRPr="005655E6">
              <w:rPr>
                <w:rFonts w:cstheme="minorHAnsi"/>
                <w:sz w:val="24"/>
                <w:szCs w:val="24"/>
                <w:rtl/>
              </w:rPr>
              <w:t>, 202</w:t>
            </w:r>
            <w:r w:rsidR="00DC2B95" w:rsidRPr="005655E6">
              <w:rPr>
                <w:rFonts w:cstheme="minorHAnsi"/>
                <w:sz w:val="24"/>
                <w:szCs w:val="24"/>
                <w:rtl/>
              </w:rPr>
              <w:t>4</w:t>
            </w:r>
          </w:p>
        </w:tc>
      </w:tr>
    </w:tbl>
    <w:p w:rsidR="007A25C0" w:rsidRPr="005655E6" w:rsidRDefault="00CC2499" w:rsidP="00A73D0F">
      <w:pPr>
        <w:rPr>
          <w:rFonts w:cstheme="minorHAnsi"/>
          <w:sz w:val="24"/>
          <w:szCs w:val="24"/>
          <w:rtl/>
        </w:rPr>
      </w:pPr>
      <w:r w:rsidRPr="005655E6">
        <w:rPr>
          <w:rFonts w:cstheme="minorHAnsi"/>
          <w:sz w:val="24"/>
          <w:szCs w:val="24"/>
          <w:rtl/>
        </w:rPr>
        <w:t xml:space="preserve"> ה</w:t>
      </w:r>
      <w:r w:rsidR="00DE140A" w:rsidRPr="005655E6">
        <w:rPr>
          <w:rFonts w:cstheme="minorHAnsi"/>
          <w:sz w:val="24"/>
          <w:szCs w:val="24"/>
          <w:rtl/>
        </w:rPr>
        <w:t>ודעה לעיתונות:</w:t>
      </w:r>
    </w:p>
    <w:p w:rsidR="00F429F4" w:rsidRPr="005655E6" w:rsidRDefault="00F429F4" w:rsidP="00A73D0F">
      <w:pPr>
        <w:spacing w:after="0"/>
        <w:jc w:val="center"/>
        <w:rPr>
          <w:rFonts w:cstheme="minorHAnsi"/>
          <w:b/>
          <w:bCs/>
          <w:sz w:val="28"/>
          <w:szCs w:val="28"/>
          <w:rtl/>
        </w:rPr>
      </w:pPr>
      <w:r w:rsidRPr="005655E6">
        <w:rPr>
          <w:rFonts w:cstheme="minorHAnsi"/>
          <w:b/>
          <w:bCs/>
          <w:sz w:val="28"/>
          <w:szCs w:val="28"/>
          <w:rtl/>
        </w:rPr>
        <w:t xml:space="preserve">תיבה </w:t>
      </w:r>
      <w:r w:rsidR="00D50BB3" w:rsidRPr="005655E6">
        <w:rPr>
          <w:rFonts w:cstheme="minorHAnsi"/>
          <w:b/>
          <w:bCs/>
          <w:sz w:val="28"/>
          <w:szCs w:val="28"/>
          <w:rtl/>
        </w:rPr>
        <w:t>רביעית</w:t>
      </w:r>
      <w:r w:rsidRPr="005655E6">
        <w:rPr>
          <w:rFonts w:cstheme="minorHAnsi"/>
          <w:b/>
          <w:bCs/>
          <w:sz w:val="28"/>
          <w:szCs w:val="28"/>
          <w:rtl/>
        </w:rPr>
        <w:t xml:space="preserve"> מתוך דו"ח בנק ישראל לשנת 2023 : </w:t>
      </w:r>
      <w:r w:rsidR="00D50BB3" w:rsidRPr="005655E6">
        <w:rPr>
          <w:rFonts w:cstheme="minorHAnsi"/>
          <w:b/>
          <w:bCs/>
          <w:sz w:val="28"/>
          <w:szCs w:val="28"/>
          <w:rtl/>
        </w:rPr>
        <w:t>הטמעת חדשנות בענף הבנייה</w:t>
      </w:r>
    </w:p>
    <w:p w:rsidR="00E54DA2" w:rsidRPr="005655E6" w:rsidRDefault="00E54DA2" w:rsidP="00A73D0F">
      <w:pPr>
        <w:spacing w:after="0"/>
        <w:rPr>
          <w:rFonts w:cstheme="minorHAnsi"/>
          <w:sz w:val="28"/>
          <w:szCs w:val="28"/>
        </w:rPr>
      </w:pPr>
    </w:p>
    <w:p w:rsidR="00A73D0F" w:rsidRPr="005655E6" w:rsidRDefault="00A73D0F" w:rsidP="00A73D0F">
      <w:pPr>
        <w:numPr>
          <w:ilvl w:val="0"/>
          <w:numId w:val="5"/>
        </w:numPr>
        <w:spacing w:line="360" w:lineRule="auto"/>
        <w:rPr>
          <w:rFonts w:cstheme="minorHAnsi"/>
          <w:b/>
          <w:bCs/>
          <w:sz w:val="24"/>
          <w:szCs w:val="24"/>
        </w:rPr>
      </w:pPr>
      <w:r w:rsidRPr="005655E6">
        <w:rPr>
          <w:rFonts w:cstheme="minorHAnsi"/>
          <w:b/>
          <w:bCs/>
          <w:sz w:val="24"/>
          <w:szCs w:val="24"/>
          <w:rtl/>
        </w:rPr>
        <w:t>רמ</w:t>
      </w:r>
      <w:bookmarkStart w:id="0" w:name="_GoBack"/>
      <w:bookmarkEnd w:id="0"/>
      <w:r w:rsidRPr="005655E6">
        <w:rPr>
          <w:rFonts w:cstheme="minorHAnsi"/>
          <w:b/>
          <w:bCs/>
          <w:sz w:val="24"/>
          <w:szCs w:val="24"/>
          <w:rtl/>
        </w:rPr>
        <w:t xml:space="preserve">תו הנמוכה של מלאי ההון לעובד בענף הבנייה בישראל בהשוואה בינלאומית היא אינדיקציה לפיגור ברמת התיעוש והחדשנות בענף. חסמים בולטים בהטמעת חדשנות הם מידה מוגבלת של ידע בתחום, צורך בתיאום בין גורמים רבים ורגולציה לא מתאימה. </w:t>
      </w:r>
    </w:p>
    <w:p w:rsidR="00A73D0F" w:rsidRPr="005655E6" w:rsidRDefault="00A73D0F" w:rsidP="00A73D0F">
      <w:pPr>
        <w:numPr>
          <w:ilvl w:val="0"/>
          <w:numId w:val="5"/>
        </w:numPr>
        <w:spacing w:line="360" w:lineRule="auto"/>
        <w:rPr>
          <w:rFonts w:cstheme="minorHAnsi"/>
          <w:b/>
          <w:bCs/>
          <w:sz w:val="24"/>
          <w:szCs w:val="24"/>
          <w:u w:val="single"/>
          <w:rtl/>
        </w:rPr>
      </w:pPr>
      <w:r w:rsidRPr="005655E6">
        <w:rPr>
          <w:rFonts w:cstheme="minorHAnsi"/>
          <w:b/>
          <w:bCs/>
          <w:sz w:val="24"/>
          <w:szCs w:val="24"/>
          <w:rtl/>
        </w:rPr>
        <w:t xml:space="preserve">זמינות של עובדים לא-ישראלים בעלות נמוכה מקטינה את התמריץ של חברות להטמיע חדשנות אך חושפת אותן לתעסוקה לא יציבה. </w:t>
      </w:r>
    </w:p>
    <w:p w:rsidR="00A73D0F" w:rsidRPr="005655E6" w:rsidRDefault="00A73D0F" w:rsidP="00A73D0F">
      <w:pPr>
        <w:numPr>
          <w:ilvl w:val="0"/>
          <w:numId w:val="5"/>
        </w:numPr>
        <w:spacing w:line="360" w:lineRule="auto"/>
        <w:rPr>
          <w:rFonts w:cstheme="minorHAnsi"/>
          <w:b/>
          <w:bCs/>
          <w:sz w:val="24"/>
          <w:szCs w:val="24"/>
          <w:rtl/>
        </w:rPr>
      </w:pPr>
      <w:r w:rsidRPr="005655E6">
        <w:rPr>
          <w:rFonts w:cstheme="minorHAnsi"/>
          <w:b/>
          <w:bCs/>
          <w:sz w:val="24"/>
          <w:szCs w:val="24"/>
          <w:rtl/>
        </w:rPr>
        <w:t>בתיעוש הבנייה ובחדשנות טמונות השפעות חיצוניות חיוביות, כגון צמצום נזקי רעש וזיהום בקרבת האתרים, מה שעשוי להצדיק תמיכה ממשלתית בהטמעת תהליכים אלה.</w:t>
      </w:r>
    </w:p>
    <w:p w:rsidR="00A73D0F" w:rsidRPr="005655E6" w:rsidRDefault="00A73D0F" w:rsidP="00A73D0F">
      <w:pPr>
        <w:spacing w:line="360" w:lineRule="auto"/>
        <w:rPr>
          <w:rFonts w:cstheme="minorHAnsi"/>
          <w:b/>
          <w:bCs/>
          <w:sz w:val="24"/>
          <w:szCs w:val="24"/>
          <w:u w:val="single"/>
          <w:rtl/>
        </w:rPr>
      </w:pPr>
    </w:p>
    <w:p w:rsidR="00A73D0F" w:rsidRPr="005655E6" w:rsidRDefault="00A73D0F" w:rsidP="00A73D0F">
      <w:pPr>
        <w:spacing w:line="360" w:lineRule="auto"/>
        <w:rPr>
          <w:rFonts w:cstheme="minorHAnsi"/>
          <w:b/>
          <w:bCs/>
          <w:sz w:val="24"/>
          <w:szCs w:val="24"/>
          <w:rtl/>
        </w:rPr>
      </w:pPr>
      <w:r w:rsidRPr="005655E6">
        <w:rPr>
          <w:rFonts w:cstheme="minorHAnsi"/>
          <w:b/>
          <w:bCs/>
          <w:sz w:val="24"/>
          <w:szCs w:val="24"/>
          <w:rtl/>
        </w:rPr>
        <w:t>רקע ומוטיבציה</w:t>
      </w:r>
    </w:p>
    <w:p w:rsidR="00A73D0F" w:rsidRPr="005655E6" w:rsidRDefault="00A73D0F" w:rsidP="00A73D0F">
      <w:pPr>
        <w:spacing w:line="360" w:lineRule="auto"/>
        <w:rPr>
          <w:rFonts w:cstheme="minorHAnsi"/>
          <w:sz w:val="24"/>
          <w:szCs w:val="24"/>
          <w:rtl/>
        </w:rPr>
      </w:pPr>
      <w:r w:rsidRPr="005655E6">
        <w:rPr>
          <w:rFonts w:cstheme="minorHAnsi"/>
          <w:sz w:val="24"/>
          <w:szCs w:val="24"/>
          <w:rtl/>
        </w:rPr>
        <w:t xml:space="preserve">הטמעת חדשנות בענף הבנייה עשויה לייצר ערך מוסף באמצעות שימוש במערכות תכנון, בשיטות בנייה ובמכונות וציוד יעילים מאלה שהיו בשימוש בעבר. </w:t>
      </w:r>
      <w:r w:rsidRPr="005655E6">
        <w:rPr>
          <w:rFonts w:cstheme="minorHAnsi"/>
          <w:b/>
          <w:bCs/>
          <w:sz w:val="24"/>
          <w:szCs w:val="24"/>
          <w:rtl/>
        </w:rPr>
        <w:t>חדשנות בתכנון וניהול</w:t>
      </w:r>
      <w:r w:rsidRPr="005655E6">
        <w:rPr>
          <w:rFonts w:cstheme="minorHAnsi"/>
          <w:sz w:val="24"/>
          <w:szCs w:val="24"/>
          <w:rtl/>
        </w:rPr>
        <w:t xml:space="preserve"> כוללת שימוש במידול מידע באמצעות </w:t>
      </w:r>
      <w:r w:rsidRPr="005655E6">
        <w:rPr>
          <w:rFonts w:cstheme="minorHAnsi"/>
          <w:sz w:val="24"/>
          <w:szCs w:val="24"/>
          <w:vertAlign w:val="superscript"/>
        </w:rPr>
        <w:footnoteReference w:id="1"/>
      </w:r>
      <w:r w:rsidRPr="005655E6">
        <w:rPr>
          <w:rFonts w:cstheme="minorHAnsi"/>
          <w:sz w:val="24"/>
          <w:szCs w:val="24"/>
        </w:rPr>
        <w:t>BIM</w:t>
      </w:r>
      <w:r w:rsidRPr="005655E6">
        <w:rPr>
          <w:rFonts w:cstheme="minorHAnsi"/>
          <w:sz w:val="24"/>
          <w:szCs w:val="24"/>
          <w:rtl/>
        </w:rPr>
        <w:t xml:space="preserve"> לאורך כל חיי הפרויקט, מערכות המשלבות בינה מלאכותית, מערכות תוכנה וחומרה לניהול לוגיסטי, </w:t>
      </w:r>
      <w:r w:rsidRPr="005655E6">
        <w:rPr>
          <w:rFonts w:cstheme="minorHAnsi"/>
          <w:sz w:val="24"/>
          <w:szCs w:val="24"/>
        </w:rPr>
        <w:t>Internet of Things</w:t>
      </w:r>
      <w:r w:rsidRPr="005655E6">
        <w:rPr>
          <w:rFonts w:cstheme="minorHAnsi"/>
          <w:sz w:val="24"/>
          <w:szCs w:val="24"/>
          <w:rtl/>
        </w:rPr>
        <w:t xml:space="preserve"> באתרי הבנייה ועוד. שימוש בכלים חדשניים בתכנון הוא לרוב תנאי ליכולת להשתמש בטכנולוגיות בנייה מתקדמות גם בשלבי הביצוע.</w:t>
      </w:r>
      <w:r w:rsidRPr="005655E6">
        <w:rPr>
          <w:rFonts w:cstheme="minorHAnsi"/>
          <w:b/>
          <w:bCs/>
          <w:sz w:val="24"/>
          <w:szCs w:val="24"/>
          <w:rtl/>
        </w:rPr>
        <w:t xml:space="preserve"> </w:t>
      </w:r>
      <w:r w:rsidRPr="005655E6">
        <w:rPr>
          <w:rFonts w:cstheme="minorHAnsi"/>
          <w:sz w:val="24"/>
          <w:szCs w:val="24"/>
          <w:rtl/>
        </w:rPr>
        <w:t xml:space="preserve">את </w:t>
      </w:r>
      <w:r w:rsidRPr="005655E6">
        <w:rPr>
          <w:rFonts w:cstheme="minorHAnsi"/>
          <w:b/>
          <w:bCs/>
          <w:sz w:val="24"/>
          <w:szCs w:val="24"/>
          <w:rtl/>
        </w:rPr>
        <w:t>החדשנות בביצוע</w:t>
      </w:r>
      <w:r w:rsidRPr="005655E6">
        <w:rPr>
          <w:rFonts w:cstheme="minorHAnsi"/>
          <w:sz w:val="24"/>
          <w:szCs w:val="24"/>
        </w:rPr>
        <w:t xml:space="preserve"> </w:t>
      </w:r>
      <w:r w:rsidRPr="005655E6">
        <w:rPr>
          <w:rFonts w:cstheme="minorHAnsi"/>
          <w:sz w:val="24"/>
          <w:szCs w:val="24"/>
          <w:rtl/>
        </w:rPr>
        <w:t xml:space="preserve">ניתן לסווג לשני סוגים עיקריים: (1) הגברת השימוש בתבניות או חלקי בניין המיוצרים מראש במפעל תעשייתי; ו-(2) שימוש בציוד וטכנולוגיות מתקדמים: </w:t>
      </w:r>
      <w:proofErr w:type="spellStart"/>
      <w:r w:rsidRPr="005655E6">
        <w:rPr>
          <w:rFonts w:cstheme="minorHAnsi"/>
          <w:sz w:val="24"/>
          <w:szCs w:val="24"/>
          <w:rtl/>
        </w:rPr>
        <w:t>רחפנים</w:t>
      </w:r>
      <w:proofErr w:type="spellEnd"/>
      <w:r w:rsidRPr="005655E6">
        <w:rPr>
          <w:rFonts w:cstheme="minorHAnsi"/>
          <w:sz w:val="24"/>
          <w:szCs w:val="24"/>
          <w:rtl/>
        </w:rPr>
        <w:t>, חיישנים והדפסה בתלת-</w:t>
      </w:r>
      <w:proofErr w:type="spellStart"/>
      <w:r w:rsidRPr="005655E6">
        <w:rPr>
          <w:rFonts w:cstheme="minorHAnsi"/>
          <w:sz w:val="24"/>
          <w:szCs w:val="24"/>
          <w:rtl/>
        </w:rPr>
        <w:t>מימד</w:t>
      </w:r>
      <w:proofErr w:type="spellEnd"/>
      <w:r w:rsidRPr="005655E6">
        <w:rPr>
          <w:rFonts w:cstheme="minorHAnsi"/>
          <w:sz w:val="24"/>
          <w:szCs w:val="24"/>
          <w:rtl/>
        </w:rPr>
        <w:t xml:space="preserve"> ועוד.</w:t>
      </w:r>
    </w:p>
    <w:p w:rsidR="00A73D0F" w:rsidRPr="005655E6" w:rsidRDefault="00A73D0F" w:rsidP="00A73D0F">
      <w:pPr>
        <w:spacing w:line="360" w:lineRule="auto"/>
        <w:rPr>
          <w:rFonts w:cstheme="minorHAnsi"/>
          <w:sz w:val="24"/>
          <w:szCs w:val="24"/>
          <w:rtl/>
        </w:rPr>
      </w:pPr>
      <w:r w:rsidRPr="005655E6">
        <w:rPr>
          <w:rFonts w:cstheme="minorHAnsi"/>
          <w:sz w:val="24"/>
          <w:szCs w:val="24"/>
          <w:rtl/>
        </w:rPr>
        <w:t>החשיבות של הטמעת חדשנות בבנייה בישראל מתחדדת לנוכח מדדים המלמדים שהפריון בענף הבנייה הישראלי נמוך יחסית: נכון ל-2018 התוצר לעובד בענף היה נמוך, בממוצע, בכ-15% מאשר בענפים המקבילים במדינות ה-</w:t>
      </w:r>
      <w:r w:rsidRPr="005655E6">
        <w:rPr>
          <w:rFonts w:cstheme="minorHAnsi"/>
          <w:sz w:val="24"/>
          <w:szCs w:val="24"/>
        </w:rPr>
        <w:t>OECD</w:t>
      </w:r>
      <w:r w:rsidRPr="005655E6">
        <w:rPr>
          <w:rFonts w:cstheme="minorHAnsi"/>
          <w:sz w:val="24"/>
          <w:szCs w:val="24"/>
          <w:rtl/>
        </w:rPr>
        <w:t xml:space="preserve"> (בנק ישראל, 2023); זאת מעל ומעבר לפיגור בסך המגזר העסקי. השוואה בין-לאומית של רמות התוצר לעובד בבנייה עלולה להניב תוצאות מוטות בשל בעיות מדידה, ובפרט בגלל שוני בין מדינות במדידת מחירי הקרקע. </w:t>
      </w:r>
      <w:r w:rsidRPr="005655E6">
        <w:rPr>
          <w:rFonts w:cstheme="minorHAnsi"/>
          <w:sz w:val="24"/>
          <w:szCs w:val="24"/>
          <w:rtl/>
        </w:rPr>
        <w:lastRenderedPageBreak/>
        <w:t xml:space="preserve">אינדיקציה חלופית וישירה יותר לרמת המיכון בענף הבנייה מתקבלת מהשוואת מלאי ההון לעובד בענף בישראל לרמתו במדינות </w:t>
      </w:r>
      <w:r w:rsidRPr="005655E6">
        <w:rPr>
          <w:rFonts w:cstheme="minorHAnsi"/>
          <w:sz w:val="24"/>
          <w:szCs w:val="24"/>
        </w:rPr>
        <w:t>OECD</w:t>
      </w:r>
      <w:r w:rsidRPr="005655E6">
        <w:rPr>
          <w:rFonts w:cstheme="minorHAnsi"/>
          <w:sz w:val="24"/>
          <w:szCs w:val="24"/>
          <w:rtl/>
        </w:rPr>
        <w:t xml:space="preserve"> (איור 1). מההשוואה עולה שמלאי ההון לעובד בענף הבנייה בישראל נמוך ב-54% מרמתו הממוצעת במדינות שבמדגם, בעוד שהנחיתות של סך המגזר העסקי היא 11% בלבד.</w:t>
      </w:r>
    </w:p>
    <w:p w:rsidR="00A73D0F" w:rsidRPr="005655E6" w:rsidRDefault="00A73D0F" w:rsidP="00A73D0F">
      <w:pPr>
        <w:spacing w:line="360" w:lineRule="auto"/>
        <w:rPr>
          <w:rFonts w:cstheme="minorHAnsi"/>
          <w:sz w:val="24"/>
          <w:szCs w:val="24"/>
          <w:rtl/>
        </w:rPr>
      </w:pPr>
      <w:r w:rsidRPr="005655E6">
        <w:rPr>
          <w:rFonts w:cstheme="minorHAnsi"/>
          <w:sz w:val="24"/>
          <w:szCs w:val="24"/>
          <w:rtl/>
        </w:rPr>
        <w:t xml:space="preserve">ישנן עדויות נוספות לפיגור של ענף הבנייה מבחינת רמת המיכון והחדשנות מחד גיסא, וההסתמכות על כוח עבודה זול מאידך: בנק ישראל (2016) הראה שהמיומנויות הבסיסיות של עובדים ישראלים בענף הבנייה נמוכות במיוחד בהשוואה למקביליהם במדינות </w:t>
      </w:r>
      <w:r w:rsidRPr="005655E6">
        <w:rPr>
          <w:rFonts w:cstheme="minorHAnsi"/>
          <w:sz w:val="24"/>
          <w:szCs w:val="24"/>
        </w:rPr>
        <w:t>OECD</w:t>
      </w:r>
      <w:r w:rsidRPr="005655E6">
        <w:rPr>
          <w:rFonts w:cstheme="minorHAnsi"/>
          <w:sz w:val="24"/>
          <w:szCs w:val="24"/>
          <w:rtl/>
        </w:rPr>
        <w:t>, ושהתלות בעובדים הלא מיומנים גבוהה מאוד. משרד הכלכלה והתעשייה (2021) הראה כי רמת השימוש בטכנולוגיות דיגיטליות בענף הבנייה בישראל נמוכה משמעותית מאשר במדינות הייחוס.</w:t>
      </w:r>
      <w:r w:rsidRPr="005655E6">
        <w:rPr>
          <w:rFonts w:cstheme="minorHAnsi"/>
          <w:sz w:val="24"/>
          <w:szCs w:val="24"/>
          <w:vertAlign w:val="superscript"/>
          <w:rtl/>
        </w:rPr>
        <w:footnoteReference w:id="2"/>
      </w:r>
      <w:r w:rsidRPr="005655E6">
        <w:rPr>
          <w:rFonts w:cstheme="minorHAnsi"/>
          <w:sz w:val="24"/>
          <w:szCs w:val="24"/>
          <w:rtl/>
        </w:rPr>
        <w:t xml:space="preserve">  </w:t>
      </w:r>
    </w:p>
    <w:p w:rsidR="00A73D0F" w:rsidRPr="005655E6" w:rsidRDefault="00A73D0F" w:rsidP="00A73D0F">
      <w:pPr>
        <w:spacing w:line="360" w:lineRule="auto"/>
        <w:rPr>
          <w:rFonts w:cstheme="minorHAnsi"/>
          <w:sz w:val="24"/>
          <w:szCs w:val="24"/>
          <w:rtl/>
        </w:rPr>
      </w:pPr>
    </w:p>
    <w:p w:rsidR="00A73D0F" w:rsidRPr="005655E6" w:rsidRDefault="00A73D0F" w:rsidP="00A73D0F">
      <w:pPr>
        <w:spacing w:line="360" w:lineRule="auto"/>
        <w:rPr>
          <w:rFonts w:cstheme="minorHAnsi"/>
          <w:sz w:val="24"/>
          <w:szCs w:val="24"/>
          <w:rtl/>
        </w:rPr>
      </w:pPr>
    </w:p>
    <w:p w:rsidR="00A73D0F" w:rsidRPr="005655E6" w:rsidRDefault="00A73D0F" w:rsidP="00A73D0F">
      <w:pPr>
        <w:spacing w:line="360" w:lineRule="auto"/>
        <w:rPr>
          <w:rFonts w:cstheme="minorHAnsi"/>
          <w:b/>
          <w:bCs/>
          <w:sz w:val="24"/>
          <w:szCs w:val="24"/>
          <w:rtl/>
        </w:rPr>
      </w:pPr>
      <w:r w:rsidRPr="005655E6">
        <w:rPr>
          <w:rFonts w:cstheme="minorHAnsi"/>
          <w:b/>
          <w:bCs/>
          <w:sz w:val="24"/>
          <w:szCs w:val="24"/>
          <w:rtl/>
        </w:rPr>
        <w:drawing>
          <wp:inline distT="0" distB="0" distL="0" distR="0" wp14:anchorId="155E9F12" wp14:editId="6A09433D">
            <wp:extent cx="5657850" cy="3832225"/>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8563" cy="3832708"/>
                    </a:xfrm>
                    <a:prstGeom prst="rect">
                      <a:avLst/>
                    </a:prstGeom>
                    <a:noFill/>
                    <a:ln>
                      <a:noFill/>
                    </a:ln>
                  </pic:spPr>
                </pic:pic>
              </a:graphicData>
            </a:graphic>
          </wp:inline>
        </w:drawing>
      </w:r>
    </w:p>
    <w:p w:rsidR="00A73D0F" w:rsidRPr="005655E6" w:rsidRDefault="00A73D0F" w:rsidP="00A73D0F">
      <w:pPr>
        <w:spacing w:line="360" w:lineRule="auto"/>
        <w:rPr>
          <w:rFonts w:cstheme="minorHAnsi"/>
          <w:sz w:val="24"/>
          <w:szCs w:val="24"/>
          <w:rtl/>
        </w:rPr>
      </w:pPr>
      <w:r w:rsidRPr="005655E6">
        <w:rPr>
          <w:rFonts w:cstheme="minorHAnsi"/>
          <w:sz w:val="24"/>
          <w:szCs w:val="24"/>
          <w:rtl/>
        </w:rPr>
        <w:t xml:space="preserve">המקור: </w:t>
      </w:r>
      <w:r w:rsidRPr="005655E6">
        <w:rPr>
          <w:rFonts w:cstheme="minorHAnsi"/>
          <w:sz w:val="24"/>
          <w:szCs w:val="24"/>
        </w:rPr>
        <w:t>OECD</w:t>
      </w:r>
      <w:r w:rsidRPr="005655E6">
        <w:rPr>
          <w:rFonts w:cstheme="minorHAnsi"/>
          <w:sz w:val="24"/>
          <w:szCs w:val="24"/>
          <w:rtl/>
        </w:rPr>
        <w:t xml:space="preserve"> ועיבודי בנק ישראל</w:t>
      </w:r>
    </w:p>
    <w:p w:rsidR="00A73D0F" w:rsidRPr="005655E6" w:rsidRDefault="00A73D0F" w:rsidP="00A73D0F">
      <w:pPr>
        <w:spacing w:line="360" w:lineRule="auto"/>
        <w:rPr>
          <w:rFonts w:cstheme="minorHAnsi"/>
          <w:sz w:val="24"/>
          <w:szCs w:val="24"/>
        </w:rPr>
      </w:pPr>
      <w:r w:rsidRPr="005655E6">
        <w:rPr>
          <w:rFonts w:cstheme="minorHAnsi"/>
          <w:sz w:val="24"/>
          <w:szCs w:val="24"/>
          <w:rtl/>
        </w:rPr>
        <w:t xml:space="preserve">עבודות שנעשו בתחום ובחינה של טכנולוגיות בנייה מקובלות מצביעות על קשר הפוך בין רמת התיעוש לבין משך הבנייה (משרד השיכון, 2016). בבניית רבי קומות בישראל רמת התיעוש באתרי בנייה גבוהה ביחס לבנייה של </w:t>
      </w:r>
      <w:r w:rsidRPr="005655E6">
        <w:rPr>
          <w:rFonts w:cstheme="minorHAnsi"/>
          <w:sz w:val="24"/>
          <w:szCs w:val="24"/>
          <w:rtl/>
        </w:rPr>
        <w:lastRenderedPageBreak/>
        <w:t xml:space="preserve">בניינים של עד 9 קומות. הפוטנציאל להתייעלות ברבי קומות טמון בהחדרת טכנולוגיות מתקדמות לאתרים והגברת השימוש בייצור חלקי בניין במפעלים, ואילו בבנייה נמוכה ניתן להתייעל הן באמצעות העלאת רמת התיעוש בהתבסס על שיטות תיעוש הנפוצות בישראל בבניית רבי קומות והן באמצעות השקעה בציוד באתרי בניה קונבנציונאליים. שיעור התחלות הבנייה של יחידות הדיור בבניינים עד 9 קומות בסך ההתחלות אמנם ירד בעשור הקודם בכ-10 נקודות אחוז, אך גם לאחר מכן, בשנים 2020–2023, הוא היה משמעותי – כ-65%. </w:t>
      </w:r>
    </w:p>
    <w:p w:rsidR="00A73D0F" w:rsidRPr="005655E6" w:rsidRDefault="00A73D0F" w:rsidP="00A73D0F">
      <w:pPr>
        <w:spacing w:line="360" w:lineRule="auto"/>
        <w:rPr>
          <w:rFonts w:cstheme="minorHAnsi"/>
          <w:b/>
          <w:bCs/>
          <w:sz w:val="24"/>
          <w:szCs w:val="24"/>
          <w:u w:val="single"/>
          <w:rtl/>
        </w:rPr>
      </w:pPr>
      <w:r w:rsidRPr="005655E6">
        <w:rPr>
          <w:rFonts w:cstheme="minorHAnsi"/>
          <w:sz w:val="24"/>
          <w:szCs w:val="24"/>
          <w:rtl/>
        </w:rPr>
        <w:t xml:space="preserve"> </w:t>
      </w:r>
    </w:p>
    <w:p w:rsidR="00A73D0F" w:rsidRPr="005655E6" w:rsidRDefault="00A73D0F" w:rsidP="00A73D0F">
      <w:pPr>
        <w:spacing w:line="360" w:lineRule="auto"/>
        <w:rPr>
          <w:rFonts w:cstheme="minorHAnsi"/>
          <w:b/>
          <w:bCs/>
          <w:sz w:val="24"/>
          <w:szCs w:val="24"/>
          <w:rtl/>
        </w:rPr>
      </w:pPr>
      <w:r w:rsidRPr="005655E6">
        <w:rPr>
          <w:rFonts w:cstheme="minorHAnsi"/>
          <w:b/>
          <w:bCs/>
          <w:sz w:val="24"/>
          <w:szCs w:val="24"/>
          <w:rtl/>
        </w:rPr>
        <w:t>חסמים להטמעת חדשנות בענף הבנייה והתמודדות עמם בישראל ובמדינות אחרות</w:t>
      </w:r>
    </w:p>
    <w:p w:rsidR="00A73D0F" w:rsidRPr="005655E6" w:rsidRDefault="00A73D0F" w:rsidP="00A73D0F">
      <w:pPr>
        <w:spacing w:line="360" w:lineRule="auto"/>
        <w:rPr>
          <w:rFonts w:cstheme="minorHAnsi"/>
          <w:sz w:val="24"/>
          <w:szCs w:val="24"/>
          <w:rtl/>
        </w:rPr>
      </w:pPr>
      <w:r w:rsidRPr="005655E6">
        <w:rPr>
          <w:rFonts w:cstheme="minorHAnsi"/>
          <w:sz w:val="24"/>
          <w:szCs w:val="24"/>
          <w:rtl/>
        </w:rPr>
        <w:t>העבודות שבחנו את הכדאיות של קידום תיעוש ואימוץ טכנולוגיות מתקדמות בענף הבנייה בישראל הגיעו למסקנה שהדבר יחסוך לחברות עלויות ייצור (בעיקר הודות להפחתת תשומת העבודה) וישפר את איכות הבנייה.</w:t>
      </w:r>
      <w:r w:rsidRPr="005655E6">
        <w:rPr>
          <w:rFonts w:cstheme="minorHAnsi"/>
          <w:sz w:val="24"/>
          <w:szCs w:val="24"/>
          <w:vertAlign w:val="superscript"/>
          <w:rtl/>
        </w:rPr>
        <w:footnoteReference w:id="3"/>
      </w:r>
      <w:r w:rsidRPr="005655E6">
        <w:rPr>
          <w:rFonts w:cstheme="minorHAnsi"/>
          <w:sz w:val="24"/>
          <w:szCs w:val="24"/>
          <w:rtl/>
        </w:rPr>
        <w:t xml:space="preserve"> ההטמעה האיטית של טכנולוגיות חדשות בענף הבנייה בישראל למרות יתרונות אלה משקפת ככל הנראה את קיומם של חסמים שונים להטמעת חדשנות בבנייה בישראל, בדומה לחסמים במדינות </w:t>
      </w:r>
      <w:r w:rsidRPr="005655E6">
        <w:rPr>
          <w:rFonts w:cstheme="minorHAnsi"/>
          <w:sz w:val="24"/>
          <w:szCs w:val="24"/>
        </w:rPr>
        <w:t>OECD</w:t>
      </w:r>
      <w:r w:rsidRPr="005655E6">
        <w:rPr>
          <w:rFonts w:cstheme="minorHAnsi"/>
          <w:sz w:val="24"/>
          <w:szCs w:val="24"/>
          <w:rtl/>
        </w:rPr>
        <w:t xml:space="preserve"> (</w:t>
      </w:r>
      <w:proofErr w:type="spellStart"/>
      <w:r w:rsidRPr="005655E6">
        <w:rPr>
          <w:rFonts w:cstheme="minorHAnsi"/>
          <w:sz w:val="24"/>
          <w:szCs w:val="24"/>
        </w:rPr>
        <w:t>Demirkesen</w:t>
      </w:r>
      <w:proofErr w:type="spellEnd"/>
      <w:r w:rsidRPr="005655E6">
        <w:rPr>
          <w:rFonts w:cstheme="minorHAnsi"/>
          <w:sz w:val="24"/>
          <w:szCs w:val="24"/>
          <w:rtl/>
        </w:rPr>
        <w:t xml:space="preserve"> ואחרים, 2022). </w:t>
      </w:r>
    </w:p>
    <w:p w:rsidR="00A73D0F" w:rsidRPr="005655E6" w:rsidRDefault="00A73D0F" w:rsidP="00A73D0F">
      <w:pPr>
        <w:spacing w:line="360" w:lineRule="auto"/>
        <w:rPr>
          <w:rFonts w:cstheme="minorHAnsi"/>
          <w:sz w:val="24"/>
          <w:szCs w:val="24"/>
          <w:rtl/>
        </w:rPr>
      </w:pPr>
      <w:r w:rsidRPr="005655E6">
        <w:rPr>
          <w:rFonts w:cstheme="minorHAnsi"/>
          <w:b/>
          <w:bCs/>
          <w:sz w:val="24"/>
          <w:szCs w:val="24"/>
          <w:rtl/>
        </w:rPr>
        <w:t>אי-וודאות לגבי הביקוש לבנייה חדשנית:</w:t>
      </w:r>
      <w:r w:rsidRPr="005655E6">
        <w:rPr>
          <w:rFonts w:cstheme="minorHAnsi"/>
          <w:sz w:val="24"/>
          <w:szCs w:val="24"/>
          <w:rtl/>
        </w:rPr>
        <w:t xml:space="preserve"> אי-וודאות בביקוש מהווה חסם להתפתחות שוק בוגר של בנייה חדשנית. ענף הבנייה מבוזר וכולל חברות רבות וקבלני משנה לאורך שרשרת הערך, שצריכים לסנכרן ביניהן את אימוץ השיטות החדשות. בפרט, בגלל יתרונות לגודל בבנייה חדשנית, חברות קטנות ובינוניות נמנעות מאימוץ שיטות חדשות </w:t>
      </w:r>
      <w:proofErr w:type="spellStart"/>
      <w:r w:rsidRPr="005655E6">
        <w:rPr>
          <w:rFonts w:cstheme="minorHAnsi"/>
          <w:sz w:val="24"/>
          <w:szCs w:val="24"/>
        </w:rPr>
        <w:t>Demirkesen</w:t>
      </w:r>
      <w:proofErr w:type="spellEnd"/>
      <w:r w:rsidRPr="005655E6">
        <w:rPr>
          <w:rFonts w:cstheme="minorHAnsi"/>
          <w:sz w:val="24"/>
          <w:szCs w:val="24"/>
        </w:rPr>
        <w:t>)</w:t>
      </w:r>
      <w:r w:rsidRPr="005655E6">
        <w:rPr>
          <w:rFonts w:cstheme="minorHAnsi"/>
          <w:sz w:val="24"/>
          <w:szCs w:val="24"/>
          <w:rtl/>
        </w:rPr>
        <w:t xml:space="preserve"> ואחרים, 2022). סיבה נוספת היא חששות של צרכנים מבנייה תעשייתית (על אף שבפועל מדובר בבנייה איכותית יותר). כל אלה עלולים לתרום לחוסר יציבות של </w:t>
      </w:r>
      <w:proofErr w:type="spellStart"/>
      <w:r w:rsidRPr="005655E6">
        <w:rPr>
          <w:rFonts w:cstheme="minorHAnsi"/>
          <w:sz w:val="24"/>
          <w:szCs w:val="24"/>
          <w:rtl/>
        </w:rPr>
        <w:t>הביקושים</w:t>
      </w:r>
      <w:proofErr w:type="spellEnd"/>
      <w:r w:rsidRPr="005655E6">
        <w:rPr>
          <w:rFonts w:cstheme="minorHAnsi"/>
          <w:sz w:val="24"/>
          <w:szCs w:val="24"/>
          <w:rtl/>
        </w:rPr>
        <w:t>.</w:t>
      </w:r>
    </w:p>
    <w:p w:rsidR="00A73D0F" w:rsidRPr="005655E6" w:rsidRDefault="00A73D0F" w:rsidP="00A73D0F">
      <w:pPr>
        <w:spacing w:line="360" w:lineRule="auto"/>
        <w:rPr>
          <w:rFonts w:cstheme="minorHAnsi"/>
          <w:sz w:val="24"/>
          <w:szCs w:val="24"/>
          <w:u w:val="single"/>
          <w:rtl/>
        </w:rPr>
      </w:pPr>
      <w:r w:rsidRPr="005655E6">
        <w:rPr>
          <w:rFonts w:cstheme="minorHAnsi"/>
          <w:sz w:val="24"/>
          <w:szCs w:val="24"/>
          <w:rtl/>
        </w:rPr>
        <w:t xml:space="preserve">כדי להתמודד עם חסם זה הוקם בדנמרק ארגון צרכנים, </w:t>
      </w:r>
      <w:proofErr w:type="spellStart"/>
      <w:r w:rsidRPr="005655E6">
        <w:rPr>
          <w:rFonts w:cstheme="minorHAnsi"/>
          <w:sz w:val="24"/>
          <w:szCs w:val="24"/>
          <w:rtl/>
        </w:rPr>
        <w:t>המנגיש</w:t>
      </w:r>
      <w:proofErr w:type="spellEnd"/>
      <w:r w:rsidRPr="005655E6">
        <w:rPr>
          <w:rFonts w:cstheme="minorHAnsi"/>
          <w:sz w:val="24"/>
          <w:szCs w:val="24"/>
          <w:rtl/>
        </w:rPr>
        <w:t xml:space="preserve"> מידע על הענף ומסייע, בין השאר, להתגבר על החסם הצרכני. כמו כן מדינות פועלות להבטחת ביקושים לבניה בשיטות חדשניות ברמה שתהפוך את חדירת החדשנות לכדאית. כך, למשל, בבריטניה (</w:t>
      </w:r>
      <w:r w:rsidRPr="005655E6">
        <w:rPr>
          <w:rFonts w:cstheme="minorHAnsi"/>
          <w:sz w:val="24"/>
          <w:szCs w:val="24"/>
        </w:rPr>
        <w:t>(Farmer 2016</w:t>
      </w:r>
      <w:r w:rsidRPr="005655E6">
        <w:rPr>
          <w:rFonts w:cstheme="minorHAnsi"/>
          <w:sz w:val="24"/>
          <w:szCs w:val="24"/>
          <w:rtl/>
        </w:rPr>
        <w:t xml:space="preserve"> ובדנמרק הממשלה משפיעה על </w:t>
      </w:r>
      <w:proofErr w:type="spellStart"/>
      <w:r w:rsidRPr="005655E6">
        <w:rPr>
          <w:rFonts w:cstheme="minorHAnsi"/>
          <w:sz w:val="24"/>
          <w:szCs w:val="24"/>
          <w:rtl/>
        </w:rPr>
        <w:t>הביקושים</w:t>
      </w:r>
      <w:proofErr w:type="spellEnd"/>
      <w:r w:rsidRPr="005655E6">
        <w:rPr>
          <w:rFonts w:cstheme="minorHAnsi"/>
          <w:sz w:val="24"/>
          <w:szCs w:val="24"/>
          <w:rtl/>
        </w:rPr>
        <w:t xml:space="preserve"> באמצעות דרישות לרמת תיעוש מסוימת בענף הבנייה למגורים בפרויקטים ציבוריים. נמצא שמדיניות זו יעילה בקידום דיגיטציה בענף.</w:t>
      </w:r>
      <w:r w:rsidRPr="005655E6">
        <w:rPr>
          <w:rFonts w:cstheme="minorHAnsi"/>
          <w:sz w:val="24"/>
          <w:szCs w:val="24"/>
          <w:vertAlign w:val="superscript"/>
          <w:rtl/>
        </w:rPr>
        <w:footnoteReference w:id="4"/>
      </w:r>
      <w:r w:rsidRPr="005655E6">
        <w:rPr>
          <w:rFonts w:cstheme="minorHAnsi"/>
          <w:sz w:val="24"/>
          <w:szCs w:val="24"/>
          <w:rtl/>
        </w:rPr>
        <w:t xml:space="preserve"> ניתן ליצור תמריצים דומים גם בישראל.</w:t>
      </w:r>
      <w:r w:rsidRPr="005655E6">
        <w:rPr>
          <w:rFonts w:cstheme="minorHAnsi"/>
          <w:sz w:val="24"/>
          <w:szCs w:val="24"/>
          <w:vertAlign w:val="superscript"/>
          <w:rtl/>
        </w:rPr>
        <w:footnoteReference w:id="5"/>
      </w:r>
    </w:p>
    <w:p w:rsidR="00A73D0F" w:rsidRPr="005655E6" w:rsidRDefault="00A73D0F" w:rsidP="00A73D0F">
      <w:pPr>
        <w:spacing w:line="360" w:lineRule="auto"/>
        <w:rPr>
          <w:rFonts w:cstheme="minorHAnsi"/>
          <w:b/>
          <w:bCs/>
          <w:sz w:val="24"/>
          <w:szCs w:val="24"/>
          <w:rtl/>
        </w:rPr>
      </w:pPr>
    </w:p>
    <w:p w:rsidR="00A73D0F" w:rsidRPr="005655E6" w:rsidRDefault="00A73D0F" w:rsidP="00A73D0F">
      <w:pPr>
        <w:spacing w:line="360" w:lineRule="auto"/>
        <w:rPr>
          <w:rFonts w:cstheme="minorHAnsi"/>
          <w:sz w:val="24"/>
          <w:szCs w:val="24"/>
          <w:rtl/>
        </w:rPr>
      </w:pPr>
      <w:r w:rsidRPr="005655E6">
        <w:rPr>
          <w:rFonts w:cstheme="minorHAnsi"/>
          <w:b/>
          <w:bCs/>
          <w:sz w:val="24"/>
          <w:szCs w:val="24"/>
          <w:rtl/>
        </w:rPr>
        <w:t>זמינות כוח עבודה זול וחוסר כוח אדם מיומן:</w:t>
      </w:r>
      <w:r w:rsidRPr="005655E6">
        <w:rPr>
          <w:rFonts w:cstheme="minorHAnsi"/>
          <w:sz w:val="24"/>
          <w:szCs w:val="24"/>
          <w:rtl/>
        </w:rPr>
        <w:t xml:space="preserve"> בדוח של </w:t>
      </w:r>
      <w:r w:rsidRPr="005655E6">
        <w:rPr>
          <w:rFonts w:cstheme="minorHAnsi"/>
          <w:sz w:val="24"/>
          <w:szCs w:val="24"/>
        </w:rPr>
        <w:t>Farmer</w:t>
      </w:r>
      <w:r w:rsidRPr="005655E6">
        <w:rPr>
          <w:rFonts w:cstheme="minorHAnsi"/>
          <w:sz w:val="24"/>
          <w:szCs w:val="24"/>
          <w:rtl/>
        </w:rPr>
        <w:t xml:space="preserve"> משנת 2016, הבוחן את ענף הבנייה בבריטניה, נטען שזמינות כוח עבודה זול מייתרת הטמעת טכנולוגיות חדשות בהווה, אך עלולה לגרום לאי יציבות בענף בטווח הארוך. סוגיה זו רלוונטית במיוחד בישראל, שבה הענף תלוי מאד בעובדים לא-ישראלים, אשר תעסוקתם אינה </w:t>
      </w:r>
      <w:r w:rsidRPr="005655E6">
        <w:rPr>
          <w:rFonts w:cstheme="minorHAnsi"/>
          <w:sz w:val="24"/>
          <w:szCs w:val="24"/>
          <w:rtl/>
        </w:rPr>
        <w:lastRenderedPageBreak/>
        <w:t xml:space="preserve">יציבה (ראו תיבה ה'-1). מחסור בכוח אדם מיומן בענף הבינוי קיים ברוב המדינות המתקדמות. הוא מקשה על הטמעת טכנולוגיות חדשות, שלרוב מושתתות על דיגיטציה של תהליכי תכנון ובנייה. ממשלות בעולם מקדמות הכשרת כוח אדם מיומן כדי להסיר חסם זה: בבריטניה הופעלו </w:t>
      </w:r>
      <w:proofErr w:type="spellStart"/>
      <w:r w:rsidRPr="005655E6">
        <w:rPr>
          <w:rFonts w:cstheme="minorHAnsi"/>
          <w:sz w:val="24"/>
          <w:szCs w:val="24"/>
          <w:rtl/>
        </w:rPr>
        <w:t>תוכניות</w:t>
      </w:r>
      <w:proofErr w:type="spellEnd"/>
      <w:r w:rsidRPr="005655E6">
        <w:rPr>
          <w:rFonts w:cstheme="minorHAnsi"/>
          <w:sz w:val="24"/>
          <w:szCs w:val="24"/>
          <w:rtl/>
        </w:rPr>
        <w:t xml:space="preserve"> הכשרה מקיפות, בהולנד </w:t>
      </w:r>
      <w:proofErr w:type="spellStart"/>
      <w:r w:rsidRPr="005655E6">
        <w:rPr>
          <w:rFonts w:cstheme="minorHAnsi"/>
          <w:sz w:val="24"/>
          <w:szCs w:val="24"/>
          <w:rtl/>
        </w:rPr>
        <w:t>תוכניות</w:t>
      </w:r>
      <w:proofErr w:type="spellEnd"/>
      <w:r w:rsidRPr="005655E6">
        <w:rPr>
          <w:rFonts w:cstheme="minorHAnsi"/>
          <w:sz w:val="24"/>
          <w:szCs w:val="24"/>
          <w:rtl/>
        </w:rPr>
        <w:t xml:space="preserve"> להכשרת מהגרים ובסינגפור מתקיים שיתוף פעולה עם חברות זרות בהכשרת כוח האדם המקומי. </w:t>
      </w:r>
    </w:p>
    <w:p w:rsidR="00A73D0F" w:rsidRPr="005655E6" w:rsidRDefault="00A73D0F" w:rsidP="00A73D0F">
      <w:pPr>
        <w:spacing w:line="360" w:lineRule="auto"/>
        <w:rPr>
          <w:rFonts w:cstheme="minorHAnsi"/>
          <w:sz w:val="24"/>
          <w:szCs w:val="24"/>
          <w:u w:val="single"/>
          <w:rtl/>
        </w:rPr>
      </w:pPr>
    </w:p>
    <w:p w:rsidR="00A73D0F" w:rsidRPr="005655E6" w:rsidRDefault="00A73D0F" w:rsidP="00A73D0F">
      <w:pPr>
        <w:spacing w:line="360" w:lineRule="auto"/>
        <w:rPr>
          <w:rFonts w:cstheme="minorHAnsi"/>
          <w:sz w:val="24"/>
          <w:szCs w:val="24"/>
          <w:rtl/>
        </w:rPr>
      </w:pPr>
      <w:r w:rsidRPr="005655E6">
        <w:rPr>
          <w:rFonts w:cstheme="minorHAnsi"/>
          <w:b/>
          <w:bCs/>
          <w:sz w:val="24"/>
          <w:szCs w:val="24"/>
          <w:rtl/>
        </w:rPr>
        <w:t>רגולציה ותקינה:</w:t>
      </w:r>
      <w:r w:rsidRPr="005655E6">
        <w:rPr>
          <w:rFonts w:cstheme="minorHAnsi"/>
          <w:sz w:val="24"/>
          <w:szCs w:val="24"/>
          <w:rtl/>
        </w:rPr>
        <w:t xml:space="preserve"> תהליכי התקינה בישראל ארוכים וקשים בכל הקשור לחומרי בנייה ושיטות בנייה חדשות.</w:t>
      </w:r>
      <w:r w:rsidRPr="005655E6">
        <w:rPr>
          <w:rFonts w:cstheme="minorHAnsi"/>
          <w:sz w:val="24"/>
          <w:szCs w:val="24"/>
          <w:vertAlign w:val="superscript"/>
          <w:rtl/>
        </w:rPr>
        <w:footnoteReference w:id="6"/>
      </w:r>
      <w:r w:rsidRPr="005655E6">
        <w:rPr>
          <w:rFonts w:cstheme="minorHAnsi"/>
          <w:sz w:val="24"/>
          <w:szCs w:val="24"/>
          <w:rtl/>
        </w:rPr>
        <w:t xml:space="preserve"> התאמת הרגולציה יכולה לסייע בהטמעת טכנולוגיות חדשות בענף. הרגולציה יכולה לסייע גם ביצירת אחידות בסטנדרטים כדי להתגבר על חוסר סנכרון בשוק.</w:t>
      </w:r>
    </w:p>
    <w:p w:rsidR="00A73D0F" w:rsidRPr="005655E6" w:rsidRDefault="00A73D0F" w:rsidP="00A73D0F">
      <w:pPr>
        <w:spacing w:line="360" w:lineRule="auto"/>
        <w:rPr>
          <w:rFonts w:cstheme="minorHAnsi"/>
          <w:b/>
          <w:bCs/>
          <w:sz w:val="24"/>
          <w:szCs w:val="24"/>
          <w:u w:val="single"/>
        </w:rPr>
      </w:pPr>
      <w:r w:rsidRPr="005655E6">
        <w:rPr>
          <w:rFonts w:cstheme="minorHAnsi"/>
          <w:sz w:val="24"/>
          <w:szCs w:val="24"/>
          <w:rtl/>
        </w:rPr>
        <w:t xml:space="preserve">במספר מדינות מקדמים התאמות ברגולציה, כגון החלת חובת תכנון באמצעות </w:t>
      </w:r>
      <w:r w:rsidRPr="005655E6">
        <w:rPr>
          <w:rFonts w:cstheme="minorHAnsi"/>
          <w:sz w:val="24"/>
          <w:szCs w:val="24"/>
        </w:rPr>
        <w:t>,BIM</w:t>
      </w:r>
      <w:r w:rsidRPr="005655E6">
        <w:rPr>
          <w:rFonts w:cstheme="minorHAnsi"/>
          <w:sz w:val="24"/>
          <w:szCs w:val="24"/>
          <w:rtl/>
        </w:rPr>
        <w:t xml:space="preserve"> בעיקר בפרויקטים ציבוריים בארה"ב, בבריטניה, בדנמרק, בשבדיה ובמדינות נוספות (</w:t>
      </w:r>
      <w:proofErr w:type="spellStart"/>
      <w:r w:rsidRPr="005655E6">
        <w:rPr>
          <w:rFonts w:cstheme="minorHAnsi"/>
          <w:sz w:val="24"/>
          <w:szCs w:val="24"/>
        </w:rPr>
        <w:t>Panteli</w:t>
      </w:r>
      <w:proofErr w:type="spellEnd"/>
      <w:r w:rsidRPr="005655E6">
        <w:rPr>
          <w:rFonts w:cstheme="minorHAnsi"/>
          <w:sz w:val="24"/>
          <w:szCs w:val="24"/>
        </w:rPr>
        <w:t xml:space="preserve"> et al. 2020</w:t>
      </w:r>
      <w:r w:rsidRPr="005655E6">
        <w:rPr>
          <w:rFonts w:cstheme="minorHAnsi"/>
          <w:sz w:val="24"/>
          <w:szCs w:val="24"/>
          <w:rtl/>
        </w:rPr>
        <w:t>) ושילוב התקנים והרגולציה המקומית עם התקנים האירופיים בגרמניה. בדנמרק ובשוודיה מקדמים רגולציה שנועדה לצמצם את כמות הפסולת ופליטות הפחמן בענף הבנייה, ובעקיפין תזרז מעבר לטכנולוגיות מתקדמות יותר.</w:t>
      </w:r>
    </w:p>
    <w:p w:rsidR="00A73D0F" w:rsidRPr="005655E6" w:rsidRDefault="00A73D0F" w:rsidP="00A73D0F">
      <w:pPr>
        <w:spacing w:line="360" w:lineRule="auto"/>
        <w:rPr>
          <w:rFonts w:cstheme="minorHAnsi"/>
          <w:b/>
          <w:bCs/>
          <w:sz w:val="24"/>
          <w:szCs w:val="24"/>
          <w:rtl/>
        </w:rPr>
      </w:pPr>
    </w:p>
    <w:p w:rsidR="00A73D0F" w:rsidRPr="005655E6" w:rsidRDefault="00A73D0F" w:rsidP="00A73D0F">
      <w:pPr>
        <w:spacing w:line="360" w:lineRule="auto"/>
        <w:rPr>
          <w:rFonts w:cstheme="minorHAnsi"/>
          <w:b/>
          <w:bCs/>
          <w:sz w:val="24"/>
          <w:szCs w:val="24"/>
          <w:rtl/>
        </w:rPr>
      </w:pPr>
      <w:r w:rsidRPr="005655E6">
        <w:rPr>
          <w:rFonts w:cstheme="minorHAnsi"/>
          <w:b/>
          <w:bCs/>
          <w:sz w:val="24"/>
          <w:szCs w:val="24"/>
          <w:rtl/>
        </w:rPr>
        <w:t>המדיניות בישראל</w:t>
      </w:r>
    </w:p>
    <w:p w:rsidR="00A73D0F" w:rsidRPr="005655E6" w:rsidRDefault="00A73D0F" w:rsidP="00A73D0F">
      <w:pPr>
        <w:spacing w:line="360" w:lineRule="auto"/>
        <w:rPr>
          <w:rFonts w:cstheme="minorHAnsi"/>
          <w:b/>
          <w:bCs/>
          <w:sz w:val="24"/>
          <w:szCs w:val="24"/>
          <w:u w:val="single"/>
          <w:rtl/>
        </w:rPr>
      </w:pPr>
      <w:r w:rsidRPr="005655E6">
        <w:rPr>
          <w:rFonts w:cstheme="minorHAnsi"/>
          <w:sz w:val="24"/>
          <w:szCs w:val="24"/>
          <w:rtl/>
        </w:rPr>
        <w:t>החל מ-2016 ננקטו בישראל מספר מהלכים לקידום חדשנות ותיעוש בענף הבנייה.</w:t>
      </w:r>
      <w:r w:rsidRPr="005655E6">
        <w:rPr>
          <w:rFonts w:cstheme="minorHAnsi"/>
          <w:sz w:val="24"/>
          <w:szCs w:val="24"/>
          <w:vertAlign w:val="superscript"/>
          <w:rtl/>
        </w:rPr>
        <w:footnoteReference w:id="7"/>
      </w:r>
      <w:r w:rsidRPr="005655E6">
        <w:rPr>
          <w:rFonts w:cstheme="minorHAnsi"/>
          <w:sz w:val="24"/>
          <w:szCs w:val="24"/>
          <w:rtl/>
        </w:rPr>
        <w:t xml:space="preserve"> במסגרת החלטת הממשלה 1383 מפברואר 2024 נקבעו צעדים נוספים בתחום הכשרת כוח האדם וסבסוד החדשנות. לוח 1 מפרט את מרבית המהלכים שננקטו בשנים אלו.</w:t>
      </w:r>
    </w:p>
    <w:p w:rsidR="00A73D0F" w:rsidRPr="005655E6" w:rsidRDefault="00A73D0F" w:rsidP="00A73D0F">
      <w:pPr>
        <w:spacing w:line="360" w:lineRule="auto"/>
        <w:rPr>
          <w:rFonts w:cstheme="minorHAnsi"/>
          <w:b/>
          <w:bCs/>
          <w:sz w:val="24"/>
          <w:szCs w:val="24"/>
          <w:u w:val="single"/>
          <w:rtl/>
        </w:rPr>
      </w:pPr>
    </w:p>
    <w:p w:rsidR="00A73D0F" w:rsidRPr="005655E6" w:rsidRDefault="00A73D0F" w:rsidP="00A73D0F">
      <w:pPr>
        <w:spacing w:line="360" w:lineRule="auto"/>
        <w:rPr>
          <w:rFonts w:cstheme="minorHAnsi"/>
          <w:b/>
          <w:bCs/>
          <w:sz w:val="24"/>
          <w:szCs w:val="24"/>
          <w:u w:val="single"/>
          <w:rtl/>
        </w:rPr>
      </w:pPr>
    </w:p>
    <w:p w:rsidR="00A73D0F" w:rsidRPr="005655E6" w:rsidRDefault="00A73D0F" w:rsidP="00A73D0F">
      <w:pPr>
        <w:spacing w:line="360" w:lineRule="auto"/>
        <w:rPr>
          <w:rFonts w:cstheme="minorHAnsi"/>
          <w:b/>
          <w:bCs/>
          <w:sz w:val="24"/>
          <w:szCs w:val="24"/>
          <w:rtl/>
        </w:rPr>
      </w:pPr>
      <w:r w:rsidRPr="005655E6">
        <w:rPr>
          <w:rFonts w:cstheme="minorHAnsi"/>
          <w:b/>
          <w:bCs/>
          <w:sz w:val="24"/>
          <w:szCs w:val="24"/>
          <w:rtl/>
        </w:rPr>
        <w:t>לוח 1: צעדים של הממשלה בישראל לקידום חדשנות בענף הבנייה</w:t>
      </w:r>
    </w:p>
    <w:tbl>
      <w:tblPr>
        <w:tblStyle w:val="af2"/>
        <w:bidiVisual/>
        <w:tblW w:w="9068" w:type="dxa"/>
        <w:tblInd w:w="-387" w:type="dxa"/>
        <w:tblLook w:val="04A0" w:firstRow="1" w:lastRow="0" w:firstColumn="1" w:lastColumn="0" w:noHBand="0" w:noVBand="1"/>
      </w:tblPr>
      <w:tblGrid>
        <w:gridCol w:w="3544"/>
        <w:gridCol w:w="1409"/>
        <w:gridCol w:w="4115"/>
      </w:tblGrid>
      <w:tr w:rsidR="00A73D0F" w:rsidRPr="005655E6" w:rsidTr="002A3D52">
        <w:tc>
          <w:tcPr>
            <w:tcW w:w="3544" w:type="dxa"/>
          </w:tcPr>
          <w:p w:rsidR="00A73D0F" w:rsidRPr="005655E6" w:rsidRDefault="00A73D0F" w:rsidP="00A73D0F">
            <w:pPr>
              <w:spacing w:after="200" w:line="360" w:lineRule="auto"/>
              <w:rPr>
                <w:rFonts w:cstheme="minorHAnsi"/>
                <w:b/>
                <w:bCs/>
                <w:sz w:val="24"/>
                <w:szCs w:val="24"/>
                <w:rtl/>
              </w:rPr>
            </w:pPr>
            <w:r w:rsidRPr="005655E6">
              <w:rPr>
                <w:rFonts w:cstheme="minorHAnsi"/>
                <w:b/>
                <w:bCs/>
                <w:sz w:val="24"/>
                <w:szCs w:val="24"/>
                <w:rtl/>
              </w:rPr>
              <w:t>הצעד</w:t>
            </w:r>
          </w:p>
        </w:tc>
        <w:tc>
          <w:tcPr>
            <w:tcW w:w="1409" w:type="dxa"/>
          </w:tcPr>
          <w:p w:rsidR="00A73D0F" w:rsidRPr="005655E6" w:rsidRDefault="00A73D0F" w:rsidP="00A73D0F">
            <w:pPr>
              <w:spacing w:after="200" w:line="360" w:lineRule="auto"/>
              <w:rPr>
                <w:rFonts w:cstheme="minorHAnsi"/>
                <w:b/>
                <w:bCs/>
                <w:sz w:val="24"/>
                <w:szCs w:val="24"/>
                <w:rtl/>
              </w:rPr>
            </w:pPr>
            <w:r w:rsidRPr="005655E6">
              <w:rPr>
                <w:rFonts w:cstheme="minorHAnsi"/>
                <w:b/>
                <w:bCs/>
                <w:sz w:val="24"/>
                <w:szCs w:val="24"/>
                <w:rtl/>
              </w:rPr>
              <w:t>מועד היישום</w:t>
            </w:r>
          </w:p>
        </w:tc>
        <w:tc>
          <w:tcPr>
            <w:tcW w:w="4115" w:type="dxa"/>
          </w:tcPr>
          <w:p w:rsidR="00A73D0F" w:rsidRPr="005655E6" w:rsidRDefault="00A73D0F" w:rsidP="00A73D0F">
            <w:pPr>
              <w:spacing w:after="200" w:line="360" w:lineRule="auto"/>
              <w:rPr>
                <w:rFonts w:cstheme="minorHAnsi"/>
                <w:b/>
                <w:bCs/>
                <w:sz w:val="24"/>
                <w:szCs w:val="24"/>
                <w:rtl/>
              </w:rPr>
            </w:pPr>
            <w:r w:rsidRPr="005655E6">
              <w:rPr>
                <w:rFonts w:cstheme="minorHAnsi"/>
                <w:b/>
                <w:bCs/>
                <w:sz w:val="24"/>
                <w:szCs w:val="24"/>
                <w:rtl/>
              </w:rPr>
              <w:t>מטרת המדיניות</w:t>
            </w:r>
          </w:p>
        </w:tc>
      </w:tr>
      <w:tr w:rsidR="00A73D0F" w:rsidRPr="005655E6" w:rsidTr="002A3D52">
        <w:tc>
          <w:tcPr>
            <w:tcW w:w="3544"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קידום של מתחמי "תכנן ובנה"</w:t>
            </w:r>
          </w:p>
        </w:tc>
        <w:tc>
          <w:tcPr>
            <w:tcW w:w="1409"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החל מ-2016</w:t>
            </w:r>
          </w:p>
        </w:tc>
        <w:tc>
          <w:tcPr>
            <w:tcW w:w="4115" w:type="dxa"/>
          </w:tcPr>
          <w:p w:rsidR="00A73D0F" w:rsidRPr="005655E6" w:rsidRDefault="00A73D0F" w:rsidP="00A73D0F">
            <w:pPr>
              <w:spacing w:after="200" w:line="360" w:lineRule="auto"/>
              <w:rPr>
                <w:rFonts w:cstheme="minorHAnsi"/>
                <w:b/>
                <w:bCs/>
                <w:sz w:val="24"/>
                <w:szCs w:val="24"/>
                <w:u w:val="single"/>
                <w:rtl/>
              </w:rPr>
            </w:pPr>
            <w:r w:rsidRPr="005655E6">
              <w:rPr>
                <w:rFonts w:cstheme="minorHAnsi"/>
                <w:sz w:val="24"/>
                <w:szCs w:val="24"/>
                <w:rtl/>
              </w:rPr>
              <w:t>צמצום אי-הוודאות באמצעות הבטחת ביקושים</w:t>
            </w:r>
            <w:r w:rsidRPr="005655E6">
              <w:rPr>
                <w:rFonts w:cstheme="minorHAnsi"/>
                <w:sz w:val="24"/>
                <w:szCs w:val="24"/>
                <w:vertAlign w:val="superscript"/>
                <w:rtl/>
              </w:rPr>
              <w:t>1</w:t>
            </w:r>
          </w:p>
        </w:tc>
      </w:tr>
      <w:tr w:rsidR="00A73D0F" w:rsidRPr="005655E6" w:rsidTr="002A3D52">
        <w:tc>
          <w:tcPr>
            <w:tcW w:w="3544"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lastRenderedPageBreak/>
              <w:t>תמיכה ביזמים ובקבלנים</w:t>
            </w:r>
            <w:r w:rsidRPr="005655E6">
              <w:rPr>
                <w:rFonts w:cstheme="minorHAnsi"/>
                <w:sz w:val="24"/>
                <w:szCs w:val="24"/>
                <w:vertAlign w:val="superscript"/>
                <w:rtl/>
              </w:rPr>
              <w:t>2</w:t>
            </w:r>
            <w:r w:rsidRPr="005655E6">
              <w:rPr>
                <w:rFonts w:cstheme="minorHAnsi"/>
                <w:sz w:val="24"/>
                <w:szCs w:val="24"/>
                <w:rtl/>
              </w:rPr>
              <w:t xml:space="preserve"> בבנייה </w:t>
            </w:r>
            <w:proofErr w:type="spellStart"/>
            <w:r w:rsidRPr="005655E6">
              <w:rPr>
                <w:rFonts w:cstheme="minorHAnsi"/>
                <w:sz w:val="24"/>
                <w:szCs w:val="24"/>
                <w:rtl/>
              </w:rPr>
              <w:t>מרקמית</w:t>
            </w:r>
            <w:proofErr w:type="spellEnd"/>
            <w:r w:rsidRPr="005655E6">
              <w:rPr>
                <w:rFonts w:cstheme="minorHAnsi"/>
                <w:sz w:val="24"/>
                <w:szCs w:val="24"/>
                <w:rtl/>
              </w:rPr>
              <w:t xml:space="preserve"> רוויה (3 עד 9 קומות)</w:t>
            </w:r>
          </w:p>
        </w:tc>
        <w:tc>
          <w:tcPr>
            <w:tcW w:w="1409"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2017–2019</w:t>
            </w:r>
          </w:p>
        </w:tc>
        <w:tc>
          <w:tcPr>
            <w:tcW w:w="4115"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הפחתת עלות התיעוש וחדשנות</w:t>
            </w:r>
            <w:r w:rsidRPr="005655E6">
              <w:rPr>
                <w:rFonts w:cstheme="minorHAnsi"/>
                <w:sz w:val="24"/>
                <w:szCs w:val="24"/>
                <w:vertAlign w:val="superscript"/>
                <w:rtl/>
              </w:rPr>
              <w:t>3</w:t>
            </w:r>
            <w:r w:rsidRPr="005655E6">
              <w:rPr>
                <w:rFonts w:cstheme="minorHAnsi"/>
                <w:sz w:val="24"/>
                <w:szCs w:val="24"/>
                <w:rtl/>
              </w:rPr>
              <w:t xml:space="preserve"> </w:t>
            </w:r>
          </w:p>
        </w:tc>
      </w:tr>
      <w:tr w:rsidR="00A73D0F" w:rsidRPr="005655E6" w:rsidTr="002A3D52">
        <w:tc>
          <w:tcPr>
            <w:tcW w:w="3544"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מימון חלקי של הכשרת כוח אדם מיומן והכשרות לטכנולוגיות מתקדמות</w:t>
            </w:r>
          </w:p>
        </w:tc>
        <w:tc>
          <w:tcPr>
            <w:tcW w:w="1409"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2017–2019</w:t>
            </w:r>
          </w:p>
        </w:tc>
        <w:tc>
          <w:tcPr>
            <w:tcW w:w="4115"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הכשרת כוח אדם מיומן</w:t>
            </w:r>
          </w:p>
        </w:tc>
      </w:tr>
      <w:tr w:rsidR="00A73D0F" w:rsidRPr="005655E6" w:rsidTr="002A3D52">
        <w:tc>
          <w:tcPr>
            <w:tcW w:w="3544" w:type="dxa"/>
          </w:tcPr>
          <w:p w:rsidR="00A73D0F" w:rsidRPr="005655E6" w:rsidRDefault="00A73D0F" w:rsidP="00A73D0F">
            <w:pPr>
              <w:spacing w:after="200" w:line="360" w:lineRule="auto"/>
              <w:rPr>
                <w:rFonts w:cstheme="minorHAnsi"/>
                <w:sz w:val="24"/>
                <w:szCs w:val="24"/>
                <w:rtl/>
              </w:rPr>
            </w:pPr>
            <w:proofErr w:type="spellStart"/>
            <w:r w:rsidRPr="005655E6">
              <w:rPr>
                <w:rFonts w:cstheme="minorHAnsi"/>
                <w:sz w:val="24"/>
                <w:szCs w:val="24"/>
                <w:rtl/>
              </w:rPr>
              <w:t>תוכניות</w:t>
            </w:r>
            <w:proofErr w:type="spellEnd"/>
            <w:r w:rsidRPr="005655E6">
              <w:rPr>
                <w:rFonts w:cstheme="minorHAnsi"/>
                <w:sz w:val="24"/>
                <w:szCs w:val="24"/>
                <w:rtl/>
              </w:rPr>
              <w:t xml:space="preserve"> תמריצים שונות לקידום חדשנות ותיעוש בענף</w:t>
            </w:r>
            <w:r w:rsidRPr="005655E6">
              <w:rPr>
                <w:rFonts w:cstheme="minorHAnsi"/>
                <w:sz w:val="24"/>
                <w:szCs w:val="24"/>
                <w:vertAlign w:val="superscript"/>
                <w:rtl/>
              </w:rPr>
              <w:t>4</w:t>
            </w:r>
          </w:p>
        </w:tc>
        <w:tc>
          <w:tcPr>
            <w:tcW w:w="1409"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2019–2023</w:t>
            </w:r>
          </w:p>
        </w:tc>
        <w:tc>
          <w:tcPr>
            <w:tcW w:w="4115"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הוזלה של שילוב טכנולוגיות חדשניות בבניה</w:t>
            </w:r>
          </w:p>
        </w:tc>
      </w:tr>
      <w:tr w:rsidR="00A73D0F" w:rsidRPr="005655E6" w:rsidTr="002A3D52">
        <w:tc>
          <w:tcPr>
            <w:tcW w:w="3544"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 xml:space="preserve">הקמת צוות בין-משרדי לקידום הטמעת </w:t>
            </w:r>
            <w:r w:rsidRPr="005655E6">
              <w:rPr>
                <w:rFonts w:cstheme="minorHAnsi"/>
                <w:sz w:val="24"/>
                <w:szCs w:val="24"/>
              </w:rPr>
              <w:t>BIM</w:t>
            </w:r>
          </w:p>
        </w:tc>
        <w:tc>
          <w:tcPr>
            <w:tcW w:w="1409"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2022</w:t>
            </w:r>
          </w:p>
        </w:tc>
        <w:tc>
          <w:tcPr>
            <w:tcW w:w="4115"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 xml:space="preserve">קידום הטמעת </w:t>
            </w:r>
            <w:r w:rsidRPr="005655E6">
              <w:rPr>
                <w:rFonts w:cstheme="minorHAnsi"/>
                <w:sz w:val="24"/>
                <w:szCs w:val="24"/>
              </w:rPr>
              <w:t>BIM</w:t>
            </w:r>
            <w:r w:rsidRPr="005655E6">
              <w:rPr>
                <w:rFonts w:cstheme="minorHAnsi"/>
                <w:sz w:val="24"/>
                <w:szCs w:val="24"/>
                <w:rtl/>
              </w:rPr>
              <w:t xml:space="preserve"> לטובת קידום דיגיטציה</w:t>
            </w:r>
          </w:p>
        </w:tc>
      </w:tr>
      <w:tr w:rsidR="00A73D0F" w:rsidRPr="005655E6" w:rsidTr="002A3D52">
        <w:tc>
          <w:tcPr>
            <w:tcW w:w="3544"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 xml:space="preserve">הקמת קהילת </w:t>
            </w:r>
            <w:proofErr w:type="spellStart"/>
            <w:r w:rsidRPr="005655E6">
              <w:rPr>
                <w:rFonts w:cstheme="minorHAnsi"/>
                <w:sz w:val="24"/>
                <w:szCs w:val="24"/>
              </w:rPr>
              <w:t>ConTech</w:t>
            </w:r>
            <w:proofErr w:type="spellEnd"/>
            <w:r w:rsidRPr="005655E6">
              <w:rPr>
                <w:rFonts w:cstheme="minorHAnsi"/>
                <w:sz w:val="24"/>
                <w:szCs w:val="24"/>
                <w:rtl/>
              </w:rPr>
              <w:t xml:space="preserve"> בשיתוף עם הקבלנים</w:t>
            </w:r>
          </w:p>
        </w:tc>
        <w:tc>
          <w:tcPr>
            <w:tcW w:w="1409"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2017</w:t>
            </w:r>
          </w:p>
        </w:tc>
        <w:tc>
          <w:tcPr>
            <w:tcW w:w="4115"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 xml:space="preserve">לחבר בין סטרטאפים לבין תעשיות הבנייה והגדלת סנכרון </w:t>
            </w:r>
          </w:p>
        </w:tc>
      </w:tr>
      <w:tr w:rsidR="00A73D0F" w:rsidRPr="005655E6" w:rsidTr="002A3D52">
        <w:tc>
          <w:tcPr>
            <w:tcW w:w="3544"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מענקים להכשרה ותעסוקה של ישראלים בבנייה.</w:t>
            </w:r>
          </w:p>
        </w:tc>
        <w:tc>
          <w:tcPr>
            <w:tcW w:w="1409"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2024</w:t>
            </w:r>
          </w:p>
        </w:tc>
        <w:tc>
          <w:tcPr>
            <w:tcW w:w="4115"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הכשרת כוח אדם מיומן</w:t>
            </w:r>
          </w:p>
        </w:tc>
      </w:tr>
      <w:tr w:rsidR="00A73D0F" w:rsidRPr="005655E6" w:rsidTr="002A3D52">
        <w:tc>
          <w:tcPr>
            <w:tcW w:w="3544" w:type="dxa"/>
          </w:tcPr>
          <w:p w:rsidR="00A73D0F" w:rsidRPr="005655E6" w:rsidRDefault="00A73D0F" w:rsidP="00A73D0F">
            <w:pPr>
              <w:spacing w:after="200" w:line="360" w:lineRule="auto"/>
              <w:rPr>
                <w:rFonts w:cstheme="minorHAnsi"/>
                <w:b/>
                <w:bCs/>
                <w:sz w:val="24"/>
                <w:szCs w:val="24"/>
                <w:u w:val="single"/>
                <w:rtl/>
              </w:rPr>
            </w:pPr>
            <w:r w:rsidRPr="005655E6">
              <w:rPr>
                <w:rFonts w:cstheme="minorHAnsi"/>
                <w:sz w:val="24"/>
                <w:szCs w:val="24"/>
                <w:rtl/>
              </w:rPr>
              <w:t>סבסוד הטמעת טכנולוגיות חדשניות בענף הבנייה</w:t>
            </w:r>
            <w:r w:rsidRPr="005655E6">
              <w:rPr>
                <w:rFonts w:cstheme="minorHAnsi"/>
                <w:sz w:val="24"/>
                <w:szCs w:val="24"/>
                <w:vertAlign w:val="superscript"/>
                <w:rtl/>
              </w:rPr>
              <w:t>5</w:t>
            </w:r>
            <w:r w:rsidRPr="005655E6">
              <w:rPr>
                <w:rFonts w:cstheme="minorHAnsi"/>
                <w:sz w:val="24"/>
                <w:szCs w:val="24"/>
                <w:rtl/>
              </w:rPr>
              <w:t xml:space="preserve"> </w:t>
            </w:r>
          </w:p>
        </w:tc>
        <w:tc>
          <w:tcPr>
            <w:tcW w:w="1409"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2024</w:t>
            </w:r>
          </w:p>
        </w:tc>
        <w:tc>
          <w:tcPr>
            <w:tcW w:w="4115" w:type="dxa"/>
          </w:tcPr>
          <w:p w:rsidR="00A73D0F" w:rsidRPr="005655E6" w:rsidRDefault="00A73D0F" w:rsidP="00A73D0F">
            <w:pPr>
              <w:spacing w:after="200" w:line="360" w:lineRule="auto"/>
              <w:rPr>
                <w:rFonts w:cstheme="minorHAnsi"/>
                <w:sz w:val="24"/>
                <w:szCs w:val="24"/>
                <w:rtl/>
              </w:rPr>
            </w:pPr>
            <w:r w:rsidRPr="005655E6">
              <w:rPr>
                <w:rFonts w:cstheme="minorHAnsi"/>
                <w:sz w:val="24"/>
                <w:szCs w:val="24"/>
                <w:rtl/>
              </w:rPr>
              <w:t xml:space="preserve">הוזלה של שילוב טכנולוגיות חדשניות בענף </w:t>
            </w:r>
          </w:p>
        </w:tc>
      </w:tr>
    </w:tbl>
    <w:p w:rsidR="00A73D0F" w:rsidRPr="005655E6" w:rsidRDefault="00A73D0F" w:rsidP="00A73D0F">
      <w:pPr>
        <w:numPr>
          <w:ilvl w:val="0"/>
          <w:numId w:val="6"/>
        </w:numPr>
        <w:spacing w:line="360" w:lineRule="auto"/>
        <w:rPr>
          <w:rFonts w:cstheme="minorHAnsi"/>
          <w:sz w:val="24"/>
          <w:szCs w:val="24"/>
        </w:rPr>
      </w:pPr>
      <w:r w:rsidRPr="005655E6">
        <w:rPr>
          <w:rFonts w:cstheme="minorHAnsi"/>
          <w:sz w:val="24"/>
          <w:szCs w:val="24"/>
          <w:rtl/>
        </w:rPr>
        <w:t>שיטת "תכנן ובנה" מסתמכת על מנגנון שבו משווקים פרויקטים של לפחות 1,000 יח"ד, עבודות הפיתוח והבנייה של מתחמי מגורים מתוכננות ומבוצעות בידי אותו גורם, תוך ייעול וקיצור של הליך התכנון והבינוי ותוך דרישות לקידום תיעוש והטמעת טכנולוגיות חדשניות בבנייה. עד כה יצאו 3 מתחמים למכרז בשיטה זו תוך מעקב היישום במתחם בחריש והפקת לקחים.</w:t>
      </w:r>
    </w:p>
    <w:p w:rsidR="00A73D0F" w:rsidRPr="005655E6" w:rsidRDefault="00A73D0F" w:rsidP="00A73D0F">
      <w:pPr>
        <w:numPr>
          <w:ilvl w:val="0"/>
          <w:numId w:val="6"/>
        </w:numPr>
        <w:spacing w:line="360" w:lineRule="auto"/>
        <w:rPr>
          <w:rFonts w:cstheme="minorHAnsi"/>
          <w:sz w:val="24"/>
          <w:szCs w:val="24"/>
        </w:rPr>
      </w:pPr>
      <w:r w:rsidRPr="005655E6">
        <w:rPr>
          <w:rFonts w:cstheme="minorHAnsi"/>
          <w:sz w:val="24"/>
          <w:szCs w:val="24"/>
          <w:rtl/>
        </w:rPr>
        <w:t>התקציב בפועל הסתכם בכ-70 מיליון ש"ח, וכ-50 קבלנים קיבלו סבסוד.</w:t>
      </w:r>
    </w:p>
    <w:p w:rsidR="00A73D0F" w:rsidRPr="005655E6" w:rsidRDefault="00A73D0F" w:rsidP="00A73D0F">
      <w:pPr>
        <w:numPr>
          <w:ilvl w:val="0"/>
          <w:numId w:val="6"/>
        </w:numPr>
        <w:spacing w:line="360" w:lineRule="auto"/>
        <w:rPr>
          <w:rFonts w:cstheme="minorHAnsi"/>
          <w:sz w:val="24"/>
          <w:szCs w:val="24"/>
          <w:rtl/>
        </w:rPr>
      </w:pPr>
      <w:r w:rsidRPr="005655E6">
        <w:rPr>
          <w:rFonts w:cstheme="minorHAnsi"/>
          <w:sz w:val="24"/>
          <w:szCs w:val="24"/>
          <w:rtl/>
        </w:rPr>
        <w:t>במסגרת בחינת השפעתם של מענקי התיעוש שניתנו בענף הבנייה בשנים 2017–2019 נמצא שבשנת 2021 רמת התיעוש בקרב מקבלי המענקים הייתה גבוהה יותר מאשר בחברות המקבילות בענף ("בחינת השפעת מענקי התיעוש", פז כלכלה והנדסה, 2021. הסקר נעשה בהזמנת משרד הבינוי).</w:t>
      </w:r>
    </w:p>
    <w:p w:rsidR="00A73D0F" w:rsidRPr="005655E6" w:rsidRDefault="00A73D0F" w:rsidP="00A73D0F">
      <w:pPr>
        <w:numPr>
          <w:ilvl w:val="0"/>
          <w:numId w:val="6"/>
        </w:numPr>
        <w:spacing w:line="360" w:lineRule="auto"/>
        <w:rPr>
          <w:rFonts w:cstheme="minorHAnsi"/>
          <w:sz w:val="24"/>
          <w:szCs w:val="24"/>
          <w:rtl/>
        </w:rPr>
      </w:pPr>
      <w:r w:rsidRPr="005655E6">
        <w:rPr>
          <w:rFonts w:cstheme="minorHAnsi"/>
          <w:sz w:val="24"/>
          <w:szCs w:val="24"/>
          <w:rtl/>
        </w:rPr>
        <w:t>משרד הבינוי והשיכון בשת"פ עם הרשות לחדשנות, משרד הכלכלה ומשרדים אחרים.</w:t>
      </w:r>
    </w:p>
    <w:p w:rsidR="00A73D0F" w:rsidRPr="005655E6" w:rsidRDefault="00A73D0F" w:rsidP="00A73D0F">
      <w:pPr>
        <w:numPr>
          <w:ilvl w:val="0"/>
          <w:numId w:val="6"/>
        </w:numPr>
        <w:spacing w:line="360" w:lineRule="auto"/>
        <w:rPr>
          <w:rFonts w:cstheme="minorHAnsi"/>
          <w:sz w:val="24"/>
          <w:szCs w:val="24"/>
        </w:rPr>
      </w:pPr>
      <w:r w:rsidRPr="005655E6">
        <w:rPr>
          <w:rFonts w:cstheme="minorHAnsi"/>
          <w:sz w:val="24"/>
          <w:szCs w:val="24"/>
          <w:rtl/>
        </w:rPr>
        <w:t>הסכום שהוקצה לסבסוד החדשנות בבנייה הוא 19 מיליון ש"ח.</w:t>
      </w:r>
    </w:p>
    <w:p w:rsidR="00A73D0F" w:rsidRPr="005655E6" w:rsidRDefault="00A73D0F" w:rsidP="00A73D0F">
      <w:pPr>
        <w:spacing w:line="360" w:lineRule="auto"/>
        <w:rPr>
          <w:rFonts w:cstheme="minorHAnsi"/>
          <w:sz w:val="24"/>
          <w:szCs w:val="24"/>
          <w:rtl/>
        </w:rPr>
      </w:pPr>
    </w:p>
    <w:p w:rsidR="00A73D0F" w:rsidRPr="005655E6" w:rsidRDefault="00A73D0F" w:rsidP="00A73D0F">
      <w:pPr>
        <w:spacing w:line="360" w:lineRule="auto"/>
        <w:rPr>
          <w:rFonts w:cstheme="minorHAnsi"/>
          <w:b/>
          <w:bCs/>
          <w:sz w:val="24"/>
          <w:szCs w:val="24"/>
        </w:rPr>
      </w:pPr>
      <w:r w:rsidRPr="005655E6">
        <w:rPr>
          <w:rFonts w:cstheme="minorHAnsi"/>
          <w:b/>
          <w:bCs/>
          <w:sz w:val="24"/>
          <w:szCs w:val="24"/>
          <w:rtl/>
        </w:rPr>
        <w:lastRenderedPageBreak/>
        <w:t>סיכום ומסקנות</w:t>
      </w:r>
    </w:p>
    <w:p w:rsidR="00A73D0F" w:rsidRPr="005655E6" w:rsidRDefault="00A73D0F" w:rsidP="00A73D0F">
      <w:pPr>
        <w:spacing w:line="360" w:lineRule="auto"/>
        <w:rPr>
          <w:rFonts w:cstheme="minorHAnsi"/>
          <w:sz w:val="24"/>
          <w:szCs w:val="24"/>
          <w:rtl/>
        </w:rPr>
      </w:pPr>
      <w:r w:rsidRPr="005655E6">
        <w:rPr>
          <w:rFonts w:cstheme="minorHAnsi"/>
          <w:sz w:val="24"/>
          <w:szCs w:val="24"/>
          <w:rtl/>
        </w:rPr>
        <w:t xml:space="preserve">האם דרושה מדיניות פעילה יותר לקידום אימוץ טכנולוגיות ותיעוש בענף הבנייה, או שמא ההעדפה הנגלית של חברות הבנייה משקפת את האופטימום הרצוי לשוק? נדון בשאלה זו מארבעה היבטים: </w:t>
      </w:r>
    </w:p>
    <w:p w:rsidR="00A73D0F" w:rsidRPr="005655E6" w:rsidRDefault="00A73D0F" w:rsidP="00A73D0F">
      <w:pPr>
        <w:spacing w:line="360" w:lineRule="auto"/>
        <w:rPr>
          <w:rFonts w:cstheme="minorHAnsi"/>
          <w:sz w:val="24"/>
          <w:szCs w:val="24"/>
          <w:rtl/>
        </w:rPr>
      </w:pPr>
      <w:r w:rsidRPr="005655E6">
        <w:rPr>
          <w:rFonts w:cstheme="minorHAnsi"/>
          <w:b/>
          <w:bCs/>
          <w:sz w:val="24"/>
          <w:szCs w:val="24"/>
          <w:rtl/>
        </w:rPr>
        <w:t>התעסוקה:</w:t>
      </w:r>
      <w:r w:rsidRPr="005655E6">
        <w:rPr>
          <w:rFonts w:cstheme="minorHAnsi"/>
          <w:sz w:val="24"/>
          <w:szCs w:val="24"/>
          <w:rtl/>
        </w:rPr>
        <w:t xml:space="preserve"> ייתכן שהזמינות של עובדים לא-ישראלים זולים ומחסור בעובדים מיומנים מסבירים את המוטיבציה הנמוכה של חברות לקדם השקעה בהון פיזי ובחדשנות. ואולם התלות בעובדים לא-ישראלים היא מקור לחוסר יציבות בענף, שאותה יש להביא בחשבון במדיניות התעסוקה בו (להרחבה ראה תיבה ה'-1). לממשלה יש תפקיד חשוב בהכשרת כוח אדם מיומן לענף, שאותה יש לתאם עם הפעלת כלי מדיניות אחרים בנושא. </w:t>
      </w:r>
    </w:p>
    <w:p w:rsidR="00A73D0F" w:rsidRPr="005655E6" w:rsidRDefault="00A73D0F" w:rsidP="00A73D0F">
      <w:pPr>
        <w:spacing w:line="360" w:lineRule="auto"/>
        <w:rPr>
          <w:rFonts w:cstheme="minorHAnsi"/>
          <w:sz w:val="24"/>
          <w:szCs w:val="24"/>
          <w:rtl/>
        </w:rPr>
      </w:pPr>
      <w:r w:rsidRPr="005655E6">
        <w:rPr>
          <w:rFonts w:cstheme="minorHAnsi"/>
          <w:b/>
          <w:bCs/>
          <w:sz w:val="24"/>
          <w:szCs w:val="24"/>
          <w:rtl/>
        </w:rPr>
        <w:t>החסמים:</w:t>
      </w:r>
      <w:r w:rsidRPr="005655E6">
        <w:rPr>
          <w:rFonts w:cstheme="minorHAnsi"/>
          <w:sz w:val="24"/>
          <w:szCs w:val="24"/>
          <w:rtl/>
        </w:rPr>
        <w:t xml:space="preserve"> הממשלה יכולה להסיר חסמים הפוגעים ביעילות באמצעות ביטול רגולציה עודפת, שמגבילה אימוץ חדשנות, או באמצעות נקיטת רגולציה חדשה במקרים שבהם זו עשויה להגדיל את התיאום הן בין החברות בשוק והן בין החברות לבין גורמים נוספים כגון רשויות מקומיות (למשל סטנדרטיזציה של תהליכי התכנון). הממשלה יכולה לסייע גם בהפגת חששות של הצרכנים באמצעות </w:t>
      </w:r>
      <w:proofErr w:type="spellStart"/>
      <w:r w:rsidRPr="005655E6">
        <w:rPr>
          <w:rFonts w:cstheme="minorHAnsi"/>
          <w:sz w:val="24"/>
          <w:szCs w:val="24"/>
          <w:rtl/>
        </w:rPr>
        <w:t>הנגשת</w:t>
      </w:r>
      <w:proofErr w:type="spellEnd"/>
      <w:r w:rsidRPr="005655E6">
        <w:rPr>
          <w:rFonts w:cstheme="minorHAnsi"/>
          <w:sz w:val="24"/>
          <w:szCs w:val="24"/>
          <w:rtl/>
        </w:rPr>
        <w:t xml:space="preserve"> מידע על שיטות בנייה חדשניות. יצירת ביקושים של הממשלה לבנייה חדשנית, לפחות לזמן מוגבל, עשויה גם היא לתרום לפיתוח שוק "בוגר" של בנייה חדשנית, כפי שנעשה במדינות אחרות.</w:t>
      </w:r>
    </w:p>
    <w:p w:rsidR="00A73D0F" w:rsidRPr="005655E6" w:rsidRDefault="00A73D0F" w:rsidP="00A73D0F">
      <w:pPr>
        <w:spacing w:line="360" w:lineRule="auto"/>
        <w:rPr>
          <w:rFonts w:cstheme="minorHAnsi"/>
          <w:b/>
          <w:bCs/>
          <w:sz w:val="24"/>
          <w:szCs w:val="24"/>
          <w:rtl/>
        </w:rPr>
      </w:pPr>
    </w:p>
    <w:p w:rsidR="00A73D0F" w:rsidRPr="005655E6" w:rsidRDefault="00A73D0F" w:rsidP="00A73D0F">
      <w:pPr>
        <w:spacing w:line="360" w:lineRule="auto"/>
        <w:rPr>
          <w:rFonts w:cstheme="minorHAnsi"/>
          <w:sz w:val="24"/>
          <w:szCs w:val="24"/>
          <w:rtl/>
        </w:rPr>
      </w:pPr>
      <w:r w:rsidRPr="005655E6">
        <w:rPr>
          <w:rFonts w:cstheme="minorHAnsi"/>
          <w:b/>
          <w:bCs/>
          <w:sz w:val="24"/>
          <w:szCs w:val="24"/>
          <w:rtl/>
        </w:rPr>
        <w:t>סבסוד הטמעת חדשנות.</w:t>
      </w:r>
      <w:r w:rsidRPr="005655E6">
        <w:rPr>
          <w:rFonts w:cstheme="minorHAnsi"/>
          <w:sz w:val="24"/>
          <w:szCs w:val="24"/>
          <w:rtl/>
        </w:rPr>
        <w:t xml:space="preserve"> סבסוד לזמן מוגבל של קידום תיעוש וחדשנות, בפרט עבור חברות קטנות ובינוניות, עשוי להועיל לקידום החדשנות. ואולם יש לשקול הרחבה של מדיניות הסבסוד הקיימת תוך הכרה בתמריץ העסקי של החברות לצמצם עלויות ולהגדיל את הפריון באמצעות טכנולוגיה, ותוך תיאום התמריצים עם מדיניות ההעסקה של לא-ישראלים.</w:t>
      </w:r>
    </w:p>
    <w:p w:rsidR="00A73D0F" w:rsidRPr="005655E6" w:rsidRDefault="00A73D0F" w:rsidP="00A73D0F">
      <w:pPr>
        <w:spacing w:line="360" w:lineRule="auto"/>
        <w:rPr>
          <w:rFonts w:cstheme="minorHAnsi"/>
          <w:sz w:val="24"/>
          <w:szCs w:val="24"/>
          <w:rtl/>
        </w:rPr>
      </w:pPr>
      <w:r w:rsidRPr="005655E6">
        <w:rPr>
          <w:rFonts w:cstheme="minorHAnsi"/>
          <w:b/>
          <w:bCs/>
          <w:sz w:val="24"/>
          <w:szCs w:val="24"/>
          <w:rtl/>
        </w:rPr>
        <w:t>השפעות חיצוניות:</w:t>
      </w:r>
      <w:r w:rsidRPr="005655E6">
        <w:rPr>
          <w:rFonts w:cstheme="minorHAnsi"/>
          <w:sz w:val="24"/>
          <w:szCs w:val="24"/>
          <w:rtl/>
        </w:rPr>
        <w:t xml:space="preserve"> בחדשנות בבנייה טמונות תועלות חיצוניות שחברות הבנייה אינן מביאות בחשבון: צמצום בכמות פסולת בניין ונזקי רעש, הפחתת זיהום בקרבת האתרים ושיפור הבטיחות באתרים. אלו מצדיקות סבסוד מסוים של חדשנות, לצד רגולציה שתביא להפנמת העלויות החיצוניות בפעילות חברות הבנייה.</w:t>
      </w:r>
    </w:p>
    <w:p w:rsidR="00A73D0F" w:rsidRPr="005655E6" w:rsidRDefault="00A73D0F" w:rsidP="00A73D0F">
      <w:pPr>
        <w:spacing w:line="360" w:lineRule="auto"/>
        <w:rPr>
          <w:rFonts w:cstheme="minorHAnsi"/>
          <w:sz w:val="24"/>
          <w:szCs w:val="24"/>
          <w:rtl/>
        </w:rPr>
      </w:pPr>
    </w:p>
    <w:p w:rsidR="00A73D0F" w:rsidRPr="005655E6" w:rsidRDefault="00A73D0F" w:rsidP="00A73D0F">
      <w:pPr>
        <w:spacing w:line="360" w:lineRule="auto"/>
        <w:rPr>
          <w:rFonts w:cstheme="minorHAnsi"/>
          <w:b/>
          <w:bCs/>
          <w:sz w:val="24"/>
          <w:szCs w:val="24"/>
          <w:rtl/>
        </w:rPr>
      </w:pPr>
    </w:p>
    <w:p w:rsidR="00A73D0F" w:rsidRPr="005655E6" w:rsidRDefault="00A73D0F" w:rsidP="00A73D0F">
      <w:pPr>
        <w:spacing w:line="360" w:lineRule="auto"/>
        <w:rPr>
          <w:rFonts w:cstheme="minorHAnsi"/>
          <w:b/>
          <w:bCs/>
          <w:sz w:val="24"/>
          <w:szCs w:val="24"/>
          <w:rtl/>
        </w:rPr>
      </w:pPr>
    </w:p>
    <w:p w:rsidR="00A73D0F" w:rsidRPr="005655E6" w:rsidRDefault="00A73D0F" w:rsidP="00A73D0F">
      <w:pPr>
        <w:spacing w:line="360" w:lineRule="auto"/>
        <w:rPr>
          <w:rFonts w:cstheme="minorHAnsi"/>
          <w:b/>
          <w:bCs/>
          <w:sz w:val="24"/>
          <w:szCs w:val="24"/>
          <w:rtl/>
        </w:rPr>
      </w:pPr>
    </w:p>
    <w:p w:rsidR="00A73D0F" w:rsidRPr="005655E6" w:rsidRDefault="00A73D0F" w:rsidP="00A73D0F">
      <w:pPr>
        <w:spacing w:line="360" w:lineRule="auto"/>
        <w:rPr>
          <w:rFonts w:cstheme="minorHAnsi"/>
          <w:b/>
          <w:bCs/>
          <w:sz w:val="24"/>
          <w:szCs w:val="24"/>
          <w:rtl/>
        </w:rPr>
      </w:pPr>
    </w:p>
    <w:p w:rsidR="00A73D0F" w:rsidRPr="005655E6" w:rsidRDefault="00A73D0F" w:rsidP="00A73D0F">
      <w:pPr>
        <w:spacing w:line="360" w:lineRule="auto"/>
        <w:rPr>
          <w:rFonts w:cstheme="minorHAnsi"/>
          <w:b/>
          <w:bCs/>
          <w:sz w:val="20"/>
          <w:szCs w:val="20"/>
          <w:rtl/>
        </w:rPr>
      </w:pPr>
      <w:r w:rsidRPr="005655E6">
        <w:rPr>
          <w:rFonts w:cstheme="minorHAnsi"/>
          <w:b/>
          <w:bCs/>
          <w:sz w:val="20"/>
          <w:szCs w:val="20"/>
          <w:rtl/>
        </w:rPr>
        <w:lastRenderedPageBreak/>
        <w:t>מקורות</w:t>
      </w:r>
    </w:p>
    <w:p w:rsidR="00A73D0F" w:rsidRPr="005655E6" w:rsidRDefault="00A73D0F" w:rsidP="00A73D0F">
      <w:pPr>
        <w:spacing w:line="360" w:lineRule="auto"/>
        <w:rPr>
          <w:rFonts w:cstheme="minorHAnsi"/>
          <w:sz w:val="20"/>
          <w:szCs w:val="20"/>
          <w:rtl/>
        </w:rPr>
      </w:pPr>
      <w:r w:rsidRPr="005655E6">
        <w:rPr>
          <w:rFonts w:cstheme="minorHAnsi"/>
          <w:sz w:val="20"/>
          <w:szCs w:val="20"/>
          <w:rtl/>
        </w:rPr>
        <w:t>בנק ישראל (2023). "התפתחות פריון העבדה בישראל בעשור האחרון" בתוך: דוח בנק ישראל לשנת 2022 – פרק ה'.</w:t>
      </w:r>
    </w:p>
    <w:p w:rsidR="00A73D0F" w:rsidRPr="005655E6" w:rsidRDefault="00A73D0F" w:rsidP="00A73D0F">
      <w:pPr>
        <w:spacing w:line="360" w:lineRule="auto"/>
        <w:rPr>
          <w:rFonts w:cstheme="minorHAnsi"/>
          <w:sz w:val="20"/>
          <w:szCs w:val="20"/>
          <w:rtl/>
        </w:rPr>
      </w:pPr>
      <w:r w:rsidRPr="005655E6">
        <w:rPr>
          <w:rFonts w:cstheme="minorHAnsi"/>
          <w:sz w:val="20"/>
          <w:szCs w:val="20"/>
          <w:rtl/>
        </w:rPr>
        <w:t xml:space="preserve">בנק ישראל (2016). "מיומנויות היסוד של העובדים בישראל והפריון בענפי המשק", </w:t>
      </w:r>
      <w:r w:rsidRPr="005655E6">
        <w:rPr>
          <w:rFonts w:cstheme="minorHAnsi"/>
          <w:i/>
          <w:iCs/>
          <w:sz w:val="20"/>
          <w:szCs w:val="20"/>
          <w:rtl/>
        </w:rPr>
        <w:t xml:space="preserve">הסקירה הפיסקלית התקופתית ולקט ניתוחים מחקריים </w:t>
      </w:r>
      <w:r w:rsidRPr="005655E6">
        <w:rPr>
          <w:rFonts w:cstheme="minorHAnsi"/>
          <w:sz w:val="20"/>
          <w:szCs w:val="20"/>
          <w:rtl/>
        </w:rPr>
        <w:t>מס' 141.</w:t>
      </w:r>
    </w:p>
    <w:p w:rsidR="00A73D0F" w:rsidRPr="005655E6" w:rsidRDefault="00A73D0F" w:rsidP="00A73D0F">
      <w:pPr>
        <w:spacing w:line="360" w:lineRule="auto"/>
        <w:rPr>
          <w:rFonts w:cstheme="minorHAnsi"/>
          <w:sz w:val="20"/>
          <w:szCs w:val="20"/>
          <w:rtl/>
        </w:rPr>
      </w:pPr>
      <w:r w:rsidRPr="005655E6">
        <w:rPr>
          <w:rFonts w:cstheme="minorHAnsi"/>
          <w:sz w:val="20"/>
          <w:szCs w:val="20"/>
          <w:rtl/>
        </w:rPr>
        <w:t xml:space="preserve">בקר, ר' יאשה (יעקב) </w:t>
      </w:r>
      <w:proofErr w:type="spellStart"/>
      <w:r w:rsidRPr="005655E6">
        <w:rPr>
          <w:rFonts w:cstheme="minorHAnsi"/>
          <w:sz w:val="20"/>
          <w:szCs w:val="20"/>
          <w:rtl/>
        </w:rPr>
        <w:t>גרובמן</w:t>
      </w:r>
      <w:proofErr w:type="spellEnd"/>
      <w:r w:rsidRPr="005655E6">
        <w:rPr>
          <w:rFonts w:cstheme="minorHAnsi"/>
          <w:sz w:val="20"/>
          <w:szCs w:val="20"/>
          <w:rtl/>
        </w:rPr>
        <w:t xml:space="preserve">, גבי רביב, יחיאל רוזנפלד, ניר חן, גבי טרכטנברג, איתי </w:t>
      </w:r>
      <w:proofErr w:type="spellStart"/>
      <w:r w:rsidRPr="005655E6">
        <w:rPr>
          <w:rFonts w:cstheme="minorHAnsi"/>
          <w:sz w:val="20"/>
          <w:szCs w:val="20"/>
          <w:rtl/>
        </w:rPr>
        <w:t>לויתן</w:t>
      </w:r>
      <w:proofErr w:type="spellEnd"/>
      <w:r w:rsidRPr="005655E6">
        <w:rPr>
          <w:rFonts w:cstheme="minorHAnsi"/>
          <w:sz w:val="20"/>
          <w:szCs w:val="20"/>
          <w:rtl/>
        </w:rPr>
        <w:t xml:space="preserve">, עתיר מעין ומיכאל תבור, (2019). "תיעוש הבניה למגורים באמצעות יחידות מודולריות תלת </w:t>
      </w:r>
      <w:proofErr w:type="spellStart"/>
      <w:r w:rsidRPr="005655E6">
        <w:rPr>
          <w:rFonts w:cstheme="minorHAnsi"/>
          <w:sz w:val="20"/>
          <w:szCs w:val="20"/>
          <w:rtl/>
        </w:rPr>
        <w:t>מימדיות</w:t>
      </w:r>
      <w:proofErr w:type="spellEnd"/>
      <w:r w:rsidRPr="005655E6">
        <w:rPr>
          <w:rFonts w:cstheme="minorHAnsi"/>
          <w:sz w:val="20"/>
          <w:szCs w:val="20"/>
          <w:rtl/>
        </w:rPr>
        <w:t>-היבטים אדריכליים, הנדסיים וביצועיים", המכון לחקר הבנייה, הטכניון, חיפה</w:t>
      </w:r>
    </w:p>
    <w:p w:rsidR="00A73D0F" w:rsidRPr="005655E6" w:rsidRDefault="00A73D0F" w:rsidP="00A73D0F">
      <w:pPr>
        <w:spacing w:line="360" w:lineRule="auto"/>
        <w:rPr>
          <w:rFonts w:cstheme="minorHAnsi"/>
          <w:sz w:val="20"/>
          <w:szCs w:val="20"/>
          <w:rtl/>
        </w:rPr>
      </w:pPr>
      <w:proofErr w:type="spellStart"/>
      <w:r w:rsidRPr="005655E6">
        <w:rPr>
          <w:rFonts w:cstheme="minorHAnsi"/>
          <w:sz w:val="20"/>
          <w:szCs w:val="20"/>
          <w:rtl/>
        </w:rPr>
        <w:t>זיצ'יק</w:t>
      </w:r>
      <w:proofErr w:type="spellEnd"/>
      <w:r w:rsidRPr="005655E6">
        <w:rPr>
          <w:rFonts w:cstheme="minorHAnsi"/>
          <w:sz w:val="20"/>
          <w:szCs w:val="20"/>
          <w:rtl/>
        </w:rPr>
        <w:t>, ע., ר' זקס, א' בנטור וס' שמואלי (2022). צעדים לקידום חדשנות בענף הבנייה בישראל. המכון הלאומי לחקר הבנייה, הטכניון, חיפה.</w:t>
      </w:r>
    </w:p>
    <w:p w:rsidR="00A73D0F" w:rsidRPr="005655E6" w:rsidRDefault="00A73D0F" w:rsidP="00A73D0F">
      <w:pPr>
        <w:spacing w:line="360" w:lineRule="auto"/>
        <w:rPr>
          <w:rFonts w:cstheme="minorHAnsi"/>
          <w:sz w:val="20"/>
          <w:szCs w:val="20"/>
          <w:rtl/>
        </w:rPr>
      </w:pPr>
      <w:r w:rsidRPr="005655E6">
        <w:rPr>
          <w:rFonts w:cstheme="minorHAnsi"/>
          <w:sz w:val="20"/>
          <w:szCs w:val="20"/>
          <w:rtl/>
        </w:rPr>
        <w:t>משרד הבינוי והשיכון (2016). "תיעוש והגדלת פריון העבודה בענף הבנייה", ההחלטה מאמצת את ממצאי המסמך שיצא ביוזמת משרד הבינוי והשיכון – אגף לתכנון אסטרטגי ומדיניות "</w:t>
      </w:r>
      <w:proofErr w:type="spellStart"/>
      <w:r w:rsidRPr="005655E6">
        <w:rPr>
          <w:rFonts w:cstheme="minorHAnsi"/>
          <w:sz w:val="20"/>
          <w:szCs w:val="20"/>
          <w:rtl/>
        </w:rPr>
        <w:t>תוכנית</w:t>
      </w:r>
      <w:proofErr w:type="spellEnd"/>
      <w:r w:rsidRPr="005655E6">
        <w:rPr>
          <w:rFonts w:cstheme="minorHAnsi"/>
          <w:sz w:val="20"/>
          <w:szCs w:val="20"/>
          <w:rtl/>
        </w:rPr>
        <w:t xml:space="preserve"> לתיעוש ענף הבנייה בישראל – מסמך מסכם".</w:t>
      </w:r>
    </w:p>
    <w:p w:rsidR="00A73D0F" w:rsidRPr="005655E6" w:rsidRDefault="00A73D0F" w:rsidP="00A73D0F">
      <w:pPr>
        <w:spacing w:line="360" w:lineRule="auto"/>
        <w:rPr>
          <w:rFonts w:cstheme="minorHAnsi"/>
          <w:sz w:val="20"/>
          <w:szCs w:val="20"/>
          <w:rtl/>
        </w:rPr>
      </w:pPr>
      <w:r w:rsidRPr="005655E6">
        <w:rPr>
          <w:rFonts w:cstheme="minorHAnsi"/>
          <w:sz w:val="20"/>
          <w:szCs w:val="20"/>
          <w:rtl/>
        </w:rPr>
        <w:t xml:space="preserve">רוזנפלד, י., ח' בן-עוז </w:t>
      </w:r>
      <w:proofErr w:type="spellStart"/>
      <w:r w:rsidRPr="005655E6">
        <w:rPr>
          <w:rFonts w:cstheme="minorHAnsi"/>
          <w:sz w:val="20"/>
          <w:szCs w:val="20"/>
          <w:rtl/>
        </w:rPr>
        <w:t>וש</w:t>
      </w:r>
      <w:proofErr w:type="spellEnd"/>
      <w:r w:rsidRPr="005655E6">
        <w:rPr>
          <w:rFonts w:cstheme="minorHAnsi"/>
          <w:sz w:val="20"/>
          <w:szCs w:val="20"/>
          <w:rtl/>
        </w:rPr>
        <w:t xml:space="preserve">. ברד-תורגמן (2021). אסטרטגיה למינוף </w:t>
      </w:r>
      <w:proofErr w:type="spellStart"/>
      <w:r w:rsidRPr="005655E6">
        <w:rPr>
          <w:rFonts w:cstheme="minorHAnsi"/>
          <w:sz w:val="20"/>
          <w:szCs w:val="20"/>
          <w:rtl/>
        </w:rPr>
        <w:t>תוכנית</w:t>
      </w:r>
      <w:proofErr w:type="spellEnd"/>
      <w:r w:rsidRPr="005655E6">
        <w:rPr>
          <w:rFonts w:cstheme="minorHAnsi"/>
          <w:sz w:val="20"/>
          <w:szCs w:val="20"/>
          <w:rtl/>
        </w:rPr>
        <w:t xml:space="preserve"> "תכנן ובנה"</w:t>
      </w:r>
    </w:p>
    <w:p w:rsidR="00A73D0F" w:rsidRPr="005655E6" w:rsidRDefault="00A73D0F" w:rsidP="00A73D0F">
      <w:pPr>
        <w:spacing w:line="360" w:lineRule="auto"/>
        <w:rPr>
          <w:rFonts w:cstheme="minorHAnsi"/>
          <w:sz w:val="20"/>
          <w:szCs w:val="20"/>
          <w:rtl/>
        </w:rPr>
      </w:pPr>
      <w:r w:rsidRPr="005655E6">
        <w:rPr>
          <w:rFonts w:cstheme="minorHAnsi"/>
          <w:sz w:val="20"/>
          <w:szCs w:val="20"/>
          <w:rtl/>
        </w:rPr>
        <w:t>לקידום תיעוש הבנייה ואיכות החיים בישראל. המכון הלאומי לחקר הבנייה, הטכניון, חיפה.</w:t>
      </w:r>
    </w:p>
    <w:p w:rsidR="00A73D0F" w:rsidRPr="005655E6" w:rsidRDefault="00A73D0F" w:rsidP="00A73D0F">
      <w:pPr>
        <w:spacing w:line="360" w:lineRule="auto"/>
        <w:rPr>
          <w:rFonts w:cstheme="minorHAnsi"/>
          <w:sz w:val="20"/>
          <w:szCs w:val="20"/>
          <w:rtl/>
        </w:rPr>
      </w:pPr>
      <w:r w:rsidRPr="005655E6">
        <w:rPr>
          <w:rFonts w:cstheme="minorHAnsi"/>
          <w:sz w:val="20"/>
          <w:szCs w:val="20"/>
          <w:rtl/>
        </w:rPr>
        <w:t>בהזמנת משרד הבינוי והשיכון.</w:t>
      </w:r>
    </w:p>
    <w:p w:rsidR="00A73D0F" w:rsidRPr="005655E6" w:rsidRDefault="00A73D0F" w:rsidP="00A73D0F">
      <w:pPr>
        <w:spacing w:line="360" w:lineRule="auto"/>
        <w:rPr>
          <w:rFonts w:cstheme="minorHAnsi"/>
          <w:sz w:val="20"/>
          <w:szCs w:val="20"/>
        </w:rPr>
      </w:pPr>
      <w:proofErr w:type="spellStart"/>
      <w:r w:rsidRPr="005655E6">
        <w:rPr>
          <w:rFonts w:cstheme="minorHAnsi"/>
          <w:sz w:val="20"/>
          <w:szCs w:val="20"/>
        </w:rPr>
        <w:t>Demirkesen</w:t>
      </w:r>
      <w:proofErr w:type="spellEnd"/>
      <w:r w:rsidRPr="005655E6">
        <w:rPr>
          <w:rFonts w:cstheme="minorHAnsi"/>
          <w:sz w:val="20"/>
          <w:szCs w:val="20"/>
        </w:rPr>
        <w:t>, S</w:t>
      </w:r>
      <w:proofErr w:type="gramStart"/>
      <w:r w:rsidRPr="005655E6">
        <w:rPr>
          <w:rFonts w:cstheme="minorHAnsi"/>
          <w:sz w:val="20"/>
          <w:szCs w:val="20"/>
        </w:rPr>
        <w:t>.&amp;</w:t>
      </w:r>
      <w:proofErr w:type="gramEnd"/>
      <w:r w:rsidRPr="005655E6" w:rsidDel="00C14E68">
        <w:rPr>
          <w:rFonts w:cstheme="minorHAnsi"/>
          <w:sz w:val="20"/>
          <w:szCs w:val="20"/>
        </w:rPr>
        <w:t xml:space="preserve"> </w:t>
      </w:r>
      <w:r w:rsidRPr="005655E6">
        <w:rPr>
          <w:rFonts w:cstheme="minorHAnsi"/>
          <w:sz w:val="20"/>
          <w:szCs w:val="20"/>
        </w:rPr>
        <w:t xml:space="preserve">A. Tezel (2022). “Investigating major challenges for industry 4.0 adoption among construction companies”, </w:t>
      </w:r>
      <w:r w:rsidRPr="005655E6">
        <w:rPr>
          <w:rFonts w:cstheme="minorHAnsi"/>
          <w:i/>
          <w:iCs/>
          <w:sz w:val="20"/>
          <w:szCs w:val="20"/>
        </w:rPr>
        <w:t xml:space="preserve">Eng. Construct. Architect. </w:t>
      </w:r>
      <w:proofErr w:type="spellStart"/>
      <w:r w:rsidRPr="005655E6">
        <w:rPr>
          <w:rFonts w:cstheme="minorHAnsi"/>
          <w:i/>
          <w:iCs/>
          <w:sz w:val="20"/>
          <w:szCs w:val="20"/>
        </w:rPr>
        <w:t>Manag</w:t>
      </w:r>
      <w:proofErr w:type="spellEnd"/>
      <w:r w:rsidRPr="005655E6">
        <w:rPr>
          <w:rFonts w:cstheme="minorHAnsi"/>
          <w:sz w:val="20"/>
          <w:szCs w:val="20"/>
        </w:rPr>
        <w:t xml:space="preserve">. </w:t>
      </w:r>
      <w:proofErr w:type="gramStart"/>
      <w:r w:rsidRPr="005655E6">
        <w:rPr>
          <w:rFonts w:cstheme="minorHAnsi"/>
          <w:sz w:val="20"/>
          <w:szCs w:val="20"/>
        </w:rPr>
        <w:t>29</w:t>
      </w:r>
      <w:proofErr w:type="gramEnd"/>
      <w:r w:rsidRPr="005655E6">
        <w:rPr>
          <w:rFonts w:cstheme="minorHAnsi"/>
          <w:sz w:val="20"/>
          <w:szCs w:val="20"/>
        </w:rPr>
        <w:t xml:space="preserve"> (3)</w:t>
      </w:r>
      <w:r w:rsidRPr="005655E6">
        <w:rPr>
          <w:rFonts w:cstheme="minorHAnsi"/>
          <w:sz w:val="20"/>
          <w:szCs w:val="20"/>
          <w:rtl/>
        </w:rPr>
        <w:t xml:space="preserve"> 1470–1503. </w:t>
      </w:r>
    </w:p>
    <w:p w:rsidR="00A73D0F" w:rsidRPr="005655E6" w:rsidRDefault="00A73D0F" w:rsidP="00A73D0F">
      <w:pPr>
        <w:spacing w:line="360" w:lineRule="auto"/>
        <w:rPr>
          <w:rFonts w:cstheme="minorHAnsi"/>
          <w:sz w:val="20"/>
          <w:szCs w:val="20"/>
          <w:rtl/>
        </w:rPr>
      </w:pPr>
      <w:r w:rsidRPr="005655E6">
        <w:rPr>
          <w:rFonts w:cstheme="minorHAnsi"/>
          <w:sz w:val="20"/>
          <w:szCs w:val="20"/>
        </w:rPr>
        <w:t xml:space="preserve">Farmer, M. (2016). The Farmer Review of the UK Construction </w:t>
      </w:r>
      <w:proofErr w:type="spellStart"/>
      <w:r w:rsidRPr="005655E6">
        <w:rPr>
          <w:rFonts w:cstheme="minorHAnsi"/>
          <w:sz w:val="20"/>
          <w:szCs w:val="20"/>
        </w:rPr>
        <w:t>Labour</w:t>
      </w:r>
      <w:proofErr w:type="spellEnd"/>
      <w:r w:rsidRPr="005655E6">
        <w:rPr>
          <w:rFonts w:cstheme="minorHAnsi"/>
          <w:sz w:val="20"/>
          <w:szCs w:val="20"/>
        </w:rPr>
        <w:t xml:space="preserve"> Model - </w:t>
      </w:r>
      <w:proofErr w:type="spellStart"/>
      <w:r w:rsidRPr="005655E6">
        <w:rPr>
          <w:rFonts w:cstheme="minorHAnsi"/>
          <w:sz w:val="20"/>
          <w:szCs w:val="20"/>
        </w:rPr>
        <w:t>Modernise</w:t>
      </w:r>
      <w:proofErr w:type="spellEnd"/>
      <w:r w:rsidRPr="005655E6">
        <w:rPr>
          <w:rFonts w:cstheme="minorHAnsi"/>
          <w:sz w:val="20"/>
          <w:szCs w:val="20"/>
        </w:rPr>
        <w:t xml:space="preserve"> or Die Time to decide the industry’s future. UK: Construction Leadership Council (CLC)</w:t>
      </w:r>
      <w:r w:rsidRPr="005655E6">
        <w:rPr>
          <w:rFonts w:cstheme="minorHAnsi"/>
          <w:sz w:val="20"/>
          <w:szCs w:val="20"/>
          <w:rtl/>
        </w:rPr>
        <w:t>.</w:t>
      </w:r>
    </w:p>
    <w:p w:rsidR="00A73D0F" w:rsidRPr="005655E6" w:rsidRDefault="00A73D0F" w:rsidP="00A73D0F">
      <w:pPr>
        <w:spacing w:line="360" w:lineRule="auto"/>
        <w:rPr>
          <w:rFonts w:cstheme="minorHAnsi"/>
          <w:sz w:val="20"/>
          <w:szCs w:val="20"/>
        </w:rPr>
      </w:pPr>
      <w:proofErr w:type="gramStart"/>
      <w:r w:rsidRPr="005655E6">
        <w:rPr>
          <w:rFonts w:cstheme="minorHAnsi"/>
          <w:sz w:val="20"/>
          <w:szCs w:val="20"/>
        </w:rPr>
        <w:t>van</w:t>
      </w:r>
      <w:proofErr w:type="gramEnd"/>
      <w:r w:rsidRPr="005655E6">
        <w:rPr>
          <w:rFonts w:cstheme="minorHAnsi"/>
          <w:sz w:val="20"/>
          <w:szCs w:val="20"/>
        </w:rPr>
        <w:t xml:space="preserve"> der </w:t>
      </w:r>
      <w:proofErr w:type="spellStart"/>
      <w:r w:rsidRPr="005655E6">
        <w:rPr>
          <w:rFonts w:cstheme="minorHAnsi"/>
          <w:sz w:val="20"/>
          <w:szCs w:val="20"/>
        </w:rPr>
        <w:t>Heijden</w:t>
      </w:r>
      <w:proofErr w:type="spellEnd"/>
      <w:r w:rsidRPr="005655E6">
        <w:rPr>
          <w:rFonts w:cstheme="minorHAnsi"/>
          <w:sz w:val="20"/>
          <w:szCs w:val="20"/>
        </w:rPr>
        <w:t xml:space="preserve">, J. (2023). Construction 4.0 in a narrow and broad sense: A systematic and comprehensive literature review, </w:t>
      </w:r>
      <w:r w:rsidRPr="005655E6">
        <w:rPr>
          <w:rFonts w:cstheme="minorHAnsi"/>
          <w:i/>
          <w:iCs/>
          <w:sz w:val="20"/>
          <w:szCs w:val="20"/>
        </w:rPr>
        <w:t>Building and Environment</w:t>
      </w:r>
      <w:r w:rsidRPr="005655E6">
        <w:rPr>
          <w:rFonts w:cstheme="minorHAnsi"/>
          <w:sz w:val="20"/>
          <w:szCs w:val="20"/>
        </w:rPr>
        <w:t xml:space="preserve">, 244. </w:t>
      </w:r>
    </w:p>
    <w:p w:rsidR="00A73D0F" w:rsidRPr="005655E6" w:rsidRDefault="00A73D0F" w:rsidP="00A73D0F">
      <w:pPr>
        <w:spacing w:line="360" w:lineRule="auto"/>
        <w:rPr>
          <w:rFonts w:cstheme="minorHAnsi"/>
          <w:sz w:val="20"/>
          <w:szCs w:val="20"/>
          <w:rtl/>
        </w:rPr>
      </w:pPr>
      <w:proofErr w:type="spellStart"/>
      <w:r w:rsidRPr="005655E6">
        <w:rPr>
          <w:rFonts w:cstheme="minorHAnsi"/>
          <w:sz w:val="20"/>
          <w:szCs w:val="20"/>
        </w:rPr>
        <w:t>Panteli</w:t>
      </w:r>
      <w:proofErr w:type="spellEnd"/>
      <w:r w:rsidRPr="005655E6">
        <w:rPr>
          <w:rFonts w:cstheme="minorHAnsi"/>
          <w:sz w:val="20"/>
          <w:szCs w:val="20"/>
        </w:rPr>
        <w:t xml:space="preserve">, C., K. </w:t>
      </w:r>
      <w:proofErr w:type="spellStart"/>
      <w:r w:rsidRPr="005655E6">
        <w:rPr>
          <w:rFonts w:cstheme="minorHAnsi"/>
          <w:sz w:val="20"/>
          <w:szCs w:val="20"/>
        </w:rPr>
        <w:t>Polycarpou</w:t>
      </w:r>
      <w:proofErr w:type="spellEnd"/>
      <w:r w:rsidRPr="005655E6">
        <w:rPr>
          <w:rFonts w:cstheme="minorHAnsi"/>
          <w:sz w:val="20"/>
          <w:szCs w:val="20"/>
        </w:rPr>
        <w:t xml:space="preserve">, F.Z. </w:t>
      </w:r>
      <w:proofErr w:type="spellStart"/>
      <w:r w:rsidRPr="005655E6">
        <w:rPr>
          <w:rFonts w:cstheme="minorHAnsi"/>
          <w:sz w:val="20"/>
          <w:szCs w:val="20"/>
        </w:rPr>
        <w:t>Morsink-Georgalli</w:t>
      </w:r>
      <w:proofErr w:type="spellEnd"/>
      <w:r w:rsidRPr="005655E6">
        <w:rPr>
          <w:rFonts w:cstheme="minorHAnsi"/>
          <w:sz w:val="20"/>
          <w:szCs w:val="20"/>
        </w:rPr>
        <w:t xml:space="preserve">, L. </w:t>
      </w:r>
      <w:proofErr w:type="spellStart"/>
      <w:r w:rsidRPr="005655E6">
        <w:rPr>
          <w:rFonts w:cstheme="minorHAnsi"/>
          <w:sz w:val="20"/>
          <w:szCs w:val="20"/>
        </w:rPr>
        <w:t>Stasiuliene</w:t>
      </w:r>
      <w:proofErr w:type="spellEnd"/>
      <w:r w:rsidRPr="005655E6">
        <w:rPr>
          <w:rFonts w:cstheme="minorHAnsi"/>
          <w:sz w:val="20"/>
          <w:szCs w:val="20"/>
        </w:rPr>
        <w:t xml:space="preserve">, </w:t>
      </w:r>
      <w:proofErr w:type="spellStart"/>
      <w:r w:rsidRPr="005655E6">
        <w:rPr>
          <w:rFonts w:cstheme="minorHAnsi"/>
          <w:sz w:val="20"/>
          <w:szCs w:val="20"/>
        </w:rPr>
        <w:t>Pupeikis</w:t>
      </w:r>
      <w:proofErr w:type="spellEnd"/>
      <w:r w:rsidRPr="005655E6">
        <w:rPr>
          <w:rFonts w:cstheme="minorHAnsi"/>
          <w:sz w:val="20"/>
          <w:szCs w:val="20"/>
        </w:rPr>
        <w:t xml:space="preserve">, D. </w:t>
      </w:r>
      <w:proofErr w:type="spellStart"/>
      <w:r w:rsidRPr="005655E6">
        <w:rPr>
          <w:rFonts w:cstheme="minorHAnsi"/>
          <w:sz w:val="20"/>
          <w:szCs w:val="20"/>
        </w:rPr>
        <w:t>Jurelionis</w:t>
      </w:r>
      <w:proofErr w:type="spellEnd"/>
      <w:r w:rsidRPr="005655E6">
        <w:rPr>
          <w:rFonts w:cstheme="minorHAnsi"/>
          <w:sz w:val="20"/>
          <w:szCs w:val="20"/>
        </w:rPr>
        <w:t>, A</w:t>
      </w:r>
      <w:proofErr w:type="gramStart"/>
      <w:r w:rsidRPr="005655E6">
        <w:rPr>
          <w:rFonts w:cstheme="minorHAnsi"/>
          <w:sz w:val="20"/>
          <w:szCs w:val="20"/>
        </w:rPr>
        <w:t>.&amp;</w:t>
      </w:r>
      <w:proofErr w:type="gramEnd"/>
      <w:r w:rsidRPr="005655E6">
        <w:rPr>
          <w:rFonts w:cstheme="minorHAnsi"/>
          <w:sz w:val="20"/>
          <w:szCs w:val="20"/>
        </w:rPr>
        <w:t xml:space="preserve"> , P.A. </w:t>
      </w:r>
      <w:proofErr w:type="spellStart"/>
      <w:r w:rsidRPr="005655E6">
        <w:rPr>
          <w:rFonts w:cstheme="minorHAnsi"/>
          <w:sz w:val="20"/>
          <w:szCs w:val="20"/>
        </w:rPr>
        <w:t>Fokaides</w:t>
      </w:r>
      <w:proofErr w:type="spellEnd"/>
      <w:r w:rsidRPr="005655E6">
        <w:rPr>
          <w:rFonts w:cstheme="minorHAnsi"/>
          <w:sz w:val="20"/>
          <w:szCs w:val="20"/>
        </w:rPr>
        <w:t xml:space="preserve"> (2020). Overview of BIM Integration into the Construction Sector in European Member States and European Union Acquis. IOP Conf. Ser. Earth Environ. Sci., 410, 012073</w:t>
      </w:r>
    </w:p>
    <w:p w:rsidR="00A73D0F" w:rsidRPr="005655E6" w:rsidRDefault="00A73D0F" w:rsidP="00A73D0F">
      <w:pPr>
        <w:spacing w:line="360" w:lineRule="auto"/>
        <w:rPr>
          <w:rFonts w:cstheme="minorHAnsi"/>
          <w:sz w:val="20"/>
          <w:szCs w:val="20"/>
          <w:rtl/>
        </w:rPr>
      </w:pPr>
      <w:r w:rsidRPr="005655E6">
        <w:rPr>
          <w:rFonts w:cstheme="minorHAnsi"/>
          <w:sz w:val="20"/>
          <w:szCs w:val="20"/>
        </w:rPr>
        <w:t xml:space="preserve">Turk, Z. (2023). “Structured analysis of ICT adoption in the European </w:t>
      </w:r>
      <w:proofErr w:type="spellStart"/>
      <w:r w:rsidRPr="005655E6">
        <w:rPr>
          <w:rFonts w:cstheme="minorHAnsi"/>
          <w:sz w:val="20"/>
          <w:szCs w:val="20"/>
        </w:rPr>
        <w:t>constructionindustry</w:t>
      </w:r>
      <w:proofErr w:type="spellEnd"/>
      <w:r w:rsidRPr="005655E6">
        <w:rPr>
          <w:rFonts w:cstheme="minorHAnsi"/>
          <w:sz w:val="20"/>
          <w:szCs w:val="20"/>
        </w:rPr>
        <w:t xml:space="preserve">”, </w:t>
      </w:r>
      <w:r w:rsidRPr="005655E6">
        <w:rPr>
          <w:rFonts w:cstheme="minorHAnsi"/>
          <w:i/>
          <w:iCs/>
          <w:sz w:val="20"/>
          <w:szCs w:val="20"/>
        </w:rPr>
        <w:t>International Journal of Construction Management</w:t>
      </w:r>
      <w:r w:rsidRPr="005655E6">
        <w:rPr>
          <w:rFonts w:cstheme="minorHAnsi"/>
          <w:sz w:val="20"/>
          <w:szCs w:val="20"/>
        </w:rPr>
        <w:t xml:space="preserve"> 23 (5) 756–762</w:t>
      </w:r>
      <w:r w:rsidRPr="005655E6">
        <w:rPr>
          <w:rFonts w:cstheme="minorHAnsi"/>
          <w:sz w:val="20"/>
          <w:szCs w:val="20"/>
          <w:rtl/>
        </w:rPr>
        <w:t xml:space="preserve"> </w:t>
      </w:r>
    </w:p>
    <w:p w:rsidR="003E7478" w:rsidRPr="005655E6" w:rsidRDefault="003E7478" w:rsidP="00A73D0F">
      <w:pPr>
        <w:spacing w:line="360" w:lineRule="auto"/>
        <w:rPr>
          <w:rFonts w:cstheme="minorHAnsi"/>
          <w:sz w:val="24"/>
          <w:szCs w:val="24"/>
          <w:rtl/>
        </w:rPr>
      </w:pPr>
    </w:p>
    <w:sectPr w:rsidR="003E7478" w:rsidRPr="005655E6" w:rsidSect="00CC2499">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6BA" w:rsidRDefault="001336BA" w:rsidP="00E04682">
      <w:pPr>
        <w:spacing w:after="0" w:line="240" w:lineRule="auto"/>
      </w:pPr>
      <w:r>
        <w:separator/>
      </w:r>
    </w:p>
  </w:endnote>
  <w:endnote w:type="continuationSeparator" w:id="0">
    <w:p w:rsidR="001336BA" w:rsidRDefault="001336BA"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72" w:rsidRDefault="00C101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C10172" w:rsidP="00F20046">
    <w:pPr>
      <w:pStyle w:val="a7"/>
      <w:bidi w:val="0"/>
      <w:rPr>
        <w:rtl/>
      </w:rPr>
    </w:pPr>
    <w:r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3" cstate="print">
                    <a:extLst>
                      <a:ext uri="{BEBA8EAE-BF5A-486C-A8C5-ECC9F3942E4B}">
                        <a14:imgProps xmlns:a14="http://schemas.microsoft.com/office/drawing/2010/main">
                          <a14:imgLayer r:embed="rId4">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5" cstate="print">
                    <a:extLst>
                      <a:ext uri="{BEBA8EAE-BF5A-486C-A8C5-ECC9F3942E4B}">
                        <a14:imgProps xmlns:a14="http://schemas.microsoft.com/office/drawing/2010/main">
                          <a14:imgLayer r:embed="rId6">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1503680</wp:posOffset>
              </wp:positionH>
              <wp:positionV relativeFrom="paragraph">
                <wp:posOffset>77841</wp:posOffset>
              </wp:positionV>
              <wp:extent cx="2129790" cy="621030"/>
              <wp:effectExtent l="0" t="0" r="0" b="7620"/>
              <wp:wrapNone/>
              <wp:docPr id="13" name="תיבת טקסט 13"/>
              <wp:cNvGraphicFramePr/>
              <a:graphic xmlns:a="http://schemas.openxmlformats.org/drawingml/2006/main">
                <a:graphicData uri="http://schemas.microsoft.com/office/word/2010/wordprocessingShape">
                  <wps:wsp>
                    <wps:cNvSpPr txBox="1"/>
                    <wps:spPr>
                      <a:xfrm>
                        <a:off x="0" y="0"/>
                        <a:ext cx="2129790" cy="621030"/>
                      </a:xfrm>
                      <a:prstGeom prst="rect">
                        <a:avLst/>
                      </a:prstGeom>
                      <a:noFill/>
                      <a:ln w="6350">
                        <a:noFill/>
                      </a:ln>
                    </wps:spPr>
                    <wps:txbx>
                      <w:txbxContent>
                        <w:p w:rsidR="00972198" w:rsidRPr="00B677DC" w:rsidRDefault="00972198" w:rsidP="00F20046">
                          <w:pPr>
                            <w:jc w:val="center"/>
                            <w:rPr>
                              <w:rFonts w:cstheme="minorHAnsi"/>
                              <w:sz w:val="16"/>
                              <w:szCs w:val="16"/>
                              <w:rtl/>
                            </w:rPr>
                          </w:pPr>
                          <w:r w:rsidRPr="00B677DC">
                            <w:rPr>
                              <w:rFonts w:cs="Calibri" w:hint="cs"/>
                              <w:noProof/>
                              <w:sz w:val="16"/>
                              <w:szCs w:val="16"/>
                              <w:rtl/>
                            </w:rPr>
                            <w:t>להאזנה לפודקאסט של בנק ישראל</w:t>
                          </w:r>
                          <w:r w:rsidRPr="00B677DC">
                            <w:rPr>
                              <w:rFonts w:cs="Calibri"/>
                              <w:noProof/>
                              <w:sz w:val="16"/>
                              <w:szCs w:val="16"/>
                              <w:rtl/>
                            </w:rPr>
                            <w:br/>
                          </w:r>
                          <w:hyperlink r:id="rId7" w:history="1">
                            <w:r w:rsidR="00F20046" w:rsidRPr="00231368">
                              <w:rPr>
                                <w:rStyle w:val="Hyperlink"/>
                                <w:rFonts w:cs="Calibri"/>
                                <w:noProof/>
                                <w:sz w:val="14"/>
                                <w:szCs w:val="14"/>
                              </w:rPr>
                              <w:t>https://did.li/spotify-third-side-of-coin</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18.4pt;margin-top:6.15pt;width:167.7pt;height:48.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" filled="f" stroked="f" strokeweight=".5pt">
              <v:textbox>
                <w:txbxContent>
                  <w:p w:rsidR="00972198" w:rsidRPr="00B677DC" w:rsidRDefault="00972198" w:rsidP="00F20046">
                    <w:pPr>
                      <w:jc w:val="center"/>
                      <w:rPr>
                        <w:rFonts w:cstheme="minorHAnsi"/>
                        <w:sz w:val="16"/>
                        <w:szCs w:val="16"/>
                        <w:rtl/>
                      </w:rPr>
                    </w:pPr>
                    <w:r w:rsidRPr="00B677DC">
                      <w:rPr>
                        <w:rFonts w:cs="Calibri" w:hint="cs"/>
                        <w:noProof/>
                        <w:sz w:val="16"/>
                        <w:szCs w:val="16"/>
                        <w:rtl/>
                      </w:rPr>
                      <w:t>להאזנה לפודקאסט של בנק ישראל</w:t>
                    </w:r>
                    <w:r w:rsidRPr="00B677DC">
                      <w:rPr>
                        <w:rFonts w:cs="Calibri"/>
                        <w:noProof/>
                        <w:sz w:val="16"/>
                        <w:szCs w:val="16"/>
                        <w:rtl/>
                      </w:rPr>
                      <w:br/>
                    </w:r>
                    <w:hyperlink r:id="rId8" w:history="1">
                      <w:r w:rsidR="00F20046" w:rsidRPr="00231368">
                        <w:rPr>
                          <w:rStyle w:val="Hyperlink"/>
                          <w:rFonts w:cs="Calibri"/>
                          <w:noProof/>
                          <w:sz w:val="14"/>
                          <w:szCs w:val="14"/>
                        </w:rPr>
                        <w:t>https://did.li/spotify-third-side-of-coin</w:t>
                      </w:r>
                    </w:hyperlink>
                  </w:p>
                </w:txbxContent>
              </v:textbox>
              <w10:wrap anchorx="margin"/>
            </v:shape>
          </w:pict>
        </mc:Fallback>
      </mc:AlternateContent>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F20046" w:rsidRDefault="00F20046" w:rsidP="00F20046">
                          <w:pPr>
                            <w:jc w:val="center"/>
                            <w:rPr>
                              <w:rFonts w:cs="Calibri"/>
                              <w:noProof/>
                              <w:sz w:val="16"/>
                              <w:szCs w:val="16"/>
                              <w:rtl/>
                            </w:rPr>
                          </w:pPr>
                          <w:r>
                            <w:rPr>
                              <w:rFonts w:cs="Calibri" w:hint="cs"/>
                              <w:noProof/>
                              <w:sz w:val="16"/>
                              <w:szCs w:val="16"/>
                              <w:rtl/>
                            </w:rPr>
                            <w:t>לערוץ היוטיוב של בנק ישראל</w:t>
                          </w:r>
                          <w:r>
                            <w:rPr>
                              <w:rFonts w:cs="Calibri"/>
                              <w:noProof/>
                              <w:sz w:val="16"/>
                              <w:szCs w:val="16"/>
                              <w:rtl/>
                            </w:rPr>
                            <w:br/>
                          </w:r>
                          <w:hyperlink r:id="rId9" w:history="1">
                            <w:r w:rsidRPr="00231368">
                              <w:rPr>
                                <w:rStyle w:val="Hyperlink"/>
                                <w:rFonts w:cs="Calibri"/>
                                <w:noProof/>
                                <w:sz w:val="14"/>
                                <w:szCs w:val="14"/>
                              </w:rPr>
                              <w:t>https://www.youtube.com/user/thebankofisrael</w:t>
                            </w:r>
                          </w:hyperlink>
                          <w:r>
                            <w:rPr>
                              <w:rFonts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F20046" w:rsidRDefault="00F20046" w:rsidP="00F20046">
                    <w:pPr>
                      <w:jc w:val="center"/>
                      <w:rPr>
                        <w:rFonts w:cs="Calibri"/>
                        <w:noProof/>
                        <w:sz w:val="16"/>
                        <w:szCs w:val="16"/>
                        <w:rtl/>
                      </w:rPr>
                    </w:pPr>
                    <w:r>
                      <w:rPr>
                        <w:rFonts w:cs="Calibri" w:hint="cs"/>
                        <w:noProof/>
                        <w:sz w:val="16"/>
                        <w:szCs w:val="16"/>
                        <w:rtl/>
                      </w:rPr>
                      <w:t>לערוץ היוטיוב של בנק ישראל</w:t>
                    </w:r>
                    <w:r>
                      <w:rPr>
                        <w:rFonts w:cs="Calibri"/>
                        <w:noProof/>
                        <w:sz w:val="16"/>
                        <w:szCs w:val="16"/>
                        <w:rtl/>
                      </w:rPr>
                      <w:br/>
                    </w:r>
                    <w:hyperlink r:id="rId10" w:history="1">
                      <w:r w:rsidRPr="00231368">
                        <w:rPr>
                          <w:rStyle w:val="Hyperlink"/>
                          <w:rFonts w:cs="Calibri"/>
                          <w:noProof/>
                          <w:sz w:val="14"/>
                          <w:szCs w:val="14"/>
                        </w:rPr>
                        <w:t>https://www.youtube.com/user/thebankofisrael</w:t>
                      </w:r>
                    </w:hyperlink>
                    <w:r>
                      <w:rPr>
                        <w:rFonts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B677DC" w:rsidRDefault="00571971" w:rsidP="00F20046">
                          <w:pPr>
                            <w:jc w:val="center"/>
                            <w:rPr>
                              <w:rFonts w:cstheme="minorHAnsi"/>
                              <w:sz w:val="14"/>
                              <w:szCs w:val="14"/>
                              <w:rtl/>
                            </w:rPr>
                          </w:pPr>
                          <w:r w:rsidRPr="00B677DC">
                            <w:rPr>
                              <w:rFonts w:cs="Calibri" w:hint="cs"/>
                              <w:noProof/>
                              <w:sz w:val="16"/>
                              <w:szCs w:val="16"/>
                              <w:rtl/>
                            </w:rPr>
                            <w:t xml:space="preserve">עמוד הפייסבוק של בנק ישראל </w:t>
                          </w:r>
                          <w:r w:rsidRPr="00B677DC">
                            <w:rPr>
                              <w:rFonts w:cs="Calibri"/>
                              <w:noProof/>
                              <w:sz w:val="16"/>
                              <w:szCs w:val="16"/>
                              <w:rtl/>
                            </w:rPr>
                            <w:t>–</w:t>
                          </w:r>
                          <w:r w:rsidRPr="00B677DC">
                            <w:rPr>
                              <w:rFonts w:cs="Calibri" w:hint="cs"/>
                              <w:noProof/>
                              <w:sz w:val="16"/>
                              <w:szCs w:val="16"/>
                              <w:rtl/>
                            </w:rPr>
                            <w:t xml:space="preserve"> קשרי ציבור</w:t>
                          </w:r>
                          <w:r w:rsidRPr="00B677DC">
                            <w:rPr>
                              <w:rFonts w:cstheme="minorHAnsi"/>
                              <w:sz w:val="16"/>
                              <w:szCs w:val="16"/>
                              <w:rtl/>
                            </w:rPr>
                            <w:br/>
                          </w:r>
                          <w:hyperlink r:id="rId11" w:history="1">
                            <w:r w:rsidRPr="00B677DC">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B677DC" w:rsidRDefault="00571971" w:rsidP="00F20046">
                    <w:pPr>
                      <w:jc w:val="center"/>
                      <w:rPr>
                        <w:rFonts w:cstheme="minorHAnsi"/>
                        <w:sz w:val="14"/>
                        <w:szCs w:val="14"/>
                        <w:rtl/>
                      </w:rPr>
                    </w:pPr>
                    <w:r w:rsidRPr="00B677DC">
                      <w:rPr>
                        <w:rFonts w:cs="Calibri" w:hint="cs"/>
                        <w:noProof/>
                        <w:sz w:val="16"/>
                        <w:szCs w:val="16"/>
                        <w:rtl/>
                      </w:rPr>
                      <w:t xml:space="preserve">עמוד הפייסבוק של בנק ישראל </w:t>
                    </w:r>
                    <w:r w:rsidRPr="00B677DC">
                      <w:rPr>
                        <w:rFonts w:cs="Calibri"/>
                        <w:noProof/>
                        <w:sz w:val="16"/>
                        <w:szCs w:val="16"/>
                        <w:rtl/>
                      </w:rPr>
                      <w:t>–</w:t>
                    </w:r>
                    <w:r w:rsidRPr="00B677DC">
                      <w:rPr>
                        <w:rFonts w:cs="Calibri" w:hint="cs"/>
                        <w:noProof/>
                        <w:sz w:val="16"/>
                        <w:szCs w:val="16"/>
                        <w:rtl/>
                      </w:rPr>
                      <w:t xml:space="preserve"> קשרי ציבור</w:t>
                    </w:r>
                    <w:r w:rsidRPr="00B677DC">
                      <w:rPr>
                        <w:rFonts w:cstheme="minorHAnsi"/>
                        <w:sz w:val="16"/>
                        <w:szCs w:val="16"/>
                        <w:rtl/>
                      </w:rPr>
                      <w:br/>
                    </w:r>
                    <w:hyperlink r:id="rId12" w:history="1">
                      <w:r w:rsidRPr="00B677DC">
                        <w:rPr>
                          <w:rStyle w:val="Hyperlink"/>
                          <w:rFonts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B677DC" w:rsidRDefault="00571971" w:rsidP="00F20046">
                          <w:pPr>
                            <w:jc w:val="center"/>
                            <w:rPr>
                              <w:rFonts w:cstheme="minorHAnsi"/>
                              <w:sz w:val="16"/>
                              <w:szCs w:val="16"/>
                              <w:rtl/>
                            </w:rPr>
                          </w:pPr>
                          <w:r w:rsidRPr="00B677DC">
                            <w:rPr>
                              <w:rFonts w:cs="Calibri" w:hint="cs"/>
                              <w:noProof/>
                              <w:sz w:val="16"/>
                              <w:szCs w:val="16"/>
                              <w:rtl/>
                            </w:rPr>
                            <w:t xml:space="preserve">אתר בנק ישראל </w:t>
                          </w:r>
                          <w:hyperlink r:id="rId13" w:history="1">
                            <w:r w:rsidRPr="00B677DC">
                              <w:rPr>
                                <w:rStyle w:val="Hyperlink"/>
                                <w:rFonts w:cstheme="minorHAnsi"/>
                                <w:sz w:val="14"/>
                                <w:szCs w:val="14"/>
                              </w:rPr>
                              <w:t>https://www.boi.org.il</w:t>
                            </w:r>
                            <w:r w:rsidRPr="00B677DC">
                              <w:rPr>
                                <w:rStyle w:val="Hyperlink"/>
                                <w:rFonts w:cstheme="minorHAns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B677DC" w:rsidRDefault="00571971" w:rsidP="00F20046">
                    <w:pPr>
                      <w:jc w:val="center"/>
                      <w:rPr>
                        <w:rFonts w:cstheme="minorHAnsi"/>
                        <w:sz w:val="16"/>
                        <w:szCs w:val="16"/>
                        <w:rtl/>
                      </w:rPr>
                    </w:pPr>
                    <w:r w:rsidRPr="00B677DC">
                      <w:rPr>
                        <w:rFonts w:cs="Calibri" w:hint="cs"/>
                        <w:noProof/>
                        <w:sz w:val="16"/>
                        <w:szCs w:val="16"/>
                        <w:rtl/>
                      </w:rPr>
                      <w:t xml:space="preserve">אתר בנק ישראל </w:t>
                    </w:r>
                    <w:hyperlink r:id="rId14" w:history="1">
                      <w:r w:rsidRPr="00B677DC">
                        <w:rPr>
                          <w:rStyle w:val="Hyperlink"/>
                          <w:rFonts w:cstheme="minorHAnsi"/>
                          <w:sz w:val="14"/>
                          <w:szCs w:val="14"/>
                        </w:rPr>
                        <w:t>https://www.boi.org.il</w:t>
                      </w:r>
                      <w:r w:rsidRPr="00B677DC">
                        <w:rPr>
                          <w:rStyle w:val="Hyperlink"/>
                          <w:rFonts w:cstheme="minorHAns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72" w:rsidRDefault="00C101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6BA" w:rsidRDefault="001336BA" w:rsidP="00E04682">
      <w:pPr>
        <w:spacing w:after="0" w:line="240" w:lineRule="auto"/>
      </w:pPr>
      <w:r>
        <w:separator/>
      </w:r>
    </w:p>
  </w:footnote>
  <w:footnote w:type="continuationSeparator" w:id="0">
    <w:p w:rsidR="001336BA" w:rsidRDefault="001336BA" w:rsidP="00E04682">
      <w:pPr>
        <w:spacing w:after="0" w:line="240" w:lineRule="auto"/>
      </w:pPr>
      <w:r>
        <w:continuationSeparator/>
      </w:r>
    </w:p>
  </w:footnote>
  <w:footnote w:id="1">
    <w:p w:rsidR="00A73D0F" w:rsidRPr="005655E6" w:rsidRDefault="00A73D0F" w:rsidP="00A73D0F">
      <w:pPr>
        <w:pStyle w:val="af"/>
        <w:jc w:val="both"/>
        <w:rPr>
          <w:rFonts w:cstheme="minorHAnsi"/>
        </w:rPr>
      </w:pPr>
      <w:r w:rsidRPr="005655E6">
        <w:rPr>
          <w:rStyle w:val="af1"/>
          <w:rFonts w:cstheme="minorHAnsi"/>
        </w:rPr>
        <w:footnoteRef/>
      </w:r>
      <w:r w:rsidRPr="005655E6">
        <w:rPr>
          <w:rFonts w:cstheme="minorHAnsi"/>
          <w:rtl/>
        </w:rPr>
        <w:t xml:space="preserve"> מידול מידע הבניין (</w:t>
      </w:r>
      <w:r w:rsidRPr="005655E6">
        <w:rPr>
          <w:rFonts w:cstheme="minorHAnsi"/>
        </w:rPr>
        <w:t>Building Information Modeling</w:t>
      </w:r>
      <w:r w:rsidRPr="005655E6">
        <w:rPr>
          <w:rFonts w:cstheme="minorHAnsi"/>
          <w:rtl/>
        </w:rPr>
        <w:t>) - שיטת שיתוף, חלוקת והפצת המידע בין כל הגורמים הקשורים לפרויקט בנייה או תשתיות.</w:t>
      </w:r>
    </w:p>
  </w:footnote>
  <w:footnote w:id="2">
    <w:p w:rsidR="00A73D0F" w:rsidRPr="005655E6" w:rsidRDefault="00A73D0F" w:rsidP="00A73D0F">
      <w:pPr>
        <w:pStyle w:val="af"/>
        <w:jc w:val="both"/>
        <w:rPr>
          <w:rFonts w:cstheme="minorHAnsi"/>
        </w:rPr>
      </w:pPr>
      <w:r w:rsidRPr="005655E6">
        <w:rPr>
          <w:rStyle w:val="af1"/>
          <w:rFonts w:cstheme="minorHAnsi"/>
        </w:rPr>
        <w:footnoteRef/>
      </w:r>
      <w:r w:rsidRPr="005655E6">
        <w:rPr>
          <w:rFonts w:cstheme="minorHAnsi"/>
          <w:rtl/>
        </w:rPr>
        <w:t xml:space="preserve"> </w:t>
      </w:r>
      <w:r w:rsidRPr="005655E6">
        <w:rPr>
          <w:rFonts w:cstheme="minorHAnsi"/>
          <w:rtl/>
        </w:rPr>
        <w:t xml:space="preserve">עיבודי אגף אסטרטגיה ותכנון מדיניות במשרד הכלכלה והתעשייה לנתוני סקר </w:t>
      </w:r>
      <w:r w:rsidRPr="005655E6">
        <w:rPr>
          <w:rFonts w:cstheme="minorHAnsi"/>
        </w:rPr>
        <w:t>ICT</w:t>
      </w:r>
      <w:r w:rsidRPr="005655E6">
        <w:rPr>
          <w:rFonts w:cstheme="minorHAnsi"/>
          <w:rtl/>
        </w:rPr>
        <w:t xml:space="preserve"> בלמ"ס </w:t>
      </w:r>
      <w:proofErr w:type="spellStart"/>
      <w:r w:rsidRPr="005655E6">
        <w:rPr>
          <w:rFonts w:cstheme="minorHAnsi"/>
          <w:rtl/>
        </w:rPr>
        <w:t>ומקבילו</w:t>
      </w:r>
      <w:proofErr w:type="spellEnd"/>
      <w:r w:rsidRPr="005655E6">
        <w:rPr>
          <w:rFonts w:cstheme="minorHAnsi"/>
          <w:rtl/>
        </w:rPr>
        <w:t xml:space="preserve"> האירופי ב-</w:t>
      </w:r>
      <w:r w:rsidRPr="005655E6">
        <w:rPr>
          <w:rFonts w:cstheme="minorHAnsi"/>
        </w:rPr>
        <w:t>Eurostat</w:t>
      </w:r>
      <w:r w:rsidRPr="005655E6">
        <w:rPr>
          <w:rFonts w:cstheme="minorHAnsi"/>
          <w:rtl/>
        </w:rPr>
        <w:t xml:space="preserve">; הניתוח מבוסס על המתודולוגיה וההגדרות של גלעד בארי ועילי </w:t>
      </w:r>
      <w:proofErr w:type="spellStart"/>
      <w:r w:rsidRPr="005655E6">
        <w:rPr>
          <w:rFonts w:cstheme="minorHAnsi"/>
          <w:rtl/>
        </w:rPr>
        <w:t>אספרנסה</w:t>
      </w:r>
      <w:proofErr w:type="spellEnd"/>
      <w:r w:rsidRPr="005655E6">
        <w:rPr>
          <w:rFonts w:cstheme="minorHAnsi"/>
          <w:rtl/>
        </w:rPr>
        <w:t>, "הפער הדיגיטלי של המגזר העסקי", משרד הכלכלה והתעשייה (2021)</w:t>
      </w:r>
    </w:p>
  </w:footnote>
  <w:footnote w:id="3">
    <w:p w:rsidR="00A73D0F" w:rsidRPr="005655E6" w:rsidRDefault="00A73D0F" w:rsidP="00A73D0F">
      <w:pPr>
        <w:pStyle w:val="af"/>
        <w:rPr>
          <w:rFonts w:cstheme="minorHAnsi"/>
        </w:rPr>
      </w:pPr>
      <w:r w:rsidRPr="005655E6">
        <w:rPr>
          <w:rStyle w:val="af1"/>
          <w:rFonts w:cstheme="minorHAnsi"/>
        </w:rPr>
        <w:footnoteRef/>
      </w:r>
      <w:r w:rsidRPr="005655E6">
        <w:rPr>
          <w:rFonts w:cstheme="minorHAnsi"/>
          <w:rtl/>
        </w:rPr>
        <w:t xml:space="preserve"> </w:t>
      </w:r>
      <w:r w:rsidRPr="005655E6">
        <w:rPr>
          <w:rFonts w:cstheme="minorHAnsi"/>
          <w:rtl/>
        </w:rPr>
        <w:t>משרד הבינוי (2016).</w:t>
      </w:r>
    </w:p>
  </w:footnote>
  <w:footnote w:id="4">
    <w:p w:rsidR="00A73D0F" w:rsidRPr="005655E6" w:rsidRDefault="00A73D0F" w:rsidP="00A73D0F">
      <w:pPr>
        <w:pStyle w:val="af"/>
        <w:jc w:val="both"/>
        <w:rPr>
          <w:rFonts w:cstheme="minorHAnsi"/>
        </w:rPr>
      </w:pPr>
      <w:r w:rsidRPr="005655E6">
        <w:rPr>
          <w:rStyle w:val="af1"/>
          <w:rFonts w:cstheme="minorHAnsi"/>
        </w:rPr>
        <w:footnoteRef/>
      </w:r>
      <w:r w:rsidRPr="005655E6">
        <w:rPr>
          <w:rFonts w:cstheme="minorHAnsi"/>
          <w:rtl/>
        </w:rPr>
        <w:t xml:space="preserve"> </w:t>
      </w:r>
      <w:r w:rsidRPr="005655E6">
        <w:rPr>
          <w:rFonts w:cstheme="minorHAnsi"/>
        </w:rPr>
        <w:t>European Construction Sector Observatory</w:t>
      </w:r>
      <w:r w:rsidRPr="005655E6">
        <w:rPr>
          <w:rFonts w:cstheme="minorHAnsi"/>
          <w:rtl/>
        </w:rPr>
        <w:t xml:space="preserve">, </w:t>
      </w:r>
      <w:r w:rsidRPr="005655E6">
        <w:rPr>
          <w:rFonts w:cstheme="minorHAnsi"/>
        </w:rPr>
        <w:t xml:space="preserve">Digitalization in the construction </w:t>
      </w:r>
      <w:proofErr w:type="gramStart"/>
      <w:r w:rsidRPr="005655E6">
        <w:rPr>
          <w:rFonts w:cstheme="minorHAnsi"/>
        </w:rPr>
        <w:t xml:space="preserve">sector </w:t>
      </w:r>
      <w:r w:rsidRPr="005655E6">
        <w:rPr>
          <w:rFonts w:cstheme="minorHAnsi"/>
          <w:rtl/>
        </w:rPr>
        <w:t xml:space="preserve"> 2021</w:t>
      </w:r>
      <w:proofErr w:type="gramEnd"/>
      <w:r w:rsidRPr="005655E6">
        <w:rPr>
          <w:rFonts w:cstheme="minorHAnsi"/>
        </w:rPr>
        <w:t>.</w:t>
      </w:r>
    </w:p>
  </w:footnote>
  <w:footnote w:id="5">
    <w:p w:rsidR="00A73D0F" w:rsidRPr="005655E6" w:rsidRDefault="00A73D0F" w:rsidP="00A73D0F">
      <w:pPr>
        <w:pStyle w:val="af"/>
        <w:jc w:val="both"/>
        <w:rPr>
          <w:rFonts w:cstheme="minorHAnsi"/>
          <w:rtl/>
        </w:rPr>
      </w:pPr>
      <w:r w:rsidRPr="005655E6">
        <w:rPr>
          <w:rStyle w:val="af1"/>
          <w:rFonts w:cstheme="minorHAnsi"/>
        </w:rPr>
        <w:footnoteRef/>
      </w:r>
      <w:r w:rsidRPr="005655E6">
        <w:rPr>
          <w:rFonts w:cstheme="minorHAnsi"/>
          <w:rtl/>
        </w:rPr>
        <w:t xml:space="preserve"> </w:t>
      </w:r>
      <w:r w:rsidRPr="005655E6">
        <w:rPr>
          <w:rFonts w:cstheme="minorHAnsi"/>
          <w:rtl/>
        </w:rPr>
        <w:t>ישנם פרויקטים של מעונות סטודנטים, דיור ציבורי ודיור מוגן המוקמים בבניה מודולרית, וניתן להרחיב את היקף השימוש בשיטה זו לפרויקטים ותחומים נספים.</w:t>
      </w:r>
    </w:p>
  </w:footnote>
  <w:footnote w:id="6">
    <w:p w:rsidR="00A73D0F" w:rsidRPr="005655E6" w:rsidRDefault="00A73D0F" w:rsidP="00A73D0F">
      <w:pPr>
        <w:pStyle w:val="af"/>
        <w:jc w:val="both"/>
        <w:rPr>
          <w:rFonts w:cstheme="minorHAnsi"/>
        </w:rPr>
      </w:pPr>
      <w:r w:rsidRPr="005655E6">
        <w:rPr>
          <w:rStyle w:val="af1"/>
          <w:rFonts w:cstheme="minorHAnsi"/>
        </w:rPr>
        <w:footnoteRef/>
      </w:r>
      <w:r w:rsidRPr="005655E6">
        <w:rPr>
          <w:rFonts w:cstheme="minorHAnsi"/>
          <w:rtl/>
        </w:rPr>
        <w:t xml:space="preserve"> </w:t>
      </w:r>
      <w:proofErr w:type="spellStart"/>
      <w:r w:rsidRPr="005655E6">
        <w:rPr>
          <w:rFonts w:cstheme="minorHAnsi"/>
          <w:rtl/>
        </w:rPr>
        <w:t>זיצ'ק</w:t>
      </w:r>
      <w:proofErr w:type="spellEnd"/>
      <w:r w:rsidRPr="005655E6">
        <w:rPr>
          <w:rFonts w:cstheme="minorHAnsi"/>
          <w:rtl/>
        </w:rPr>
        <w:t xml:space="preserve"> ואחרים (2022).</w:t>
      </w:r>
    </w:p>
  </w:footnote>
  <w:footnote w:id="7">
    <w:p w:rsidR="00A73D0F" w:rsidRPr="005655E6" w:rsidRDefault="00A73D0F" w:rsidP="00A73D0F">
      <w:pPr>
        <w:spacing w:after="0"/>
        <w:jc w:val="both"/>
        <w:rPr>
          <w:rFonts w:cstheme="minorHAnsi"/>
          <w:sz w:val="20"/>
          <w:szCs w:val="20"/>
          <w:rtl/>
        </w:rPr>
      </w:pPr>
      <w:r w:rsidRPr="005655E6">
        <w:rPr>
          <w:rFonts w:cstheme="minorHAnsi"/>
          <w:sz w:val="20"/>
          <w:szCs w:val="20"/>
        </w:rPr>
        <w:t xml:space="preserve"> </w:t>
      </w:r>
      <w:r w:rsidRPr="005655E6">
        <w:rPr>
          <w:rStyle w:val="af1"/>
          <w:rFonts w:cstheme="minorHAnsi"/>
          <w:sz w:val="20"/>
          <w:szCs w:val="20"/>
        </w:rPr>
        <w:footnoteRef/>
      </w:r>
      <w:r w:rsidRPr="005655E6">
        <w:rPr>
          <w:rFonts w:cstheme="minorHAnsi"/>
          <w:sz w:val="20"/>
          <w:szCs w:val="20"/>
          <w:rtl/>
        </w:rPr>
        <w:t>החל מהחלטת ממשלה 1320 מ-2016 "תיעוש והגדלת פריון העבודה בענף הבנייה" שמאמצת את ממצאי המסמך שיצא ביוזמת משרד הבינוי והשיכון – אגף לתכנון אסטרטגי ומדיניות "</w:t>
      </w:r>
      <w:proofErr w:type="spellStart"/>
      <w:r w:rsidRPr="005655E6">
        <w:rPr>
          <w:rFonts w:cstheme="minorHAnsi"/>
          <w:sz w:val="20"/>
          <w:szCs w:val="20"/>
          <w:rtl/>
        </w:rPr>
        <w:t>תוכנית</w:t>
      </w:r>
      <w:proofErr w:type="spellEnd"/>
      <w:r w:rsidRPr="005655E6">
        <w:rPr>
          <w:rFonts w:cstheme="minorHAnsi"/>
          <w:sz w:val="20"/>
          <w:szCs w:val="20"/>
          <w:rtl/>
        </w:rPr>
        <w:t xml:space="preserve"> לתיעוש ענף הבנייה בישראל – מסמך מסכם" מרץ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72" w:rsidRDefault="00C101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72" w:rsidRDefault="00C1017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72" w:rsidRDefault="00C101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32CB"/>
    <w:multiLevelType w:val="hybridMultilevel"/>
    <w:tmpl w:val="31C4B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532B7"/>
    <w:multiLevelType w:val="hybridMultilevel"/>
    <w:tmpl w:val="AADE7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D768E"/>
    <w:multiLevelType w:val="hybridMultilevel"/>
    <w:tmpl w:val="2B2812DC"/>
    <w:lvl w:ilvl="0" w:tplc="EBD2878E">
      <w:start w:val="1"/>
      <w:numFmt w:val="decimal"/>
      <w:lvlText w:val="%1."/>
      <w:lvlJc w:val="left"/>
      <w:pPr>
        <w:ind w:left="720" w:hanging="360"/>
      </w:pPr>
      <w:rPr>
        <w:rFonts w:ascii="David" w:hAnsi="David" w:cs="David"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D4858"/>
    <w:multiLevelType w:val="hybridMultilevel"/>
    <w:tmpl w:val="871CA358"/>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5"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740"/>
    <w:rsid w:val="00127DAC"/>
    <w:rsid w:val="001336BA"/>
    <w:rsid w:val="00151A07"/>
    <w:rsid w:val="00156135"/>
    <w:rsid w:val="00162DCC"/>
    <w:rsid w:val="00166DBC"/>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86078"/>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DC5"/>
    <w:rsid w:val="004F5E3C"/>
    <w:rsid w:val="005655E6"/>
    <w:rsid w:val="00567B1A"/>
    <w:rsid w:val="00571971"/>
    <w:rsid w:val="0057422C"/>
    <w:rsid w:val="00575141"/>
    <w:rsid w:val="0059782C"/>
    <w:rsid w:val="005A52A2"/>
    <w:rsid w:val="005C5BF9"/>
    <w:rsid w:val="005D5F2B"/>
    <w:rsid w:val="00611BDB"/>
    <w:rsid w:val="00614024"/>
    <w:rsid w:val="00632CD2"/>
    <w:rsid w:val="006344CC"/>
    <w:rsid w:val="0063559D"/>
    <w:rsid w:val="0063690B"/>
    <w:rsid w:val="00640309"/>
    <w:rsid w:val="00660075"/>
    <w:rsid w:val="00660F46"/>
    <w:rsid w:val="006811C3"/>
    <w:rsid w:val="006907D5"/>
    <w:rsid w:val="0069557C"/>
    <w:rsid w:val="006C5099"/>
    <w:rsid w:val="006C5917"/>
    <w:rsid w:val="006F0964"/>
    <w:rsid w:val="00701240"/>
    <w:rsid w:val="00715D7F"/>
    <w:rsid w:val="007172E4"/>
    <w:rsid w:val="00737090"/>
    <w:rsid w:val="00780795"/>
    <w:rsid w:val="00783F55"/>
    <w:rsid w:val="007916D5"/>
    <w:rsid w:val="0079406F"/>
    <w:rsid w:val="00797111"/>
    <w:rsid w:val="007A0330"/>
    <w:rsid w:val="007A25C0"/>
    <w:rsid w:val="007A2A08"/>
    <w:rsid w:val="007B2299"/>
    <w:rsid w:val="007B2E35"/>
    <w:rsid w:val="007B64D4"/>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73D0F"/>
    <w:rsid w:val="00A8460D"/>
    <w:rsid w:val="00A92A3D"/>
    <w:rsid w:val="00AA00A5"/>
    <w:rsid w:val="00AB01E0"/>
    <w:rsid w:val="00AB37A4"/>
    <w:rsid w:val="00AC35CD"/>
    <w:rsid w:val="00AE7479"/>
    <w:rsid w:val="00AF1FA7"/>
    <w:rsid w:val="00B071B6"/>
    <w:rsid w:val="00B13490"/>
    <w:rsid w:val="00B35876"/>
    <w:rsid w:val="00B569FD"/>
    <w:rsid w:val="00B63A33"/>
    <w:rsid w:val="00B677DC"/>
    <w:rsid w:val="00B70E6F"/>
    <w:rsid w:val="00B91BF0"/>
    <w:rsid w:val="00B955C2"/>
    <w:rsid w:val="00BA0282"/>
    <w:rsid w:val="00BB6985"/>
    <w:rsid w:val="00BD0783"/>
    <w:rsid w:val="00BD17EF"/>
    <w:rsid w:val="00BD7743"/>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73CB"/>
    <w:rsid w:val="00CD11DB"/>
    <w:rsid w:val="00CD2037"/>
    <w:rsid w:val="00CD2A65"/>
    <w:rsid w:val="00CE2F8B"/>
    <w:rsid w:val="00CF2780"/>
    <w:rsid w:val="00D004D1"/>
    <w:rsid w:val="00D02324"/>
    <w:rsid w:val="00D06884"/>
    <w:rsid w:val="00D15579"/>
    <w:rsid w:val="00D45541"/>
    <w:rsid w:val="00D50BB3"/>
    <w:rsid w:val="00D53BFE"/>
    <w:rsid w:val="00D747A1"/>
    <w:rsid w:val="00D85F94"/>
    <w:rsid w:val="00D878DF"/>
    <w:rsid w:val="00DB09F3"/>
    <w:rsid w:val="00DC23E1"/>
    <w:rsid w:val="00DC2B95"/>
    <w:rsid w:val="00DC727C"/>
    <w:rsid w:val="00DD2E1F"/>
    <w:rsid w:val="00DE140A"/>
    <w:rsid w:val="00DF4B57"/>
    <w:rsid w:val="00E04682"/>
    <w:rsid w:val="00E20D4C"/>
    <w:rsid w:val="00E22BAA"/>
    <w:rsid w:val="00E37D4B"/>
    <w:rsid w:val="00E44A34"/>
    <w:rsid w:val="00E52D98"/>
    <w:rsid w:val="00E52DAA"/>
    <w:rsid w:val="00E54DA2"/>
    <w:rsid w:val="00E566ED"/>
    <w:rsid w:val="00E728E5"/>
    <w:rsid w:val="00E731F0"/>
    <w:rsid w:val="00E80E0F"/>
    <w:rsid w:val="00E84228"/>
    <w:rsid w:val="00EC51AC"/>
    <w:rsid w:val="00ED67BE"/>
    <w:rsid w:val="00EE07B1"/>
    <w:rsid w:val="00EF41BE"/>
    <w:rsid w:val="00F11065"/>
    <w:rsid w:val="00F20046"/>
    <w:rsid w:val="00F40307"/>
    <w:rsid w:val="00F429F4"/>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B6BE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basedOn w:val="a"/>
    <w:uiPriority w:val="34"/>
    <w:qFormat/>
    <w:rsid w:val="00CD2A65"/>
    <w:pPr>
      <w:ind w:left="720"/>
      <w:contextualSpacing/>
    </w:pPr>
  </w:style>
  <w:style w:type="character" w:styleId="aa">
    <w:name w:val="annotation reference"/>
    <w:basedOn w:val="a0"/>
    <w:uiPriority w:val="99"/>
    <w:semiHidden/>
    <w:unhideWhenUsed/>
    <w:rsid w:val="004F26A1"/>
    <w:rPr>
      <w:sz w:val="16"/>
      <w:szCs w:val="16"/>
    </w:rPr>
  </w:style>
  <w:style w:type="paragraph" w:styleId="ab">
    <w:name w:val="annotation text"/>
    <w:basedOn w:val="a"/>
    <w:link w:val="ac"/>
    <w:uiPriority w:val="99"/>
    <w:semiHidden/>
    <w:unhideWhenUsed/>
    <w:rsid w:val="004F26A1"/>
    <w:pPr>
      <w:spacing w:line="240" w:lineRule="auto"/>
    </w:pPr>
    <w:rPr>
      <w:sz w:val="20"/>
      <w:szCs w:val="20"/>
    </w:rPr>
  </w:style>
  <w:style w:type="character" w:customStyle="1" w:styleId="ac">
    <w:name w:val="טקסט הערה תו"/>
    <w:basedOn w:val="a0"/>
    <w:link w:val="ab"/>
    <w:uiPriority w:val="99"/>
    <w:semiHidden/>
    <w:rsid w:val="004F26A1"/>
    <w:rPr>
      <w:sz w:val="20"/>
      <w:szCs w:val="20"/>
    </w:rPr>
  </w:style>
  <w:style w:type="paragraph" w:styleId="ad">
    <w:name w:val="annotation subject"/>
    <w:basedOn w:val="ab"/>
    <w:next w:val="ab"/>
    <w:link w:val="ae"/>
    <w:uiPriority w:val="99"/>
    <w:semiHidden/>
    <w:unhideWhenUsed/>
    <w:rsid w:val="004F26A1"/>
    <w:rPr>
      <w:b/>
      <w:bCs/>
    </w:rPr>
  </w:style>
  <w:style w:type="character" w:customStyle="1" w:styleId="ae">
    <w:name w:val="נושא הערה תו"/>
    <w:basedOn w:val="ac"/>
    <w:link w:val="ad"/>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paragraph" w:styleId="af">
    <w:name w:val="footnote text"/>
    <w:basedOn w:val="a"/>
    <w:link w:val="af0"/>
    <w:uiPriority w:val="99"/>
    <w:unhideWhenUsed/>
    <w:rsid w:val="00E54DA2"/>
    <w:pPr>
      <w:bidi w:val="0"/>
      <w:spacing w:after="0" w:line="240" w:lineRule="auto"/>
    </w:pPr>
    <w:rPr>
      <w:sz w:val="20"/>
      <w:szCs w:val="20"/>
    </w:rPr>
  </w:style>
  <w:style w:type="character" w:customStyle="1" w:styleId="af0">
    <w:name w:val="טקסט הערת שוליים תו"/>
    <w:basedOn w:val="a0"/>
    <w:link w:val="af"/>
    <w:uiPriority w:val="99"/>
    <w:rsid w:val="00E54DA2"/>
    <w:rPr>
      <w:sz w:val="20"/>
      <w:szCs w:val="20"/>
    </w:rPr>
  </w:style>
  <w:style w:type="character" w:styleId="af1">
    <w:name w:val="footnote reference"/>
    <w:aliases w:val="Footnote Reference Superscript,Footnote symbol,Footnote Reference Number,Footnote Reference_LVL6,Footnote Reference_LVL61,Footnote Reference_LVL62,Footnote Reference_LVL63,Footnote Reference_LVL64,fr,SUPERS,EN Footnote Reference"/>
    <w:basedOn w:val="a0"/>
    <w:uiPriority w:val="99"/>
    <w:unhideWhenUsed/>
    <w:rsid w:val="00E54DA2"/>
    <w:rPr>
      <w:vertAlign w:val="superscript"/>
    </w:rPr>
  </w:style>
  <w:style w:type="table" w:styleId="af2">
    <w:name w:val="Table Grid"/>
    <w:basedOn w:val="a1"/>
    <w:uiPriority w:val="59"/>
    <w:rsid w:val="00A73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896546500">
      <w:bodyDiv w:val="1"/>
      <w:marLeft w:val="0"/>
      <w:marRight w:val="0"/>
      <w:marTop w:val="0"/>
      <w:marBottom w:val="0"/>
      <w:divBdr>
        <w:top w:val="none" w:sz="0" w:space="0" w:color="auto"/>
        <w:left w:val="none" w:sz="0" w:space="0" w:color="auto"/>
        <w:bottom w:val="none" w:sz="0" w:space="0" w:color="auto"/>
        <w:right w:val="none" w:sz="0" w:space="0" w:color="auto"/>
      </w:divBdr>
      <w:divsChild>
        <w:div w:id="142241444">
          <w:marLeft w:val="0"/>
          <w:marRight w:val="0"/>
          <w:marTop w:val="0"/>
          <w:marBottom w:val="0"/>
          <w:divBdr>
            <w:top w:val="none" w:sz="0" w:space="0" w:color="auto"/>
            <w:left w:val="none" w:sz="0" w:space="0" w:color="auto"/>
            <w:bottom w:val="none" w:sz="0" w:space="0" w:color="auto"/>
            <w:right w:val="none" w:sz="0" w:space="0" w:color="auto"/>
          </w:divBdr>
        </w:div>
      </w:divsChild>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340737564">
      <w:bodyDiv w:val="1"/>
      <w:marLeft w:val="0"/>
      <w:marRight w:val="0"/>
      <w:marTop w:val="0"/>
      <w:marBottom w:val="0"/>
      <w:divBdr>
        <w:top w:val="none" w:sz="0" w:space="0" w:color="auto"/>
        <w:left w:val="none" w:sz="0" w:space="0" w:color="auto"/>
        <w:bottom w:val="none" w:sz="0" w:space="0" w:color="auto"/>
        <w:right w:val="none" w:sz="0" w:space="0" w:color="auto"/>
      </w:divBdr>
      <w:divsChild>
        <w:div w:id="143856693">
          <w:marLeft w:val="0"/>
          <w:marRight w:val="0"/>
          <w:marTop w:val="0"/>
          <w:marBottom w:val="0"/>
          <w:divBdr>
            <w:top w:val="none" w:sz="0" w:space="0" w:color="auto"/>
            <w:left w:val="none" w:sz="0" w:space="0" w:color="auto"/>
            <w:bottom w:val="none" w:sz="0" w:space="0" w:color="auto"/>
            <w:right w:val="none" w:sz="0" w:space="0" w:color="auto"/>
          </w:divBdr>
        </w:div>
      </w:divsChild>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hyperlink" Target="https://did.li/spotify-third-side-of-coin" TargetMode="External"/><Relationship Id="rId13" Type="http://schemas.openxmlformats.org/officeDocument/2006/relationships/hyperlink" Target="https://www.boi.org.il/" TargetMode="External"/><Relationship Id="rId3" Type="http://schemas.openxmlformats.org/officeDocument/2006/relationships/image" Target="media/image5.png"/><Relationship Id="rId7" Type="http://schemas.openxmlformats.org/officeDocument/2006/relationships/hyperlink" Target="https://did.li/spotify-third-side-of-coin" TargetMode="External"/><Relationship Id="rId12" Type="http://schemas.openxmlformats.org/officeDocument/2006/relationships/hyperlink" Target="https://www.facebook.com/bankisraelvc" TargetMode="External"/><Relationship Id="rId2" Type="http://schemas.openxmlformats.org/officeDocument/2006/relationships/image" Target="media/image4.png"/><Relationship Id="rId1" Type="http://schemas.openxmlformats.org/officeDocument/2006/relationships/image" Target="media/image3.png"/><Relationship Id="rId6" Type="http://schemas.microsoft.com/office/2007/relationships/hdphoto" Target="media/hdphoto2.wdp"/><Relationship Id="rId11" Type="http://schemas.openxmlformats.org/officeDocument/2006/relationships/hyperlink" Target="https://www.facebook.com/bankisraelvc" TargetMode="External"/><Relationship Id="rId5" Type="http://schemas.openxmlformats.org/officeDocument/2006/relationships/image" Target="media/image6.png"/><Relationship Id="rId10" Type="http://schemas.openxmlformats.org/officeDocument/2006/relationships/hyperlink" Target="https://www.youtube.com/user/thebankofisrael" TargetMode="External"/><Relationship Id="rId4" Type="http://schemas.microsoft.com/office/2007/relationships/hdphoto" Target="media/hdphoto1.wdp"/><Relationship Id="rId9" Type="http://schemas.openxmlformats.org/officeDocument/2006/relationships/hyperlink" Target="https://www.youtube.com/user/thebankofisrael" TargetMode="External"/><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1826</Words>
  <Characters>9131</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2024-03-18T08:04:00Z</dcterms:created>
  <dcterms:modified xsi:type="dcterms:W3CDTF">2024-03-18T08:10:00Z</dcterms:modified>
</cp:coreProperties>
</file>