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E8008F" w:rsidRDefault="002235F5" w:rsidP="00523CEF">
      <w:pPr>
        <w:bidi w:val="0"/>
        <w:jc w:val="center"/>
        <w:rPr>
          <w:rtl/>
        </w:rPr>
      </w:pPr>
      <w:r>
        <w:rPr>
          <w:noProof/>
        </w:rPr>
        <w:drawing>
          <wp:inline distT="0" distB="0" distL="0" distR="0">
            <wp:extent cx="1413510" cy="141351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510" cy="1413510"/>
                    </a:xfrm>
                    <a:prstGeom prst="rect">
                      <a:avLst/>
                    </a:prstGeom>
                    <a:noFill/>
                    <a:ln>
                      <a:noFill/>
                    </a:ln>
                  </pic:spPr>
                </pic:pic>
              </a:graphicData>
            </a:graphic>
          </wp:inline>
        </w:drawing>
      </w:r>
    </w:p>
    <w:p w:rsidR="00760371" w:rsidRDefault="00760371" w:rsidP="00523CEF">
      <w:pPr>
        <w:pStyle w:val="regpar"/>
        <w:spacing w:line="300" w:lineRule="atLeast"/>
        <w:ind w:firstLine="0"/>
        <w:jc w:val="center"/>
        <w:rPr>
          <w:rFonts w:ascii="Times New Roman" w:hAnsi="Times New Roman" w:cs="David"/>
          <w:b/>
        </w:rPr>
      </w:pPr>
    </w:p>
    <w:p w:rsidR="00892A46" w:rsidRPr="005F3A83" w:rsidRDefault="00892A46" w:rsidP="00523CEF">
      <w:pPr>
        <w:pStyle w:val="regpar"/>
        <w:spacing w:line="300" w:lineRule="atLeast"/>
        <w:ind w:firstLine="0"/>
        <w:jc w:val="center"/>
        <w:rPr>
          <w:rFonts w:ascii="Times New Roman" w:hAnsi="Times New Roman" w:cs="David"/>
          <w:b/>
          <w:sz w:val="28"/>
          <w:szCs w:val="28"/>
        </w:rPr>
      </w:pPr>
      <w:r w:rsidRPr="005F3A83">
        <w:rPr>
          <w:rFonts w:ascii="Times New Roman" w:hAnsi="Times New Roman" w:cs="David"/>
          <w:b/>
          <w:sz w:val="28"/>
          <w:szCs w:val="28"/>
        </w:rPr>
        <w:t>BANK OF ISRAEL</w:t>
      </w:r>
    </w:p>
    <w:p w:rsidR="00892A46" w:rsidRPr="005F3A83" w:rsidRDefault="00892A46" w:rsidP="00523CEF">
      <w:pPr>
        <w:pStyle w:val="regpar"/>
        <w:spacing w:line="300" w:lineRule="atLeast"/>
        <w:ind w:firstLine="0"/>
        <w:jc w:val="center"/>
        <w:rPr>
          <w:rFonts w:ascii="Times New Roman" w:hAnsi="Times New Roman" w:cs="Times New Roman"/>
          <w:b/>
        </w:rPr>
      </w:pPr>
      <w:r w:rsidRPr="005F3A83">
        <w:rPr>
          <w:rFonts w:ascii="Times New Roman" w:hAnsi="Times New Roman" w:cs="Times New Roman"/>
        </w:rPr>
        <w:t>Office of the Spokesperson and Economic Information</w:t>
      </w:r>
    </w:p>
    <w:p w:rsidR="00B533D5" w:rsidRDefault="007926C7" w:rsidP="00523CEF">
      <w:pPr>
        <w:bidi w:val="0"/>
        <w:rPr>
          <w:rFonts w:cs="David"/>
          <w:rtl/>
        </w:rPr>
      </w:pPr>
      <w:r>
        <w:rPr>
          <w:rFonts w:cs="David"/>
          <w:b/>
          <w:bCs/>
        </w:rPr>
        <w:br/>
      </w:r>
    </w:p>
    <w:p w:rsidR="007926C7" w:rsidRDefault="00523CEF" w:rsidP="003B6509">
      <w:pPr>
        <w:bidi w:val="0"/>
        <w:jc w:val="right"/>
        <w:rPr>
          <w:rFonts w:cs="David"/>
        </w:rPr>
      </w:pPr>
      <w:r>
        <w:rPr>
          <w:rFonts w:cs="David"/>
        </w:rPr>
        <w:t xml:space="preserve">March 13, </w:t>
      </w:r>
      <w:r w:rsidR="003B6509">
        <w:rPr>
          <w:rFonts w:cs="David"/>
        </w:rPr>
        <w:t>2023</w:t>
      </w:r>
    </w:p>
    <w:p w:rsidR="00445CEC" w:rsidRDefault="00445CEC" w:rsidP="00523CEF">
      <w:pPr>
        <w:bidi w:val="0"/>
        <w:rPr>
          <w:rFonts w:cs="David"/>
        </w:rPr>
      </w:pPr>
    </w:p>
    <w:p w:rsidR="00892A46" w:rsidRDefault="00892A46" w:rsidP="00523CEF">
      <w:pPr>
        <w:bidi w:val="0"/>
        <w:rPr>
          <w:rFonts w:cs="David"/>
        </w:rPr>
      </w:pPr>
      <w:r w:rsidRPr="005F3A83">
        <w:rPr>
          <w:rFonts w:cs="David"/>
        </w:rPr>
        <w:t>Press Release</w:t>
      </w:r>
      <w:r>
        <w:rPr>
          <w:rFonts w:cs="David"/>
        </w:rPr>
        <w:t>:</w:t>
      </w:r>
    </w:p>
    <w:p w:rsidR="00892A46" w:rsidRDefault="00892A46" w:rsidP="00523CEF">
      <w:pPr>
        <w:tabs>
          <w:tab w:val="center" w:pos="4156"/>
          <w:tab w:val="right" w:pos="8312"/>
        </w:tabs>
        <w:bidi w:val="0"/>
        <w:rPr>
          <w:rFonts w:cs="David"/>
        </w:rPr>
      </w:pPr>
    </w:p>
    <w:p w:rsidR="0070029F" w:rsidRPr="00D30751" w:rsidRDefault="008A4388" w:rsidP="00523CEF">
      <w:pPr>
        <w:bidi w:val="0"/>
        <w:jc w:val="center"/>
        <w:rPr>
          <w:b/>
          <w:bCs/>
          <w:sz w:val="32"/>
          <w:szCs w:val="32"/>
        </w:rPr>
      </w:pPr>
      <w:bookmarkStart w:id="0" w:name="_GoBack"/>
      <w:r>
        <w:rPr>
          <w:b/>
          <w:bCs/>
          <w:sz w:val="32"/>
          <w:szCs w:val="32"/>
        </w:rPr>
        <w:t>P</w:t>
      </w:r>
      <w:r w:rsidR="00445CEC" w:rsidRPr="00D30751">
        <w:rPr>
          <w:b/>
          <w:bCs/>
          <w:sz w:val="32"/>
          <w:szCs w:val="32"/>
        </w:rPr>
        <w:t xml:space="preserve">eriodic report on the prices of common banking services for households in </w:t>
      </w:r>
      <w:r w:rsidR="00523CEF">
        <w:rPr>
          <w:b/>
          <w:bCs/>
          <w:sz w:val="32"/>
          <w:szCs w:val="32"/>
        </w:rPr>
        <w:t>the first half of 2022</w:t>
      </w:r>
    </w:p>
    <w:bookmarkEnd w:id="0"/>
    <w:p w:rsidR="00445CEC" w:rsidRPr="00D30751" w:rsidRDefault="00445CEC" w:rsidP="006603E0">
      <w:pPr>
        <w:bidi w:val="0"/>
        <w:spacing w:line="300" w:lineRule="exact"/>
        <w:jc w:val="both"/>
      </w:pPr>
    </w:p>
    <w:p w:rsidR="00445CEC" w:rsidRPr="00D30751" w:rsidRDefault="00445CEC" w:rsidP="009A7994">
      <w:pPr>
        <w:bidi w:val="0"/>
        <w:spacing w:line="300" w:lineRule="exact"/>
        <w:jc w:val="both"/>
      </w:pPr>
      <w:r w:rsidRPr="00D30751">
        <w:t xml:space="preserve">Today the Banking Supervision Department </w:t>
      </w:r>
      <w:r w:rsidR="00453036">
        <w:t>presented</w:t>
      </w:r>
      <w:r w:rsidRPr="00D30751">
        <w:t xml:space="preserve"> its periodic report on the prices of common banking services for households</w:t>
      </w:r>
      <w:r w:rsidR="00453036">
        <w:t xml:space="preserve"> in </w:t>
      </w:r>
      <w:r w:rsidR="009A7994">
        <w:t xml:space="preserve">the first half of 2022 </w:t>
      </w:r>
      <w:r w:rsidR="00453036">
        <w:t>to the Knesset Economic</w:t>
      </w:r>
      <w:r w:rsidR="00523CEF">
        <w:t xml:space="preserve"> Affairs </w:t>
      </w:r>
      <w:r w:rsidR="00453036">
        <w:t>Committee</w:t>
      </w:r>
      <w:r w:rsidRPr="00D30751">
        <w:t xml:space="preserve">. The report </w:t>
      </w:r>
      <w:r w:rsidR="00453036">
        <w:t xml:space="preserve">is based on reports </w:t>
      </w:r>
      <w:r w:rsidR="00523CEF">
        <w:t xml:space="preserve">by </w:t>
      </w:r>
      <w:r w:rsidR="00453036">
        <w:t xml:space="preserve">the banking corporations and credit card companies regarding fees charged during </w:t>
      </w:r>
      <w:r w:rsidR="00523CEF">
        <w:t>the first half of 2022</w:t>
      </w:r>
      <w:r w:rsidRPr="00D30751">
        <w:t>.</w:t>
      </w:r>
    </w:p>
    <w:p w:rsidR="00445CEC" w:rsidRPr="00D30751" w:rsidRDefault="00445CEC" w:rsidP="006603E0">
      <w:pPr>
        <w:bidi w:val="0"/>
        <w:spacing w:line="300" w:lineRule="exact"/>
        <w:jc w:val="both"/>
      </w:pPr>
    </w:p>
    <w:p w:rsidR="00BD082B" w:rsidRDefault="002F5F77" w:rsidP="00DD3C34">
      <w:pPr>
        <w:bidi w:val="0"/>
        <w:spacing w:line="300" w:lineRule="exact"/>
        <w:jc w:val="both"/>
        <w:rPr>
          <w:rFonts w:asciiTheme="majorBidi" w:hAnsiTheme="majorBidi" w:cstheme="majorBidi"/>
        </w:rPr>
      </w:pPr>
      <w:r w:rsidRPr="005E6BDF">
        <w:rPr>
          <w:b/>
          <w:bCs/>
        </w:rPr>
        <w:t xml:space="preserve">Supervisor of Banks Mr. </w:t>
      </w:r>
      <w:proofErr w:type="spellStart"/>
      <w:r w:rsidRPr="005E6BDF">
        <w:rPr>
          <w:b/>
          <w:bCs/>
        </w:rPr>
        <w:t>Yair</w:t>
      </w:r>
      <w:proofErr w:type="spellEnd"/>
      <w:r w:rsidRPr="005E6BDF">
        <w:rPr>
          <w:b/>
          <w:bCs/>
        </w:rPr>
        <w:t xml:space="preserve"> </w:t>
      </w:r>
      <w:proofErr w:type="spellStart"/>
      <w:r w:rsidRPr="005E6BDF">
        <w:rPr>
          <w:b/>
          <w:bCs/>
        </w:rPr>
        <w:t>Avidan</w:t>
      </w:r>
      <w:proofErr w:type="spellEnd"/>
      <w:r w:rsidRPr="00D30751">
        <w:t xml:space="preserve"> said, “</w:t>
      </w:r>
      <w:r w:rsidR="00523CEF" w:rsidRPr="0087626E">
        <w:rPr>
          <w:rFonts w:asciiTheme="majorBidi" w:hAnsiTheme="majorBidi" w:cstheme="majorBidi"/>
        </w:rPr>
        <w:t>Th</w:t>
      </w:r>
      <w:r w:rsidR="00523CEF">
        <w:rPr>
          <w:rFonts w:asciiTheme="majorBidi" w:hAnsiTheme="majorBidi" w:cstheme="majorBidi"/>
        </w:rPr>
        <w:t xml:space="preserve">e periodic </w:t>
      </w:r>
      <w:r w:rsidR="00523CEF" w:rsidRPr="0087626E">
        <w:rPr>
          <w:rFonts w:asciiTheme="majorBidi" w:hAnsiTheme="majorBidi" w:cstheme="majorBidi"/>
        </w:rPr>
        <w:t>report</w:t>
      </w:r>
      <w:r w:rsidR="00523CEF">
        <w:rPr>
          <w:rFonts w:asciiTheme="majorBidi" w:hAnsiTheme="majorBidi" w:cstheme="majorBidi"/>
        </w:rPr>
        <w:t xml:space="preserve"> on fees </w:t>
      </w:r>
      <w:r w:rsidR="00523CEF" w:rsidRPr="0087626E">
        <w:rPr>
          <w:rFonts w:asciiTheme="majorBidi" w:hAnsiTheme="majorBidi" w:cstheme="majorBidi"/>
        </w:rPr>
        <w:t xml:space="preserve">presents an opportunity for the Banking Supervision Department to bring to the public’s attention the importance of proper banking conduct. </w:t>
      </w:r>
      <w:r w:rsidR="00523CEF">
        <w:rPr>
          <w:rFonts w:asciiTheme="majorBidi" w:hAnsiTheme="majorBidi" w:cstheme="majorBidi"/>
        </w:rPr>
        <w:t>The Banking Supervision Department works in several ways in order to place the focus on the customer and to enable the public to reduce the costs of managing the account, by placing several basic current account services under supervision, by joining the fee tracks service and by reducing the cost of ba</w:t>
      </w:r>
      <w:r w:rsidR="00BD082B">
        <w:rPr>
          <w:rFonts w:asciiTheme="majorBidi" w:hAnsiTheme="majorBidi" w:cstheme="majorBidi"/>
        </w:rPr>
        <w:t>n</w:t>
      </w:r>
      <w:r w:rsidR="00523CEF">
        <w:rPr>
          <w:rFonts w:asciiTheme="majorBidi" w:hAnsiTheme="majorBidi" w:cstheme="majorBidi"/>
        </w:rPr>
        <w:t>king activities car</w:t>
      </w:r>
      <w:r w:rsidR="009771AC">
        <w:rPr>
          <w:rFonts w:asciiTheme="majorBidi" w:hAnsiTheme="majorBidi" w:cstheme="majorBidi"/>
        </w:rPr>
        <w:t>r</w:t>
      </w:r>
      <w:r w:rsidR="00523CEF">
        <w:rPr>
          <w:rFonts w:asciiTheme="majorBidi" w:hAnsiTheme="majorBidi" w:cstheme="majorBidi"/>
        </w:rPr>
        <w:t>ied out via direct channels and digital means</w:t>
      </w:r>
      <w:r w:rsidR="00BD082B">
        <w:rPr>
          <w:rFonts w:asciiTheme="majorBidi" w:hAnsiTheme="majorBidi" w:cstheme="majorBidi"/>
        </w:rPr>
        <w:t xml:space="preserve">, compared to those carried out by a teller. I again </w:t>
      </w:r>
      <w:r w:rsidR="00523CEF">
        <w:rPr>
          <w:rFonts w:asciiTheme="majorBidi" w:hAnsiTheme="majorBidi" w:cstheme="majorBidi"/>
        </w:rPr>
        <w:t xml:space="preserve">urge </w:t>
      </w:r>
      <w:r w:rsidR="00523CEF" w:rsidRPr="0087626E">
        <w:rPr>
          <w:rFonts w:asciiTheme="majorBidi" w:hAnsiTheme="majorBidi" w:cstheme="majorBidi"/>
        </w:rPr>
        <w:t>the public to utilize the “Banking ID Card” that is being sent out, in order to examine the state of their accounts, including the cost of ban</w:t>
      </w:r>
      <w:r w:rsidR="00BD082B">
        <w:rPr>
          <w:rFonts w:asciiTheme="majorBidi" w:hAnsiTheme="majorBidi" w:cstheme="majorBidi"/>
        </w:rPr>
        <w:t>king services charged this year, including the cost of the banking services charged during the year, and accordingly to act to improve the ter</w:t>
      </w:r>
      <w:r w:rsidR="00DD3C34">
        <w:rPr>
          <w:rFonts w:asciiTheme="majorBidi" w:hAnsiTheme="majorBidi" w:cstheme="majorBidi"/>
        </w:rPr>
        <w:t>m</w:t>
      </w:r>
      <w:r w:rsidR="00BD082B">
        <w:rPr>
          <w:rFonts w:asciiTheme="majorBidi" w:hAnsiTheme="majorBidi" w:cstheme="majorBidi"/>
        </w:rPr>
        <w:t>s of the account.</w:t>
      </w:r>
    </w:p>
    <w:p w:rsidR="00523CEF" w:rsidRDefault="00523CEF" w:rsidP="006603E0">
      <w:pPr>
        <w:bidi w:val="0"/>
        <w:spacing w:after="60" w:line="300" w:lineRule="exact"/>
        <w:contextualSpacing/>
        <w:jc w:val="both"/>
        <w:rPr>
          <w:rFonts w:asciiTheme="majorBidi" w:hAnsiTheme="majorBidi" w:cstheme="majorBidi"/>
        </w:rPr>
      </w:pPr>
    </w:p>
    <w:p w:rsidR="00523CEF" w:rsidRPr="0087626E" w:rsidRDefault="00523CEF" w:rsidP="006603E0">
      <w:pPr>
        <w:bidi w:val="0"/>
        <w:spacing w:after="60" w:line="300" w:lineRule="exact"/>
        <w:contextualSpacing/>
        <w:jc w:val="both"/>
        <w:rPr>
          <w:rFonts w:asciiTheme="majorBidi" w:hAnsiTheme="majorBidi" w:cstheme="majorBidi"/>
        </w:rPr>
      </w:pPr>
      <w:r w:rsidRPr="006603E0">
        <w:rPr>
          <w:rFonts w:asciiTheme="majorBidi" w:hAnsiTheme="majorBidi" w:cstheme="majorBidi"/>
        </w:rPr>
        <w:t>Following are the main points of the report:</w:t>
      </w:r>
    </w:p>
    <w:p w:rsidR="00523CEF" w:rsidRPr="0087626E" w:rsidRDefault="00523CEF" w:rsidP="00560C64">
      <w:pPr>
        <w:pStyle w:val="aa"/>
        <w:numPr>
          <w:ilvl w:val="0"/>
          <w:numId w:val="6"/>
        </w:numPr>
        <w:spacing w:after="60" w:line="300" w:lineRule="exact"/>
        <w:jc w:val="both"/>
        <w:rPr>
          <w:rFonts w:asciiTheme="majorBidi" w:hAnsiTheme="majorBidi" w:cstheme="majorBidi"/>
          <w:szCs w:val="24"/>
        </w:rPr>
      </w:pPr>
      <w:r w:rsidRPr="0087626E">
        <w:rPr>
          <w:rFonts w:asciiTheme="majorBidi" w:hAnsiTheme="majorBidi" w:cstheme="majorBidi"/>
          <w:szCs w:val="24"/>
        </w:rPr>
        <w:t>In the first half of 2022, there was a slight increase in the ratio of fee income to the banking system’s assets, impacted by, to a large extent, an increase in the scope of fees charged to large companies, deriving from growth in activity as part of the return to routine after the COV</w:t>
      </w:r>
      <w:r>
        <w:rPr>
          <w:rFonts w:asciiTheme="majorBidi" w:hAnsiTheme="majorBidi" w:cstheme="majorBidi"/>
          <w:szCs w:val="24"/>
        </w:rPr>
        <w:t>I</w:t>
      </w:r>
      <w:r w:rsidRPr="0087626E">
        <w:rPr>
          <w:rFonts w:asciiTheme="majorBidi" w:hAnsiTheme="majorBidi" w:cstheme="majorBidi"/>
          <w:szCs w:val="24"/>
        </w:rPr>
        <w:t xml:space="preserve">D-19 crisis. This increase did not impact on the general trend of a decline in this ratio. This decline occurred after the reform of 2008, and </w:t>
      </w:r>
      <w:r>
        <w:rPr>
          <w:rFonts w:asciiTheme="majorBidi" w:hAnsiTheme="majorBidi" w:cstheme="majorBidi"/>
          <w:szCs w:val="24"/>
        </w:rPr>
        <w:t xml:space="preserve">to date </w:t>
      </w:r>
      <w:r w:rsidRPr="0087626E">
        <w:rPr>
          <w:rFonts w:asciiTheme="majorBidi" w:hAnsiTheme="majorBidi" w:cstheme="majorBidi"/>
          <w:szCs w:val="24"/>
        </w:rPr>
        <w:t xml:space="preserve">there has been a cumulative decline of approximately 46 percent. This decline is attributed to, among other things, a range of </w:t>
      </w:r>
      <w:r w:rsidR="00560C64">
        <w:rPr>
          <w:rFonts w:asciiTheme="majorBidi" w:hAnsiTheme="majorBidi" w:cstheme="majorBidi"/>
          <w:szCs w:val="24"/>
        </w:rPr>
        <w:t xml:space="preserve">the Banking Supervision Department’s </w:t>
      </w:r>
      <w:r w:rsidRPr="0087626E">
        <w:rPr>
          <w:rFonts w:asciiTheme="majorBidi" w:hAnsiTheme="majorBidi" w:cstheme="majorBidi"/>
          <w:szCs w:val="24"/>
        </w:rPr>
        <w:t>activities rega</w:t>
      </w:r>
      <w:r>
        <w:rPr>
          <w:rFonts w:asciiTheme="majorBidi" w:hAnsiTheme="majorBidi" w:cstheme="majorBidi"/>
          <w:szCs w:val="24"/>
        </w:rPr>
        <w:t>r</w:t>
      </w:r>
      <w:r w:rsidRPr="0087626E">
        <w:rPr>
          <w:rFonts w:asciiTheme="majorBidi" w:hAnsiTheme="majorBidi" w:cstheme="majorBidi"/>
          <w:szCs w:val="24"/>
        </w:rPr>
        <w:t>ding fees in recent years.</w:t>
      </w:r>
    </w:p>
    <w:p w:rsidR="00523CEF" w:rsidRPr="0087626E" w:rsidRDefault="00523CEF" w:rsidP="00523CEF">
      <w:pPr>
        <w:pStyle w:val="aa"/>
        <w:numPr>
          <w:ilvl w:val="0"/>
          <w:numId w:val="6"/>
        </w:numPr>
        <w:spacing w:after="60" w:line="300" w:lineRule="exact"/>
        <w:jc w:val="both"/>
        <w:rPr>
          <w:rFonts w:asciiTheme="majorBidi" w:hAnsiTheme="majorBidi" w:cstheme="majorBidi"/>
          <w:szCs w:val="24"/>
        </w:rPr>
      </w:pPr>
      <w:r w:rsidRPr="0087626E">
        <w:rPr>
          <w:rFonts w:asciiTheme="majorBidi" w:hAnsiTheme="majorBidi" w:cstheme="majorBidi"/>
          <w:szCs w:val="24"/>
        </w:rPr>
        <w:t>The average cost of managing a current account and holding payment cards per account, in the first half of 2022, is NIS 26.3 per month (an increase of NIS 1.7 per month compared to 2021). Note that this cost is NIS 0.6 lower than the cost measured in 2019, before the outbreak of the COVID-19 crisis, when it was NIS 26.9.</w:t>
      </w:r>
    </w:p>
    <w:p w:rsidR="00523CEF" w:rsidRPr="00D30751" w:rsidRDefault="00523CEF" w:rsidP="00890EEC">
      <w:pPr>
        <w:bidi w:val="0"/>
        <w:jc w:val="both"/>
        <w:rPr>
          <w:rtl/>
        </w:rPr>
      </w:pPr>
      <w:r w:rsidRPr="0087626E">
        <w:rPr>
          <w:rFonts w:asciiTheme="majorBidi" w:hAnsiTheme="majorBidi" w:cstheme="majorBidi"/>
        </w:rPr>
        <w:lastRenderedPageBreak/>
        <w:t xml:space="preserve">The increase in the first half of 2022, compared to 2021, derives mainly from growth in foreign </w:t>
      </w:r>
      <w:r>
        <w:rPr>
          <w:rFonts w:asciiTheme="majorBidi" w:hAnsiTheme="majorBidi" w:cstheme="majorBidi"/>
        </w:rPr>
        <w:t xml:space="preserve">currency </w:t>
      </w:r>
      <w:r w:rsidRPr="0087626E">
        <w:rPr>
          <w:rFonts w:asciiTheme="majorBidi" w:hAnsiTheme="majorBidi" w:cstheme="majorBidi"/>
        </w:rPr>
        <w:t>transactions carried out by the public via payment cards. This increase derives from the process of returning to routine after the COVID-19 crisis (in January-February 2022 the fifth wave of the coronavirus crisis hit, after which there was some return to routine activity in the shadow of the pandemic).</w:t>
      </w:r>
    </w:p>
    <w:sectPr w:rsidR="00523CEF" w:rsidRPr="00D30751"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5A" w:rsidRDefault="005E3A5A" w:rsidP="00E64B36">
      <w:r>
        <w:separator/>
      </w:r>
    </w:p>
  </w:endnote>
  <w:endnote w:type="continuationSeparator" w:id="0">
    <w:p w:rsidR="005E3A5A" w:rsidRDefault="005E3A5A"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FF7134" w:rsidRDefault="00B96022" w:rsidP="00FF7134">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5A" w:rsidRDefault="005E3A5A" w:rsidP="00E64B36">
      <w:r>
        <w:separator/>
      </w:r>
    </w:p>
  </w:footnote>
  <w:footnote w:type="continuationSeparator" w:id="0">
    <w:p w:rsidR="005E3A5A" w:rsidRDefault="005E3A5A"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A41EE"/>
    <w:multiLevelType w:val="hybridMultilevel"/>
    <w:tmpl w:val="D5EC7F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D490F54"/>
    <w:multiLevelType w:val="hybridMultilevel"/>
    <w:tmpl w:val="9B5EE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0B84"/>
    <w:rsid w:val="0001385E"/>
    <w:rsid w:val="0001413F"/>
    <w:rsid w:val="00022DA8"/>
    <w:rsid w:val="00033569"/>
    <w:rsid w:val="00051247"/>
    <w:rsid w:val="000526A0"/>
    <w:rsid w:val="0005726E"/>
    <w:rsid w:val="00065D9C"/>
    <w:rsid w:val="0007085F"/>
    <w:rsid w:val="000A3A0F"/>
    <w:rsid w:val="000A520E"/>
    <w:rsid w:val="000C710C"/>
    <w:rsid w:val="000F48F6"/>
    <w:rsid w:val="000F4BF2"/>
    <w:rsid w:val="001001A2"/>
    <w:rsid w:val="00101B55"/>
    <w:rsid w:val="00130245"/>
    <w:rsid w:val="00134298"/>
    <w:rsid w:val="001428C4"/>
    <w:rsid w:val="00143F3A"/>
    <w:rsid w:val="00151D84"/>
    <w:rsid w:val="00160B25"/>
    <w:rsid w:val="00162F5E"/>
    <w:rsid w:val="00165CB6"/>
    <w:rsid w:val="00175CDA"/>
    <w:rsid w:val="001815E1"/>
    <w:rsid w:val="00182CF0"/>
    <w:rsid w:val="001963C6"/>
    <w:rsid w:val="001A4816"/>
    <w:rsid w:val="001A7BAE"/>
    <w:rsid w:val="001B4E73"/>
    <w:rsid w:val="001C1BC1"/>
    <w:rsid w:val="001C388F"/>
    <w:rsid w:val="001C71E8"/>
    <w:rsid w:val="001D381C"/>
    <w:rsid w:val="001F4ECD"/>
    <w:rsid w:val="001F57DE"/>
    <w:rsid w:val="00202E77"/>
    <w:rsid w:val="002117DC"/>
    <w:rsid w:val="0021327F"/>
    <w:rsid w:val="002235F5"/>
    <w:rsid w:val="002271A2"/>
    <w:rsid w:val="00237CE5"/>
    <w:rsid w:val="00246D29"/>
    <w:rsid w:val="00247387"/>
    <w:rsid w:val="00252C62"/>
    <w:rsid w:val="00273AE1"/>
    <w:rsid w:val="00281C70"/>
    <w:rsid w:val="00283FB7"/>
    <w:rsid w:val="0029640A"/>
    <w:rsid w:val="00297100"/>
    <w:rsid w:val="002A0D2A"/>
    <w:rsid w:val="002B48CC"/>
    <w:rsid w:val="002C623B"/>
    <w:rsid w:val="002C6A25"/>
    <w:rsid w:val="002F4149"/>
    <w:rsid w:val="002F5F77"/>
    <w:rsid w:val="002F7EEF"/>
    <w:rsid w:val="0030279B"/>
    <w:rsid w:val="003129D6"/>
    <w:rsid w:val="003136EE"/>
    <w:rsid w:val="00321832"/>
    <w:rsid w:val="00322C28"/>
    <w:rsid w:val="003276ED"/>
    <w:rsid w:val="003365E0"/>
    <w:rsid w:val="00344E60"/>
    <w:rsid w:val="00360B5C"/>
    <w:rsid w:val="00364C08"/>
    <w:rsid w:val="003727EE"/>
    <w:rsid w:val="003772AF"/>
    <w:rsid w:val="00385CB3"/>
    <w:rsid w:val="00387840"/>
    <w:rsid w:val="0039059D"/>
    <w:rsid w:val="00390CA5"/>
    <w:rsid w:val="003A1AC9"/>
    <w:rsid w:val="003A335C"/>
    <w:rsid w:val="003A3813"/>
    <w:rsid w:val="003B16E0"/>
    <w:rsid w:val="003B6509"/>
    <w:rsid w:val="003B715F"/>
    <w:rsid w:val="003B7DC3"/>
    <w:rsid w:val="003C0697"/>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5CEC"/>
    <w:rsid w:val="00447E5A"/>
    <w:rsid w:val="00453036"/>
    <w:rsid w:val="0046455D"/>
    <w:rsid w:val="0046672E"/>
    <w:rsid w:val="00474107"/>
    <w:rsid w:val="00482E08"/>
    <w:rsid w:val="00492391"/>
    <w:rsid w:val="004A20A5"/>
    <w:rsid w:val="004D32A7"/>
    <w:rsid w:val="004D5D6F"/>
    <w:rsid w:val="004E25DD"/>
    <w:rsid w:val="004E4AEC"/>
    <w:rsid w:val="004F4341"/>
    <w:rsid w:val="004F72AD"/>
    <w:rsid w:val="0050183E"/>
    <w:rsid w:val="005165DB"/>
    <w:rsid w:val="005221FC"/>
    <w:rsid w:val="00523CEF"/>
    <w:rsid w:val="005406F8"/>
    <w:rsid w:val="00540B03"/>
    <w:rsid w:val="005462D0"/>
    <w:rsid w:val="0055455A"/>
    <w:rsid w:val="00555C8A"/>
    <w:rsid w:val="005576E1"/>
    <w:rsid w:val="00560C64"/>
    <w:rsid w:val="0056468C"/>
    <w:rsid w:val="00566FAC"/>
    <w:rsid w:val="00567733"/>
    <w:rsid w:val="005713A8"/>
    <w:rsid w:val="00583DAD"/>
    <w:rsid w:val="0059277F"/>
    <w:rsid w:val="00592A99"/>
    <w:rsid w:val="00596FB4"/>
    <w:rsid w:val="00597EED"/>
    <w:rsid w:val="005A2991"/>
    <w:rsid w:val="005D0AF8"/>
    <w:rsid w:val="005E3A5A"/>
    <w:rsid w:val="005E6BDF"/>
    <w:rsid w:val="005F1599"/>
    <w:rsid w:val="005F3A83"/>
    <w:rsid w:val="005F3E47"/>
    <w:rsid w:val="0060215A"/>
    <w:rsid w:val="0061692C"/>
    <w:rsid w:val="006216F9"/>
    <w:rsid w:val="00621BB5"/>
    <w:rsid w:val="0062658F"/>
    <w:rsid w:val="00640EEA"/>
    <w:rsid w:val="00652D53"/>
    <w:rsid w:val="006603E0"/>
    <w:rsid w:val="00662FB1"/>
    <w:rsid w:val="0067516F"/>
    <w:rsid w:val="006832D0"/>
    <w:rsid w:val="006A36CC"/>
    <w:rsid w:val="006A66C5"/>
    <w:rsid w:val="006B029C"/>
    <w:rsid w:val="006B4683"/>
    <w:rsid w:val="006B679C"/>
    <w:rsid w:val="006C714C"/>
    <w:rsid w:val="006D3582"/>
    <w:rsid w:val="006D7651"/>
    <w:rsid w:val="006E1B6A"/>
    <w:rsid w:val="006E31BC"/>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B5C86"/>
    <w:rsid w:val="007C6400"/>
    <w:rsid w:val="007D57EE"/>
    <w:rsid w:val="007E0C1F"/>
    <w:rsid w:val="007E1CB3"/>
    <w:rsid w:val="007F7993"/>
    <w:rsid w:val="0081026B"/>
    <w:rsid w:val="008403F1"/>
    <w:rsid w:val="00842057"/>
    <w:rsid w:val="00842BAF"/>
    <w:rsid w:val="00846ABE"/>
    <w:rsid w:val="00846C95"/>
    <w:rsid w:val="0086005B"/>
    <w:rsid w:val="0086084B"/>
    <w:rsid w:val="00864C55"/>
    <w:rsid w:val="0086637C"/>
    <w:rsid w:val="008807E2"/>
    <w:rsid w:val="00884167"/>
    <w:rsid w:val="00890EEC"/>
    <w:rsid w:val="008914B1"/>
    <w:rsid w:val="00892A46"/>
    <w:rsid w:val="008A4388"/>
    <w:rsid w:val="008A7212"/>
    <w:rsid w:val="008B2431"/>
    <w:rsid w:val="008B257A"/>
    <w:rsid w:val="008C082F"/>
    <w:rsid w:val="008C366C"/>
    <w:rsid w:val="008D390B"/>
    <w:rsid w:val="008D6FB6"/>
    <w:rsid w:val="008E38F1"/>
    <w:rsid w:val="008E4D8E"/>
    <w:rsid w:val="008F1FCF"/>
    <w:rsid w:val="00900453"/>
    <w:rsid w:val="00904100"/>
    <w:rsid w:val="0090462E"/>
    <w:rsid w:val="00905463"/>
    <w:rsid w:val="0091307F"/>
    <w:rsid w:val="00923613"/>
    <w:rsid w:val="00933EF4"/>
    <w:rsid w:val="0093574D"/>
    <w:rsid w:val="00961BD6"/>
    <w:rsid w:val="0097278E"/>
    <w:rsid w:val="009744A0"/>
    <w:rsid w:val="00976781"/>
    <w:rsid w:val="009771AC"/>
    <w:rsid w:val="00986270"/>
    <w:rsid w:val="009A7994"/>
    <w:rsid w:val="009B66C8"/>
    <w:rsid w:val="009C21B3"/>
    <w:rsid w:val="009C2C42"/>
    <w:rsid w:val="009E3D4E"/>
    <w:rsid w:val="009E6A28"/>
    <w:rsid w:val="009F010F"/>
    <w:rsid w:val="00A117D2"/>
    <w:rsid w:val="00A17420"/>
    <w:rsid w:val="00A239A7"/>
    <w:rsid w:val="00A374AC"/>
    <w:rsid w:val="00A37869"/>
    <w:rsid w:val="00A44A88"/>
    <w:rsid w:val="00A72122"/>
    <w:rsid w:val="00A74752"/>
    <w:rsid w:val="00A749E1"/>
    <w:rsid w:val="00A81B6C"/>
    <w:rsid w:val="00A94775"/>
    <w:rsid w:val="00AA661A"/>
    <w:rsid w:val="00AB75B4"/>
    <w:rsid w:val="00AD2B2B"/>
    <w:rsid w:val="00AD7CC8"/>
    <w:rsid w:val="00AE6E25"/>
    <w:rsid w:val="00AF6B3A"/>
    <w:rsid w:val="00B054AD"/>
    <w:rsid w:val="00B07DBF"/>
    <w:rsid w:val="00B108AE"/>
    <w:rsid w:val="00B13C9D"/>
    <w:rsid w:val="00B2426C"/>
    <w:rsid w:val="00B40E49"/>
    <w:rsid w:val="00B533D5"/>
    <w:rsid w:val="00B54F09"/>
    <w:rsid w:val="00B71972"/>
    <w:rsid w:val="00B84789"/>
    <w:rsid w:val="00B85769"/>
    <w:rsid w:val="00B87F00"/>
    <w:rsid w:val="00B9176B"/>
    <w:rsid w:val="00B96022"/>
    <w:rsid w:val="00BB43CD"/>
    <w:rsid w:val="00BC113A"/>
    <w:rsid w:val="00BC71FF"/>
    <w:rsid w:val="00BD082B"/>
    <w:rsid w:val="00BD0FFD"/>
    <w:rsid w:val="00BE27B4"/>
    <w:rsid w:val="00BE4CAF"/>
    <w:rsid w:val="00BE509B"/>
    <w:rsid w:val="00BE52BF"/>
    <w:rsid w:val="00C00BB8"/>
    <w:rsid w:val="00C02233"/>
    <w:rsid w:val="00C05BED"/>
    <w:rsid w:val="00C106C2"/>
    <w:rsid w:val="00C15121"/>
    <w:rsid w:val="00C171FF"/>
    <w:rsid w:val="00C21009"/>
    <w:rsid w:val="00C21363"/>
    <w:rsid w:val="00C37129"/>
    <w:rsid w:val="00C47A56"/>
    <w:rsid w:val="00C52224"/>
    <w:rsid w:val="00C52FC2"/>
    <w:rsid w:val="00C67CE0"/>
    <w:rsid w:val="00C74F11"/>
    <w:rsid w:val="00C76E10"/>
    <w:rsid w:val="00CB5D78"/>
    <w:rsid w:val="00CC58F8"/>
    <w:rsid w:val="00CD0A35"/>
    <w:rsid w:val="00CD5F91"/>
    <w:rsid w:val="00CD6927"/>
    <w:rsid w:val="00CE0B40"/>
    <w:rsid w:val="00D040A2"/>
    <w:rsid w:val="00D114C9"/>
    <w:rsid w:val="00D13C47"/>
    <w:rsid w:val="00D21685"/>
    <w:rsid w:val="00D30751"/>
    <w:rsid w:val="00D318A3"/>
    <w:rsid w:val="00D326DC"/>
    <w:rsid w:val="00D353EC"/>
    <w:rsid w:val="00D354E8"/>
    <w:rsid w:val="00D44122"/>
    <w:rsid w:val="00D554DA"/>
    <w:rsid w:val="00D60BFC"/>
    <w:rsid w:val="00D60FF3"/>
    <w:rsid w:val="00D655F5"/>
    <w:rsid w:val="00D67C46"/>
    <w:rsid w:val="00D70591"/>
    <w:rsid w:val="00D75CFB"/>
    <w:rsid w:val="00D77847"/>
    <w:rsid w:val="00D835C6"/>
    <w:rsid w:val="00D907A2"/>
    <w:rsid w:val="00DA6116"/>
    <w:rsid w:val="00DD195D"/>
    <w:rsid w:val="00DD3C34"/>
    <w:rsid w:val="00DD4976"/>
    <w:rsid w:val="00DE01A0"/>
    <w:rsid w:val="00DE0699"/>
    <w:rsid w:val="00DF4CC2"/>
    <w:rsid w:val="00DF6966"/>
    <w:rsid w:val="00E04222"/>
    <w:rsid w:val="00E0503C"/>
    <w:rsid w:val="00E1281F"/>
    <w:rsid w:val="00E2493A"/>
    <w:rsid w:val="00E369B9"/>
    <w:rsid w:val="00E47141"/>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3EC6"/>
    <w:rsid w:val="00F45181"/>
    <w:rsid w:val="00F45972"/>
    <w:rsid w:val="00F53236"/>
    <w:rsid w:val="00F56917"/>
    <w:rsid w:val="00F576F6"/>
    <w:rsid w:val="00F806F6"/>
    <w:rsid w:val="00FA13BA"/>
    <w:rsid w:val="00FA4548"/>
    <w:rsid w:val="00FC2A67"/>
    <w:rsid w:val="00FC708D"/>
    <w:rsid w:val="00FF5D0D"/>
    <w:rsid w:val="00FF71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1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71D9-738F-4152-8BF3-F7AC8A40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2415</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2900</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2023-08-15T08:13:00Z</dcterms:created>
  <dcterms:modified xsi:type="dcterms:W3CDTF">2023-08-15T08:13:00Z</dcterms:modified>
</cp:coreProperties>
</file>