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Default="00A65B34" w:rsidP="00A3549C">
      <w:pPr>
        <w:bidi w:val="0"/>
        <w:jc w:val="center"/>
        <w:rPr>
          <w:rFonts w:asciiTheme="majorBidi" w:hAnsiTheme="majorBidi" w:cstheme="majorBidi"/>
          <w:noProof/>
        </w:rPr>
      </w:pPr>
      <w:r w:rsidRPr="00A92071">
        <w:rPr>
          <w:rFonts w:asciiTheme="minorHAnsi" w:hAnsiTheme="minorHAnsi" w:cstheme="minorHAnsi"/>
          <w:noProof/>
        </w:rPr>
        <w:drawing>
          <wp:anchor distT="0" distB="0" distL="114300" distR="114300" simplePos="0" relativeHeight="251659264" behindDoc="0" locked="0" layoutInCell="1" allowOverlap="1" wp14:anchorId="6DD24202" wp14:editId="363B3C11">
            <wp:simplePos x="0" y="0"/>
            <wp:positionH relativeFrom="column">
              <wp:posOffset>1914525</wp:posOffset>
            </wp:positionH>
            <wp:positionV relativeFrom="paragraph">
              <wp:posOffset>159385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B34" w:rsidRDefault="00A65B34" w:rsidP="00A65B34">
      <w:pPr>
        <w:bidi w:val="0"/>
        <w:jc w:val="center"/>
        <w:rPr>
          <w:rFonts w:asciiTheme="majorBidi" w:hAnsiTheme="majorBidi" w:cstheme="majorBidi"/>
          <w:noProof/>
        </w:rPr>
      </w:pPr>
    </w:p>
    <w:p w:rsidR="00A65B34" w:rsidRDefault="00A65B34" w:rsidP="00A65B34">
      <w:pPr>
        <w:bidi w:val="0"/>
        <w:jc w:val="center"/>
        <w:rPr>
          <w:rFonts w:asciiTheme="majorBidi" w:hAnsiTheme="majorBidi" w:cstheme="majorBidi"/>
          <w:noProof/>
        </w:rPr>
      </w:pPr>
    </w:p>
    <w:p w:rsidR="00A65B34" w:rsidRPr="003B4DD7" w:rsidRDefault="00A65B34" w:rsidP="00A65B34">
      <w:pPr>
        <w:bidi w:val="0"/>
        <w:jc w:val="center"/>
        <w:rPr>
          <w:rFonts w:asciiTheme="majorBidi" w:hAnsiTheme="majorBidi" w:cstheme="majorBidi"/>
          <w:rtl/>
        </w:rPr>
      </w:pP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Default="00CB7D02" w:rsidP="00CB7D02">
      <w:pPr>
        <w:bidi w:val="0"/>
        <w:jc w:val="both"/>
        <w:rPr>
          <w:rFonts w:asciiTheme="majorBidi" w:hAnsiTheme="majorBidi" w:cstheme="majorBidi"/>
        </w:rPr>
      </w:pPr>
      <w:r>
        <w:rPr>
          <w:rFonts w:asciiTheme="majorBidi" w:hAnsiTheme="majorBidi" w:cstheme="majorBidi"/>
        </w:rPr>
        <w:t>July</w:t>
      </w:r>
      <w:r w:rsidR="006F15B8">
        <w:rPr>
          <w:rFonts w:asciiTheme="majorBidi" w:hAnsiTheme="majorBidi" w:cstheme="majorBidi"/>
        </w:rPr>
        <w:t xml:space="preserve"> </w:t>
      </w:r>
      <w:r>
        <w:rPr>
          <w:rFonts w:asciiTheme="majorBidi" w:hAnsiTheme="majorBidi" w:cstheme="majorBidi"/>
        </w:rPr>
        <w:t>1</w:t>
      </w:r>
      <w:r w:rsidR="006F15B8">
        <w:rPr>
          <w:rFonts w:asciiTheme="majorBidi" w:hAnsiTheme="majorBidi" w:cstheme="majorBidi"/>
        </w:rPr>
        <w:t>, 2025</w:t>
      </w:r>
    </w:p>
    <w:p w:rsidR="00C27619" w:rsidRDefault="00C27619" w:rsidP="00C27619">
      <w:pPr>
        <w:bidi w:val="0"/>
        <w:jc w:val="both"/>
        <w:rPr>
          <w:rFonts w:asciiTheme="majorBidi" w:hAnsiTheme="majorBidi" w:cstheme="majorBidi"/>
        </w:rPr>
      </w:pPr>
    </w:p>
    <w:p w:rsidR="00C27619" w:rsidRDefault="00C27619" w:rsidP="00C27619">
      <w:pPr>
        <w:bidi w:val="0"/>
        <w:jc w:val="both"/>
        <w:rPr>
          <w:rFonts w:asciiTheme="majorBidi" w:hAnsiTheme="majorBidi" w:cstheme="majorBidi"/>
          <w:b/>
          <w:bCs/>
        </w:rPr>
      </w:pPr>
      <w:r w:rsidRPr="009C43A2">
        <w:rPr>
          <w:rFonts w:asciiTheme="majorBidi" w:hAnsiTheme="majorBidi" w:cstheme="majorBidi"/>
          <w:b/>
          <w:bCs/>
        </w:rPr>
        <w:t>Press release:</w:t>
      </w:r>
    </w:p>
    <w:p w:rsidR="00C27619" w:rsidRDefault="00C27619" w:rsidP="00C27619">
      <w:pPr>
        <w:bidi w:val="0"/>
        <w:jc w:val="both"/>
        <w:rPr>
          <w:rFonts w:asciiTheme="majorBidi" w:hAnsiTheme="majorBidi" w:cstheme="majorBidi"/>
        </w:rPr>
      </w:pPr>
    </w:p>
    <w:p w:rsidR="000A7388" w:rsidRDefault="006F15B8" w:rsidP="006F15B8">
      <w:pPr>
        <w:bidi w:val="0"/>
        <w:jc w:val="center"/>
        <w:rPr>
          <w:rFonts w:asciiTheme="majorBidi" w:hAnsiTheme="majorBidi" w:cstheme="majorBidi"/>
          <w:b/>
          <w:bCs/>
          <w:sz w:val="32"/>
          <w:szCs w:val="32"/>
        </w:rPr>
      </w:pPr>
      <w:r>
        <w:rPr>
          <w:rFonts w:asciiTheme="majorBidi" w:hAnsiTheme="majorBidi" w:cstheme="majorBidi"/>
          <w:b/>
          <w:bCs/>
          <w:sz w:val="32"/>
          <w:szCs w:val="32"/>
        </w:rPr>
        <w:t>Cessation of Telbor publication</w:t>
      </w:r>
    </w:p>
    <w:p w:rsidR="006F15B8" w:rsidRDefault="006F15B8" w:rsidP="006F15B8">
      <w:pPr>
        <w:bidi w:val="0"/>
        <w:jc w:val="center"/>
        <w:rPr>
          <w:rFonts w:asciiTheme="majorBidi" w:hAnsiTheme="majorBidi" w:cstheme="majorBidi"/>
        </w:rPr>
      </w:pPr>
    </w:p>
    <w:p w:rsidR="000A7388" w:rsidRPr="00F04A13" w:rsidRDefault="006F15B8" w:rsidP="00C2798C">
      <w:pPr>
        <w:bidi w:val="0"/>
        <w:jc w:val="both"/>
        <w:rPr>
          <w:rFonts w:asciiTheme="majorBidi" w:hAnsiTheme="majorBidi" w:cstheme="majorBidi"/>
          <w:b/>
          <w:bCs/>
        </w:rPr>
      </w:pPr>
      <w:bookmarkStart w:id="0" w:name="_GoBack"/>
      <w:r w:rsidRPr="00F04A13">
        <w:rPr>
          <w:rFonts w:asciiTheme="majorBidi" w:hAnsiTheme="majorBidi" w:cstheme="majorBidi"/>
          <w:b/>
          <w:bCs/>
        </w:rPr>
        <w:t>Pursuant to the decision by the Telbor Committee, yesterday, on June 30, 2025, the Telbor interest rates for all periods were published</w:t>
      </w:r>
      <w:r w:rsidR="00942C06" w:rsidRPr="00F04A13">
        <w:rPr>
          <w:rFonts w:asciiTheme="majorBidi" w:hAnsiTheme="majorBidi" w:cstheme="majorBidi"/>
          <w:b/>
          <w:bCs/>
        </w:rPr>
        <w:t xml:space="preserve"> for the final time</w:t>
      </w:r>
      <w:r w:rsidRPr="00F04A13">
        <w:rPr>
          <w:rFonts w:asciiTheme="majorBidi" w:hAnsiTheme="majorBidi" w:cstheme="majorBidi"/>
          <w:b/>
          <w:bCs/>
        </w:rPr>
        <w:t xml:space="preserve">. From here on, the SHIR interest rate will replace the Telbor interest </w:t>
      </w:r>
      <w:r w:rsidR="00C2798C" w:rsidRPr="00F04A13">
        <w:rPr>
          <w:rFonts w:asciiTheme="majorBidi" w:hAnsiTheme="majorBidi" w:cstheme="majorBidi"/>
          <w:b/>
          <w:bCs/>
        </w:rPr>
        <w:t xml:space="preserve">rate </w:t>
      </w:r>
      <w:r w:rsidRPr="00F04A13">
        <w:rPr>
          <w:rFonts w:asciiTheme="majorBidi" w:hAnsiTheme="majorBidi" w:cstheme="majorBidi"/>
          <w:b/>
          <w:bCs/>
        </w:rPr>
        <w:t>as a basis for derivative transactions.</w:t>
      </w:r>
    </w:p>
    <w:p w:rsidR="006F15B8" w:rsidRPr="00F04A13" w:rsidRDefault="006F15B8" w:rsidP="006F15B8">
      <w:pPr>
        <w:bidi w:val="0"/>
        <w:jc w:val="both"/>
        <w:rPr>
          <w:rFonts w:asciiTheme="majorBidi" w:hAnsiTheme="majorBidi" w:cstheme="majorBidi"/>
        </w:rPr>
      </w:pPr>
    </w:p>
    <w:p w:rsidR="006F15B8" w:rsidRPr="00F04A13" w:rsidRDefault="006F15B8" w:rsidP="00C2798C">
      <w:pPr>
        <w:bidi w:val="0"/>
        <w:jc w:val="both"/>
        <w:rPr>
          <w:rFonts w:asciiTheme="majorBidi" w:hAnsiTheme="majorBidi" w:cstheme="majorBidi"/>
        </w:rPr>
      </w:pPr>
      <w:r w:rsidRPr="00F04A13">
        <w:rPr>
          <w:rFonts w:asciiTheme="majorBidi" w:hAnsiTheme="majorBidi" w:cstheme="majorBidi"/>
        </w:rPr>
        <w:t xml:space="preserve">The decision to replace the Telbor interest rate with the SHIR interest rate is in line with the decisions reached in major economies worldwide, in which IBOR type interest rates will be replaced </w:t>
      </w:r>
      <w:r w:rsidR="00C2798C" w:rsidRPr="00F04A13">
        <w:rPr>
          <w:rFonts w:asciiTheme="majorBidi" w:hAnsiTheme="majorBidi" w:cstheme="majorBidi"/>
        </w:rPr>
        <w:t>by</w:t>
      </w:r>
      <w:r w:rsidRPr="00F04A13">
        <w:rPr>
          <w:rFonts w:asciiTheme="majorBidi" w:hAnsiTheme="majorBidi" w:cstheme="majorBidi"/>
        </w:rPr>
        <w:t xml:space="preserve"> risk free overnight interest rates.</w:t>
      </w:r>
      <w:r w:rsidR="00F3357C" w:rsidRPr="00F04A13">
        <w:rPr>
          <w:rFonts w:asciiTheme="majorBidi" w:hAnsiTheme="majorBidi" w:cstheme="majorBidi"/>
        </w:rPr>
        <w:t xml:space="preserve"> The SHIR interest rate is equal to the Bank of Israel interest rate. However, on dates when the SHIR interest rate is not published, its value shall be what it was on the last publication date.</w:t>
      </w:r>
    </w:p>
    <w:p w:rsidR="00F3357C" w:rsidRPr="00F04A13" w:rsidRDefault="00F3357C" w:rsidP="00F3357C">
      <w:pPr>
        <w:bidi w:val="0"/>
        <w:jc w:val="both"/>
        <w:rPr>
          <w:rFonts w:asciiTheme="majorBidi" w:hAnsiTheme="majorBidi" w:cstheme="majorBidi"/>
        </w:rPr>
      </w:pPr>
    </w:p>
    <w:p w:rsidR="00F3357C" w:rsidRPr="00F04A13" w:rsidRDefault="00F3357C" w:rsidP="00F04A13">
      <w:pPr>
        <w:bidi w:val="0"/>
        <w:jc w:val="both"/>
        <w:rPr>
          <w:rFonts w:asciiTheme="majorBidi" w:hAnsiTheme="majorBidi" w:cstheme="majorBidi"/>
        </w:rPr>
      </w:pPr>
      <w:proofErr w:type="gramStart"/>
      <w:r w:rsidRPr="00F04A13">
        <w:rPr>
          <w:rFonts w:asciiTheme="majorBidi" w:hAnsiTheme="majorBidi" w:cstheme="majorBidi"/>
        </w:rPr>
        <w:t>The SHIR interest rate is published on the Bank of Israel website by</w:t>
      </w:r>
      <w:r w:rsidR="00F04A13" w:rsidRPr="00F04A13">
        <w:rPr>
          <w:rFonts w:asciiTheme="majorBidi" w:hAnsiTheme="majorBidi" w:cstheme="majorBidi"/>
        </w:rPr>
        <w:t xml:space="preserve"> </w:t>
      </w:r>
      <w:r w:rsidRPr="00F04A13">
        <w:rPr>
          <w:rFonts w:asciiTheme="majorBidi" w:hAnsiTheme="majorBidi" w:cstheme="majorBidi"/>
        </w:rPr>
        <w:t>11:00 each day,</w:t>
      </w:r>
      <w:r w:rsidR="00F04A13">
        <w:rPr>
          <w:rFonts w:asciiTheme="majorBidi" w:hAnsiTheme="majorBidi" w:cstheme="majorBidi"/>
        </w:rPr>
        <w:t xml:space="preserve"> </w:t>
      </w:r>
      <w:r w:rsidRPr="00F04A13">
        <w:rPr>
          <w:rFonts w:asciiTheme="majorBidi" w:hAnsiTheme="majorBidi" w:cstheme="majorBidi"/>
        </w:rPr>
        <w:t>except for Saturday, Sunday, and other dates as are published and updated occasionally</w:t>
      </w:r>
      <w:proofErr w:type="gramEnd"/>
      <w:r w:rsidRPr="00F04A13">
        <w:rPr>
          <w:rFonts w:asciiTheme="majorBidi" w:hAnsiTheme="majorBidi" w:cstheme="majorBidi"/>
        </w:rPr>
        <w:t>.</w:t>
      </w:r>
    </w:p>
    <w:p w:rsidR="00F3357C" w:rsidRPr="00F04A13" w:rsidRDefault="00F3357C" w:rsidP="00F3357C">
      <w:pPr>
        <w:bidi w:val="0"/>
        <w:jc w:val="both"/>
        <w:rPr>
          <w:rFonts w:asciiTheme="majorBidi" w:hAnsiTheme="majorBidi" w:cstheme="majorBidi"/>
        </w:rPr>
      </w:pPr>
    </w:p>
    <w:p w:rsidR="00DE151D" w:rsidRPr="00F04A13" w:rsidRDefault="00DE151D" w:rsidP="00DE151D">
      <w:pPr>
        <w:bidi w:val="0"/>
        <w:jc w:val="both"/>
        <w:rPr>
          <w:rFonts w:asciiTheme="majorBidi" w:hAnsiTheme="majorBidi" w:cstheme="majorBidi"/>
        </w:rPr>
      </w:pPr>
      <w:r w:rsidRPr="00F04A13">
        <w:rPr>
          <w:rFonts w:asciiTheme="majorBidi" w:hAnsiTheme="majorBidi" w:cstheme="majorBidi"/>
          <w:b/>
          <w:bCs/>
        </w:rPr>
        <w:t>Markets Department Director Dr. G</w:t>
      </w:r>
      <w:r w:rsidR="005E3804" w:rsidRPr="00F04A13">
        <w:rPr>
          <w:rFonts w:asciiTheme="majorBidi" w:hAnsiTheme="majorBidi" w:cstheme="majorBidi"/>
          <w:b/>
          <w:bCs/>
        </w:rPr>
        <w:t>olan Benita</w:t>
      </w:r>
      <w:r w:rsidR="005E3804" w:rsidRPr="00F04A13">
        <w:rPr>
          <w:rFonts w:asciiTheme="majorBidi" w:hAnsiTheme="majorBidi" w:cstheme="majorBidi"/>
        </w:rPr>
        <w:t xml:space="preserve"> said, “We are happy to announce the completion of the project to shift from the Telbor to SHIR interest rates. The switch involved numerous stages, and required close collaboration by numerous entities in Israel and worldwide, and I would like to thank them for that. Switching the Telbor rate with the SHIR rate is expected to contribute to the promotion and development of the shekel interest rate derivative market”.</w:t>
      </w:r>
    </w:p>
    <w:p w:rsidR="005E3804" w:rsidRPr="00F04A13" w:rsidRDefault="005E3804" w:rsidP="005E3804">
      <w:pPr>
        <w:bidi w:val="0"/>
        <w:jc w:val="both"/>
        <w:rPr>
          <w:rFonts w:asciiTheme="majorBidi" w:hAnsiTheme="majorBidi" w:cstheme="majorBidi"/>
        </w:rPr>
      </w:pPr>
    </w:p>
    <w:p w:rsidR="005E3804" w:rsidRPr="000A7388" w:rsidRDefault="005E3804" w:rsidP="005E3804">
      <w:pPr>
        <w:bidi w:val="0"/>
        <w:jc w:val="both"/>
        <w:rPr>
          <w:rFonts w:asciiTheme="majorBidi" w:hAnsiTheme="majorBidi" w:cstheme="majorBidi"/>
        </w:rPr>
      </w:pPr>
      <w:r w:rsidRPr="00F04A13">
        <w:rPr>
          <w:rFonts w:asciiTheme="majorBidi" w:hAnsiTheme="majorBidi" w:cstheme="majorBidi"/>
        </w:rPr>
        <w:t xml:space="preserve">Additional information on the </w:t>
      </w:r>
      <w:hyperlink r:id="rId9" w:history="1">
        <w:r w:rsidRPr="00F04A13">
          <w:rPr>
            <w:rStyle w:val="Hyperlink"/>
            <w:rFonts w:asciiTheme="majorBidi" w:hAnsiTheme="majorBidi" w:cstheme="majorBidi"/>
          </w:rPr>
          <w:t>Telbor</w:t>
        </w:r>
      </w:hyperlink>
      <w:r w:rsidRPr="00F04A13">
        <w:rPr>
          <w:rFonts w:asciiTheme="majorBidi" w:hAnsiTheme="majorBidi" w:cstheme="majorBidi"/>
        </w:rPr>
        <w:t xml:space="preserve"> and </w:t>
      </w:r>
      <w:hyperlink r:id="rId10" w:history="1">
        <w:r w:rsidRPr="00BF65DE">
          <w:rPr>
            <w:rStyle w:val="Hyperlink"/>
            <w:rFonts w:asciiTheme="majorBidi" w:hAnsiTheme="majorBidi" w:cstheme="majorBidi"/>
          </w:rPr>
          <w:t>SHIR</w:t>
        </w:r>
      </w:hyperlink>
      <w:r w:rsidRPr="00F04A13">
        <w:rPr>
          <w:rFonts w:asciiTheme="majorBidi" w:hAnsiTheme="majorBidi" w:cstheme="majorBidi"/>
        </w:rPr>
        <w:t xml:space="preserve"> interest rates is available on the Bank of Israel website.</w:t>
      </w:r>
      <w:bookmarkEnd w:id="0"/>
    </w:p>
    <w:sectPr w:rsidR="005E3804" w:rsidRPr="000A7388" w:rsidSect="00D114C9">
      <w:headerReference w:type="even" r:id="rId11"/>
      <w:headerReference w:type="default" r:id="rId12"/>
      <w:footerReference w:type="even" r:id="rId13"/>
      <w:footerReference w:type="default" r:id="rId14"/>
      <w:headerReference w:type="first" r:id="rId15"/>
      <w:footerReference w:type="first" r:id="rId16"/>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83" w:rsidRDefault="007B4F83" w:rsidP="00E64B36">
      <w:r>
        <w:separator/>
      </w:r>
    </w:p>
  </w:endnote>
  <w:endnote w:type="continuationSeparator" w:id="0">
    <w:p w:rsidR="007B4F83" w:rsidRDefault="007B4F83"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CB7D02">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CB7D02">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83" w:rsidRDefault="007B4F83" w:rsidP="00E64B36">
      <w:r>
        <w:separator/>
      </w:r>
    </w:p>
  </w:footnote>
  <w:footnote w:type="continuationSeparator" w:id="0">
    <w:p w:rsidR="007B4F83" w:rsidRDefault="007B4F83"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3373"/>
    <w:rsid w:val="00007FFE"/>
    <w:rsid w:val="0001385E"/>
    <w:rsid w:val="0001413F"/>
    <w:rsid w:val="00022DA8"/>
    <w:rsid w:val="00033569"/>
    <w:rsid w:val="00051247"/>
    <w:rsid w:val="000526A0"/>
    <w:rsid w:val="0005726E"/>
    <w:rsid w:val="00065D9C"/>
    <w:rsid w:val="000A520E"/>
    <w:rsid w:val="000A7388"/>
    <w:rsid w:val="000C710C"/>
    <w:rsid w:val="000D4E65"/>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24E"/>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D6DAF"/>
    <w:rsid w:val="005E3804"/>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6F15B8"/>
    <w:rsid w:val="0070010B"/>
    <w:rsid w:val="0070029F"/>
    <w:rsid w:val="00701734"/>
    <w:rsid w:val="00706009"/>
    <w:rsid w:val="00721560"/>
    <w:rsid w:val="00726036"/>
    <w:rsid w:val="0074341E"/>
    <w:rsid w:val="00751F08"/>
    <w:rsid w:val="00760371"/>
    <w:rsid w:val="007666A8"/>
    <w:rsid w:val="00776535"/>
    <w:rsid w:val="007806C5"/>
    <w:rsid w:val="00786563"/>
    <w:rsid w:val="00787142"/>
    <w:rsid w:val="00792220"/>
    <w:rsid w:val="007926C7"/>
    <w:rsid w:val="00793399"/>
    <w:rsid w:val="007A10BA"/>
    <w:rsid w:val="007A2030"/>
    <w:rsid w:val="007A589B"/>
    <w:rsid w:val="007A64CC"/>
    <w:rsid w:val="007B2769"/>
    <w:rsid w:val="007B4F83"/>
    <w:rsid w:val="007C6400"/>
    <w:rsid w:val="007D57EE"/>
    <w:rsid w:val="007E0C1F"/>
    <w:rsid w:val="007E1CB3"/>
    <w:rsid w:val="007F7993"/>
    <w:rsid w:val="0081026B"/>
    <w:rsid w:val="00830099"/>
    <w:rsid w:val="008403F1"/>
    <w:rsid w:val="00842057"/>
    <w:rsid w:val="00842BAF"/>
    <w:rsid w:val="00857317"/>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42C06"/>
    <w:rsid w:val="00961BD6"/>
    <w:rsid w:val="0097278E"/>
    <w:rsid w:val="009744A0"/>
    <w:rsid w:val="00976781"/>
    <w:rsid w:val="00986270"/>
    <w:rsid w:val="009B166B"/>
    <w:rsid w:val="009B66C8"/>
    <w:rsid w:val="009C21B3"/>
    <w:rsid w:val="009C2C42"/>
    <w:rsid w:val="009C43A2"/>
    <w:rsid w:val="009E3D4E"/>
    <w:rsid w:val="009E6A28"/>
    <w:rsid w:val="009F010F"/>
    <w:rsid w:val="009F3FB7"/>
    <w:rsid w:val="00A117D2"/>
    <w:rsid w:val="00A17420"/>
    <w:rsid w:val="00A239A7"/>
    <w:rsid w:val="00A3549C"/>
    <w:rsid w:val="00A374AC"/>
    <w:rsid w:val="00A37869"/>
    <w:rsid w:val="00A44A88"/>
    <w:rsid w:val="00A65B34"/>
    <w:rsid w:val="00A72122"/>
    <w:rsid w:val="00A74752"/>
    <w:rsid w:val="00A749E1"/>
    <w:rsid w:val="00A81B6C"/>
    <w:rsid w:val="00A94775"/>
    <w:rsid w:val="00A962CF"/>
    <w:rsid w:val="00AB75B4"/>
    <w:rsid w:val="00AC74EC"/>
    <w:rsid w:val="00AD7CC8"/>
    <w:rsid w:val="00AE6E25"/>
    <w:rsid w:val="00AF6B3A"/>
    <w:rsid w:val="00B054AD"/>
    <w:rsid w:val="00B108AE"/>
    <w:rsid w:val="00B13C9D"/>
    <w:rsid w:val="00B2426C"/>
    <w:rsid w:val="00B40E49"/>
    <w:rsid w:val="00B533D5"/>
    <w:rsid w:val="00B54F09"/>
    <w:rsid w:val="00B56062"/>
    <w:rsid w:val="00B71972"/>
    <w:rsid w:val="00B84789"/>
    <w:rsid w:val="00B85769"/>
    <w:rsid w:val="00B87F00"/>
    <w:rsid w:val="00B9176B"/>
    <w:rsid w:val="00B96022"/>
    <w:rsid w:val="00BC113A"/>
    <w:rsid w:val="00BC71FF"/>
    <w:rsid w:val="00BD0FFD"/>
    <w:rsid w:val="00BE27B4"/>
    <w:rsid w:val="00BE4CAF"/>
    <w:rsid w:val="00BE52BF"/>
    <w:rsid w:val="00BF65DE"/>
    <w:rsid w:val="00C00BB8"/>
    <w:rsid w:val="00C02233"/>
    <w:rsid w:val="00C05BED"/>
    <w:rsid w:val="00C06B06"/>
    <w:rsid w:val="00C106C2"/>
    <w:rsid w:val="00C15121"/>
    <w:rsid w:val="00C171FF"/>
    <w:rsid w:val="00C21009"/>
    <w:rsid w:val="00C21363"/>
    <w:rsid w:val="00C2294B"/>
    <w:rsid w:val="00C27619"/>
    <w:rsid w:val="00C2798C"/>
    <w:rsid w:val="00C37129"/>
    <w:rsid w:val="00C47A56"/>
    <w:rsid w:val="00C52224"/>
    <w:rsid w:val="00C52FC2"/>
    <w:rsid w:val="00C5755A"/>
    <w:rsid w:val="00C67CE0"/>
    <w:rsid w:val="00C74F11"/>
    <w:rsid w:val="00C7643D"/>
    <w:rsid w:val="00C76E10"/>
    <w:rsid w:val="00CB5D78"/>
    <w:rsid w:val="00CB7D02"/>
    <w:rsid w:val="00CC58F8"/>
    <w:rsid w:val="00CD0A35"/>
    <w:rsid w:val="00CD5F91"/>
    <w:rsid w:val="00CD6927"/>
    <w:rsid w:val="00CE0A3E"/>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E151D"/>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95D34"/>
    <w:rsid w:val="00EB0782"/>
    <w:rsid w:val="00EB0DEC"/>
    <w:rsid w:val="00EB44F5"/>
    <w:rsid w:val="00EB669A"/>
    <w:rsid w:val="00EC126C"/>
    <w:rsid w:val="00EC13FB"/>
    <w:rsid w:val="00EC48D4"/>
    <w:rsid w:val="00ED5226"/>
    <w:rsid w:val="00EE2AA0"/>
    <w:rsid w:val="00EE3596"/>
    <w:rsid w:val="00EF1554"/>
    <w:rsid w:val="00EF1AC2"/>
    <w:rsid w:val="00F033FC"/>
    <w:rsid w:val="00F04A13"/>
    <w:rsid w:val="00F15E93"/>
    <w:rsid w:val="00F3357C"/>
    <w:rsid w:val="00F45181"/>
    <w:rsid w:val="00F45972"/>
    <w:rsid w:val="00F53236"/>
    <w:rsid w:val="00F5608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F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 w:type="table" w:styleId="TableGrid">
    <w:name w:val="Table Grid"/>
    <w:basedOn w:val="TableNormal"/>
    <w:uiPriority w:val="59"/>
    <w:rsid w:val="009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C43A2"/>
    <w:rPr>
      <w:sz w:val="22"/>
      <w:szCs w:val="22"/>
    </w:rPr>
  </w:style>
  <w:style w:type="paragraph" w:styleId="BodyText">
    <w:name w:val="Body Text"/>
    <w:basedOn w:val="Normal"/>
    <w:link w:val="BodyTextChar"/>
    <w:qFormat/>
    <w:rsid w:val="009C43A2"/>
    <w:pPr>
      <w:widowControl w:val="0"/>
      <w:bidi w:val="0"/>
      <w:spacing w:after="160" w:line="276" w:lineRule="auto"/>
    </w:pPr>
    <w:rPr>
      <w:sz w:val="22"/>
      <w:szCs w:val="22"/>
    </w:rPr>
  </w:style>
  <w:style w:type="character" w:customStyle="1" w:styleId="BodyTextChar1">
    <w:name w:val="Body Text Char1"/>
    <w:basedOn w:val="DefaultParagraphFont"/>
    <w:semiHidden/>
    <w:rsid w:val="009C43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oi.org.il/en/economic-roles/financial-markets/shir/" TargetMode="External"/><Relationship Id="rId4" Type="http://schemas.openxmlformats.org/officeDocument/2006/relationships/settings" Target="settings.xml"/><Relationship Id="rId9" Type="http://schemas.openxmlformats.org/officeDocument/2006/relationships/hyperlink" Target="https://www.boi.org.il/en/economic-roles/financial-markets/the-telbor-market/"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A47A-FBB2-4EB1-BA3D-65EC223F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1495</Characters>
  <Application>Microsoft Office Word</Application>
  <DocSecurity>4</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1752</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2025-07-01T09:34:00Z</dcterms:created>
  <dcterms:modified xsi:type="dcterms:W3CDTF">2025-07-01T09:34:00Z</dcterms:modified>
</cp:coreProperties>
</file>