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E28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031A9D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6B70AD">
              <w:rPr>
                <w:rFonts w:asciiTheme="minorHAnsi" w:hAnsiTheme="minorHAnsi" w:cstheme="minorHAnsi"/>
                <w:noProof/>
                <w:rtl/>
              </w:rPr>
              <w:t>‏כ"א אלול,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031A9D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6B70AD">
              <w:rPr>
                <w:rFonts w:asciiTheme="minorHAnsi" w:hAnsiTheme="minorHAnsi" w:cstheme="minorHAnsi"/>
                <w:noProof/>
                <w:rtl/>
              </w:rPr>
              <w:t>‏14 ספטמבר,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Pr="006B70AD" w:rsidRDefault="005E28F6" w:rsidP="006B70AD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rtl/>
        </w:rPr>
      </w:pPr>
      <w:r w:rsidRPr="005E28F6">
        <w:rPr>
          <w:rFonts w:asciiTheme="minorHAnsi" w:hAnsiTheme="minorHAnsi" w:cstheme="minorHAnsi"/>
          <w:rtl/>
        </w:rPr>
        <w:t>הודעה לעיתונות</w:t>
      </w:r>
      <w:r w:rsidRPr="005E28F6">
        <w:rPr>
          <w:rFonts w:asciiTheme="minorHAnsi" w:hAnsiTheme="minorHAnsi" w:cstheme="minorHAnsi"/>
        </w:rPr>
        <w:t>:</w:t>
      </w:r>
    </w:p>
    <w:p w:rsidR="006B70AD" w:rsidRPr="006B70AD" w:rsidRDefault="006B70AD" w:rsidP="006B70AD">
      <w:pPr>
        <w:bidi/>
        <w:spacing w:after="100" w:afterAutospacing="1" w:line="36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6B70A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rtl/>
        </w:rPr>
        <w:t xml:space="preserve">בנק ישראל הקים </w:t>
      </w:r>
      <w:bookmarkStart w:id="0" w:name="_GoBack"/>
      <w:r w:rsidRPr="006B70A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rtl/>
        </w:rPr>
        <w:t>ועדת איתור לתפקיד מנהל/ת חטיבת טכנולוגיות המידע</w:t>
      </w:r>
    </w:p>
    <w:bookmarkEnd w:id="0"/>
    <w:p w:rsidR="006B70AD" w:rsidRPr="006B70AD" w:rsidRDefault="006B70AD" w:rsidP="006B70AD">
      <w:pPr>
        <w:shd w:val="clear" w:color="auto" w:fill="FFFFFF"/>
        <w:bidi/>
        <w:spacing w:after="100" w:afterAutospacing="1" w:line="360" w:lineRule="auto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6B70AD">
        <w:rPr>
          <w:rFonts w:asciiTheme="minorHAnsi" w:eastAsia="Times New Roman" w:hAnsiTheme="minorHAnsi" w:cstheme="minorHAnsi"/>
          <w:b/>
          <w:bCs/>
          <w:color w:val="000000" w:themeColor="text1"/>
          <w:rtl/>
        </w:rPr>
        <w:t xml:space="preserve">נגיד בנק ישראל, פרופ' אמיר ירון, הקים ועדת איתור לתפקיד מנהל/ת חטיבת טכנולוגיות המידע בבנק ישראל, לאחר שמנהל החטיבה, מר ליאור </w:t>
      </w:r>
      <w:proofErr w:type="spellStart"/>
      <w:r w:rsidRPr="006B70AD">
        <w:rPr>
          <w:rFonts w:asciiTheme="minorHAnsi" w:eastAsia="Times New Roman" w:hAnsiTheme="minorHAnsi" w:cstheme="minorHAnsi"/>
          <w:b/>
          <w:bCs/>
          <w:color w:val="000000" w:themeColor="text1"/>
          <w:rtl/>
        </w:rPr>
        <w:t>ג'ורג'י</w:t>
      </w:r>
      <w:proofErr w:type="spellEnd"/>
      <w:r w:rsidRPr="006B70AD">
        <w:rPr>
          <w:rFonts w:asciiTheme="minorHAnsi" w:eastAsia="Times New Roman" w:hAnsiTheme="minorHAnsi" w:cstheme="minorHAnsi"/>
          <w:b/>
          <w:bCs/>
          <w:color w:val="000000" w:themeColor="text1"/>
          <w:rtl/>
        </w:rPr>
        <w:t>, הודיע על רצונו לסיים את תפקידו בחודש ינואר 2026 עם תום קדנציה מלאה בת חמש שנים.</w:t>
      </w:r>
    </w:p>
    <w:p w:rsidR="006B70AD" w:rsidRPr="006B70AD" w:rsidRDefault="006B70AD" w:rsidP="006B70AD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נגיד בנק ישראל, פרופ' אמיר ירון, הקים ועדת איתור לתפקיד מנהל/ת חטיבת טכנולוגיות המידע בבנק ישראל, לאחר שמנהל החטיבה, מר ליאור </w:t>
      </w:r>
      <w:proofErr w:type="spellStart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ג'ורג'י</w:t>
      </w:r>
      <w:proofErr w:type="spellEnd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, הודיע על רצונו לסיים את תפקידו בחודש ינואר 2026 עם תום קדנציה מלאה בת חמש שנים.</w:t>
      </w:r>
    </w:p>
    <w:p w:rsidR="006B70AD" w:rsidRPr="006B70AD" w:rsidRDefault="006B70AD" w:rsidP="006B70AD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בראש ועדת האיתור יעמוד מנהל חטיבת המחקר, ד"ר עדי ברנדר, וחברים נוספים בה יהיו גב' לנה </w:t>
      </w:r>
      <w:proofErr w:type="spellStart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קרופאלניק</w:t>
      </w:r>
      <w:proofErr w:type="spellEnd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, מנהלת מחלקת הקרן לאזרחי ישראל בבנק ישראל, וד"ר עמירם (עמי) </w:t>
      </w:r>
      <w:proofErr w:type="spellStart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אפלבום</w:t>
      </w:r>
      <w:proofErr w:type="spellEnd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 מנהל רשות החדשנות והמדען הראשי במשרד הכלכלה והתעשייה לשעבר.</w:t>
      </w:r>
    </w:p>
    <w:p w:rsidR="006B70AD" w:rsidRPr="006B70AD" w:rsidRDefault="006B70AD" w:rsidP="006B70AD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 ועדת האיתור תפרסם מידע אודות תנאי הסף ואופן הגשת המועמדות לתפקיד, תראיין מועמדים/</w:t>
      </w:r>
      <w:proofErr w:type="spellStart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ות</w:t>
      </w:r>
      <w:proofErr w:type="spellEnd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 שתמצא לנכון ותמליץ לנגיד על מספר מצומצם של מועמדים/</w:t>
      </w:r>
      <w:proofErr w:type="spellStart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ות</w:t>
      </w:r>
      <w:proofErr w:type="spellEnd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. ועדת האיתור והנגיד יוכלו לפנות גם למועמדים/</w:t>
      </w:r>
      <w:proofErr w:type="spellStart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>ות</w:t>
      </w:r>
      <w:proofErr w:type="spellEnd"/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 שלא יפנו מיוזמתם/ן לוועדה.</w:t>
      </w:r>
    </w:p>
    <w:p w:rsidR="006B70AD" w:rsidRPr="006B70AD" w:rsidRDefault="006B70AD" w:rsidP="006B70AD">
      <w:pPr>
        <w:shd w:val="clear" w:color="auto" w:fill="FFFFFF"/>
        <w:bidi/>
        <w:spacing w:after="100" w:afterAutospacing="1" w:line="450" w:lineRule="atLeast"/>
        <w:jc w:val="both"/>
        <w:rPr>
          <w:rFonts w:asciiTheme="minorHAnsi" w:eastAsia="Times New Roman" w:hAnsiTheme="minorHAnsi" w:cstheme="minorHAnsi"/>
          <w:color w:val="000000" w:themeColor="text1"/>
          <w:rtl/>
        </w:rPr>
      </w:pPr>
      <w:r w:rsidRPr="006B70AD">
        <w:rPr>
          <w:rFonts w:asciiTheme="minorHAnsi" w:eastAsia="Times New Roman" w:hAnsiTheme="minorHAnsi" w:cstheme="minorHAnsi"/>
          <w:color w:val="000000" w:themeColor="text1"/>
          <w:rtl/>
        </w:rPr>
        <w:t xml:space="preserve"> הנגיד הודה לחברי הוועדה על נכונותם לסייע בתהליך החשוב של בחירת מנהל/ת חטיבת טכנולוגיות המידע בבנק ישראל.​</w:t>
      </w:r>
    </w:p>
    <w:p w:rsidR="006B70AD" w:rsidRPr="006B70AD" w:rsidRDefault="006B70AD" w:rsidP="006B70AD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rtl/>
        </w:rPr>
      </w:pPr>
    </w:p>
    <w:p w:rsidR="00F25BB5" w:rsidRPr="006B70AD" w:rsidRDefault="00F25BB5" w:rsidP="006B70AD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rtl/>
        </w:rPr>
      </w:pPr>
    </w:p>
    <w:p w:rsidR="00F25BB5" w:rsidRPr="006B70AD" w:rsidRDefault="00F25BB5" w:rsidP="006B70AD">
      <w:pPr>
        <w:bidi/>
        <w:spacing w:line="360" w:lineRule="auto"/>
        <w:jc w:val="both"/>
        <w:rPr>
          <w:rFonts w:asciiTheme="minorHAnsi" w:hAnsiTheme="minorHAnsi" w:cstheme="minorHAnsi"/>
          <w:color w:val="000000" w:themeColor="text1"/>
          <w:rtl/>
        </w:rPr>
      </w:pPr>
    </w:p>
    <w:p w:rsidR="003E7478" w:rsidRPr="005E28F6" w:rsidRDefault="003E7478" w:rsidP="005E28F6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5E28F6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F25BB5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B70AD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260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3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2025-09-14T10:27:00Z</dcterms:created>
  <dcterms:modified xsi:type="dcterms:W3CDTF">2025-09-14T10:27:00Z</dcterms:modified>
</cp:coreProperties>
</file>