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77777777" w:rsidR="00650B9A" w:rsidRDefault="0037697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  <w:bookmarkEnd w:id="0"/>
      <w:r>
        <w:rPr>
          <w:rFonts w:ascii="Times New Roman" w:hAnsi="Times New Roman" w:cs="David"/>
          <w:bCs/>
          <w:noProof/>
        </w:rPr>
        <w:drawing>
          <wp:inline distT="0" distB="0" distL="0" distR="0" wp14:anchorId="3EAF4A85" wp14:editId="65CAB5B1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0092" w14:textId="77777777"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14:paraId="7BDED074" w14:textId="1F140308" w:rsidR="00650B9A" w:rsidRDefault="00650B9A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 w:rsidRPr="00000A06">
        <w:rPr>
          <w:rFonts w:ascii="Times New Roman" w:hAnsi="Times New Roman" w:cs="Times New Roman"/>
        </w:rPr>
        <w:t xml:space="preserve">Office of the </w:t>
      </w:r>
      <w:r w:rsidR="0009048D">
        <w:rPr>
          <w:rFonts w:ascii="Times New Roman" w:hAnsi="Times New Roman" w:cs="Times New Roman" w:hint="cs"/>
        </w:rPr>
        <w:t>S</w:t>
      </w:r>
      <w:r w:rsidR="0009048D">
        <w:rPr>
          <w:rFonts w:ascii="Times New Roman" w:hAnsi="Times New Roman" w:cs="Times New Roman"/>
        </w:rPr>
        <w:t>pokesperson and Economic Information</w:t>
      </w:r>
    </w:p>
    <w:p w14:paraId="5DC516B5" w14:textId="6D04FE8F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</w:p>
    <w:p w14:paraId="73A6A7DC" w14:textId="3569AD15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release</w:t>
      </w:r>
    </w:p>
    <w:p w14:paraId="2DEFF62A" w14:textId="77777777" w:rsidR="00DD0AB5" w:rsidRPr="00000A06" w:rsidRDefault="00DD0AB5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</w:p>
    <w:p w14:paraId="0CD9A423" w14:textId="680F59A4" w:rsidR="007617BD" w:rsidRDefault="00350DA0" w:rsidP="00651EE8">
      <w:pPr>
        <w:pStyle w:val="regpar"/>
        <w:jc w:val="right"/>
      </w:pPr>
      <w:r>
        <w:t>October 29</w:t>
      </w:r>
      <w:r w:rsidR="007E6D32">
        <w:t>, 2024</w:t>
      </w:r>
    </w:p>
    <w:p w14:paraId="22D7AE78" w14:textId="3BEA9B84" w:rsidR="00F23C43" w:rsidRDefault="00F23C43" w:rsidP="00F23C43">
      <w:pPr>
        <w:pStyle w:val="regpar"/>
      </w:pPr>
    </w:p>
    <w:p w14:paraId="325CE029" w14:textId="30104A21" w:rsidR="00D00CF7" w:rsidRDefault="00D00CF7" w:rsidP="00D00CF7">
      <w:pPr>
        <w:pStyle w:val="regpar"/>
        <w:jc w:val="center"/>
        <w:rPr>
          <w:b/>
          <w:bCs/>
          <w:sz w:val="26"/>
          <w:szCs w:val="26"/>
        </w:rPr>
      </w:pPr>
    </w:p>
    <w:p w14:paraId="7BF8A788" w14:textId="1CE20402" w:rsidR="00D00CF7" w:rsidRDefault="00350DA0" w:rsidP="00350DA0">
      <w:pPr>
        <w:pStyle w:val="regpar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As part of increased consumer-related enforcement and controls, the Banking Supervision Department has imposed monetary sanctions due to breaches of the supervisory directives on debt collection and call-center service</w:t>
      </w:r>
    </w:p>
    <w:p w14:paraId="57364676" w14:textId="583A0F82" w:rsidR="00477DE2" w:rsidRDefault="00477DE2" w:rsidP="00477DE2">
      <w:pPr>
        <w:pStyle w:val="regpar"/>
        <w:ind w:firstLine="0"/>
        <w:jc w:val="center"/>
        <w:rPr>
          <w:b/>
          <w:bCs/>
          <w:sz w:val="26"/>
          <w:szCs w:val="26"/>
        </w:rPr>
      </w:pPr>
    </w:p>
    <w:p w14:paraId="22A3579F" w14:textId="566D6942" w:rsidR="00350DA0" w:rsidRPr="00350DA0" w:rsidRDefault="00350DA0" w:rsidP="00350DA0">
      <w:pPr>
        <w:shd w:val="clear" w:color="auto" w:fill="FFFFFF"/>
        <w:spacing w:after="240" w:line="240" w:lineRule="auto"/>
        <w:jc w:val="left"/>
        <w:rPr>
          <w:rFonts w:ascii="Segoe UI" w:hAnsi="Segoe UI" w:cs="Segoe UI"/>
          <w:color w:val="242424"/>
          <w:sz w:val="21"/>
          <w:szCs w:val="21"/>
        </w:rPr>
      </w:pPr>
      <w:r w:rsidRPr="00350DA0">
        <w:rPr>
          <w:rFonts w:ascii="Segoe UI" w:hAnsi="Segoe UI" w:cs="Segoe UI"/>
          <w:color w:val="242424"/>
          <w:sz w:val="21"/>
          <w:szCs w:val="21"/>
        </w:rPr>
        <w:t xml:space="preserve">As part of routine inspections conducted by the </w:t>
      </w:r>
      <w:r>
        <w:rPr>
          <w:rFonts w:ascii="Segoe UI" w:hAnsi="Segoe UI" w:cs="Segoe UI"/>
          <w:color w:val="242424"/>
          <w:sz w:val="21"/>
          <w:szCs w:val="21"/>
        </w:rPr>
        <w:t>Banking Supervision Department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in the banking system and credit card companies, </w:t>
      </w:r>
      <w:proofErr w:type="spellStart"/>
      <w:r w:rsidRPr="00350DA0">
        <w:rPr>
          <w:rFonts w:ascii="Segoe UI" w:hAnsi="Segoe UI" w:cs="Segoe UI"/>
          <w:color w:val="242424"/>
          <w:sz w:val="21"/>
          <w:szCs w:val="21"/>
        </w:rPr>
        <w:t>Isracard</w:t>
      </w:r>
      <w:proofErr w:type="spellEnd"/>
      <w:r w:rsidRPr="00350DA0">
        <w:rPr>
          <w:rFonts w:ascii="Segoe UI" w:hAnsi="Segoe UI" w:cs="Segoe UI"/>
          <w:color w:val="242424"/>
          <w:sz w:val="21"/>
          <w:szCs w:val="21"/>
        </w:rPr>
        <w:t xml:space="preserve"> Ltd. (hereinafter: "the company") </w:t>
      </w:r>
      <w:r>
        <w:rPr>
          <w:rFonts w:ascii="Segoe UI" w:hAnsi="Segoe UI" w:cs="Segoe UI"/>
          <w:color w:val="242424"/>
          <w:sz w:val="21"/>
          <w:szCs w:val="21"/>
        </w:rPr>
        <w:t>was found to have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not act</w:t>
      </w:r>
      <w:r>
        <w:rPr>
          <w:rFonts w:ascii="Segoe UI" w:hAnsi="Segoe UI" w:cs="Segoe UI"/>
          <w:color w:val="242424"/>
          <w:sz w:val="21"/>
          <w:szCs w:val="21"/>
        </w:rPr>
        <w:t>ed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in accordance with its obligations. Consequently, a financial penalty of</w:t>
      </w:r>
      <w:r>
        <w:rPr>
          <w:rFonts w:ascii="Segoe UI" w:hAnsi="Segoe UI" w:cs="Segoe UI"/>
          <w:color w:val="242424"/>
          <w:sz w:val="21"/>
          <w:szCs w:val="21"/>
        </w:rPr>
        <w:t xml:space="preserve"> NIS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900,000 was imposed for noncompliance with supervisory </w:t>
      </w:r>
      <w:r>
        <w:rPr>
          <w:rFonts w:ascii="Segoe UI" w:hAnsi="Segoe UI" w:cs="Segoe UI"/>
          <w:color w:val="242424"/>
          <w:sz w:val="21"/>
          <w:szCs w:val="21"/>
        </w:rPr>
        <w:t>directives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regarding debt collection, and an additional financial penalty of </w:t>
      </w:r>
      <w:r>
        <w:rPr>
          <w:rFonts w:ascii="Segoe UI" w:hAnsi="Segoe UI" w:cs="Segoe UI"/>
          <w:color w:val="242424"/>
          <w:sz w:val="21"/>
          <w:szCs w:val="21"/>
        </w:rPr>
        <w:t xml:space="preserve">NIS 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50,000 was imposed due to difficulties in obtaining </w:t>
      </w:r>
      <w:r>
        <w:rPr>
          <w:rFonts w:ascii="Segoe UI" w:hAnsi="Segoe UI" w:cs="Segoe UI"/>
          <w:color w:val="242424"/>
          <w:sz w:val="21"/>
          <w:szCs w:val="21"/>
        </w:rPr>
        <w:t xml:space="preserve">a </w:t>
      </w:r>
      <w:r w:rsidRPr="00350DA0">
        <w:rPr>
          <w:rFonts w:ascii="Segoe UI" w:hAnsi="Segoe UI" w:cs="Segoe UI"/>
          <w:color w:val="242424"/>
          <w:sz w:val="21"/>
          <w:szCs w:val="21"/>
        </w:rPr>
        <w:t>human response at the call center when requesting to terminate a contract.</w:t>
      </w:r>
    </w:p>
    <w:p w14:paraId="6F6542FB" w14:textId="2991848B" w:rsidR="00350DA0" w:rsidRPr="00350DA0" w:rsidRDefault="00350DA0" w:rsidP="00350DA0">
      <w:pPr>
        <w:shd w:val="clear" w:color="auto" w:fill="FFFFFF"/>
        <w:spacing w:after="240" w:line="240" w:lineRule="auto"/>
        <w:jc w:val="left"/>
        <w:rPr>
          <w:rFonts w:ascii="Segoe UI" w:hAnsi="Segoe UI" w:cs="Segoe UI"/>
          <w:color w:val="242424"/>
          <w:sz w:val="21"/>
          <w:szCs w:val="21"/>
          <w:u w:val="single"/>
        </w:rPr>
      </w:pPr>
      <w:r w:rsidRPr="00350DA0">
        <w:rPr>
          <w:rFonts w:ascii="Segoe UI" w:hAnsi="Segoe UI" w:cs="Segoe UI"/>
          <w:color w:val="242424"/>
          <w:sz w:val="21"/>
          <w:szCs w:val="21"/>
          <w:u w:val="single"/>
        </w:rPr>
        <w:t>The following are the details of the deficiencies for which the financial penalties were imposed:</w:t>
      </w:r>
    </w:p>
    <w:p w14:paraId="1AC77752" w14:textId="3A78F0E4" w:rsidR="00350DA0" w:rsidRPr="00350DA0" w:rsidRDefault="00350DA0" w:rsidP="00E1192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00"/>
        <w:jc w:val="left"/>
        <w:rPr>
          <w:rFonts w:ascii="Segoe UI" w:hAnsi="Segoe UI" w:cs="Segoe UI"/>
          <w:color w:val="242424"/>
          <w:sz w:val="21"/>
          <w:szCs w:val="21"/>
        </w:rPr>
      </w:pPr>
      <w:r w:rsidRPr="00350DA0">
        <w:rPr>
          <w:rFonts w:ascii="Segoe UI" w:hAnsi="Segoe UI" w:cs="Segoe UI"/>
          <w:b/>
          <w:bCs/>
          <w:color w:val="242424"/>
          <w:sz w:val="21"/>
          <w:szCs w:val="21"/>
        </w:rPr>
        <w:t>Debt Collection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: During an inspection on this matter, deficiencies were found in the reporting by the company's representatives to the </w:t>
      </w:r>
      <w:r w:rsidR="00E11926">
        <w:rPr>
          <w:rFonts w:ascii="Segoe UI" w:hAnsi="Segoe UI" w:cs="Segoe UI"/>
          <w:color w:val="242424"/>
          <w:sz w:val="21"/>
          <w:szCs w:val="21"/>
        </w:rPr>
        <w:t>E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nforcement </w:t>
      </w:r>
      <w:r w:rsidR="00E11926">
        <w:rPr>
          <w:rFonts w:ascii="Segoe UI" w:hAnsi="Segoe UI" w:cs="Segoe UI"/>
          <w:color w:val="242424"/>
          <w:sz w:val="21"/>
          <w:szCs w:val="21"/>
        </w:rPr>
        <w:t>and Collections A</w:t>
      </w:r>
      <w:r w:rsidRPr="00350DA0">
        <w:rPr>
          <w:rFonts w:ascii="Segoe UI" w:hAnsi="Segoe UI" w:cs="Segoe UI"/>
          <w:color w:val="242424"/>
          <w:sz w:val="21"/>
          <w:szCs w:val="21"/>
        </w:rPr>
        <w:t>uthorit</w:t>
      </w:r>
      <w:r w:rsidR="00E11926">
        <w:rPr>
          <w:rFonts w:ascii="Segoe UI" w:hAnsi="Segoe UI" w:cs="Segoe UI"/>
          <w:color w:val="242424"/>
          <w:sz w:val="21"/>
          <w:szCs w:val="21"/>
        </w:rPr>
        <w:t>y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E11926">
        <w:rPr>
          <w:rFonts w:ascii="Segoe UI" w:hAnsi="Segoe UI" w:cs="Segoe UI"/>
          <w:color w:val="242424"/>
          <w:sz w:val="21"/>
          <w:szCs w:val="21"/>
        </w:rPr>
        <w:t xml:space="preserve">(ECA) 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regarding payments made </w:t>
      </w:r>
      <w:r w:rsidR="00E11926">
        <w:rPr>
          <w:rFonts w:ascii="Segoe UI" w:hAnsi="Segoe UI" w:cs="Segoe UI"/>
          <w:color w:val="242424"/>
          <w:sz w:val="21"/>
          <w:szCs w:val="21"/>
        </w:rPr>
        <w:t>on account of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debt. Additionally, there were instances where debt settlement agreements with customers were reported to the </w:t>
      </w:r>
      <w:r w:rsidR="00E11926">
        <w:rPr>
          <w:rFonts w:ascii="Segoe UI" w:hAnsi="Segoe UI" w:cs="Segoe UI"/>
          <w:color w:val="242424"/>
          <w:sz w:val="21"/>
          <w:szCs w:val="21"/>
        </w:rPr>
        <w:t>ECA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at an unreasonable time by the company's representatives. According to the law, the maximum financial penalty that can be imposed for such violations is</w:t>
      </w:r>
      <w:r w:rsidR="00E11926">
        <w:rPr>
          <w:rFonts w:ascii="Segoe UI" w:hAnsi="Segoe UI" w:cs="Segoe UI"/>
          <w:color w:val="242424"/>
          <w:sz w:val="21"/>
          <w:szCs w:val="21"/>
        </w:rPr>
        <w:t xml:space="preserve"> NIS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2,000,000. In light of the actions taken by the company to improve collection procedures before and after the supervisory intervention, the Banking Supervision Department decided to impose a reduced financial penalty of</w:t>
      </w:r>
      <w:r w:rsidR="00E11926">
        <w:rPr>
          <w:rFonts w:ascii="Segoe UI" w:hAnsi="Segoe UI" w:cs="Segoe UI"/>
          <w:color w:val="242424"/>
          <w:sz w:val="21"/>
          <w:szCs w:val="21"/>
        </w:rPr>
        <w:t xml:space="preserve"> NIS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900,000 on </w:t>
      </w:r>
      <w:proofErr w:type="spellStart"/>
      <w:r w:rsidRPr="00350DA0">
        <w:rPr>
          <w:rFonts w:ascii="Segoe UI" w:hAnsi="Segoe UI" w:cs="Segoe UI"/>
          <w:color w:val="242424"/>
          <w:sz w:val="21"/>
          <w:szCs w:val="21"/>
        </w:rPr>
        <w:t>Isracard</w:t>
      </w:r>
      <w:proofErr w:type="spellEnd"/>
      <w:r w:rsidRPr="00350DA0">
        <w:rPr>
          <w:rFonts w:ascii="Segoe UI" w:hAnsi="Segoe UI" w:cs="Segoe UI"/>
          <w:color w:val="242424"/>
          <w:sz w:val="21"/>
          <w:szCs w:val="21"/>
        </w:rPr>
        <w:t xml:space="preserve"> Ltd.</w:t>
      </w:r>
    </w:p>
    <w:p w14:paraId="71393A0F" w14:textId="651FE269" w:rsidR="00350DA0" w:rsidRPr="00350DA0" w:rsidRDefault="00350DA0" w:rsidP="00E11926">
      <w:pPr>
        <w:shd w:val="clear" w:color="auto" w:fill="FFFFFF"/>
        <w:spacing w:after="240" w:line="240" w:lineRule="auto"/>
        <w:jc w:val="left"/>
        <w:rPr>
          <w:rFonts w:ascii="Segoe UI" w:hAnsi="Segoe UI" w:cs="Segoe UI"/>
          <w:color w:val="242424"/>
          <w:sz w:val="21"/>
          <w:szCs w:val="21"/>
        </w:rPr>
      </w:pPr>
      <w:r w:rsidRPr="00350DA0">
        <w:rPr>
          <w:rFonts w:ascii="Segoe UI" w:hAnsi="Segoe UI" w:cs="Segoe UI"/>
          <w:color w:val="242424"/>
          <w:sz w:val="21"/>
          <w:szCs w:val="21"/>
        </w:rPr>
        <w:t xml:space="preserve">For the decision and details of the identified violations, the considerations for the decision, and the reasons for imposing the penalty while reducing it, see: Decision on Imposing a Financial Penalty for Violation of Proper </w:t>
      </w:r>
      <w:r w:rsidR="00E11926">
        <w:rPr>
          <w:rFonts w:ascii="Segoe UI" w:hAnsi="Segoe UI" w:cs="Segoe UI"/>
          <w:color w:val="242424"/>
          <w:sz w:val="21"/>
          <w:szCs w:val="21"/>
        </w:rPr>
        <w:t xml:space="preserve">Conduct of 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Banking </w:t>
      </w:r>
      <w:r w:rsidR="00E11926">
        <w:rPr>
          <w:rFonts w:ascii="Segoe UI" w:hAnsi="Segoe UI" w:cs="Segoe UI"/>
          <w:color w:val="242424"/>
          <w:sz w:val="21"/>
          <w:szCs w:val="21"/>
        </w:rPr>
        <w:t>Business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Directive No. 450. It should also be noted that as a result of the comprehensive inspection, financial penalties were imposed on additional banking corporations in 2023 and 2024 for similar violations.</w:t>
      </w:r>
      <w:r w:rsidR="00152942">
        <w:rPr>
          <w:rStyle w:val="a6"/>
          <w:rFonts w:ascii="Segoe UI" w:hAnsi="Segoe UI" w:cs="Segoe UI"/>
          <w:color w:val="242424"/>
        </w:rPr>
        <w:footnoteReference w:id="1"/>
      </w:r>
    </w:p>
    <w:p w14:paraId="3B755746" w14:textId="5D97A780" w:rsidR="00350DA0" w:rsidRPr="00350DA0" w:rsidRDefault="00350DA0" w:rsidP="00B5017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00"/>
        <w:jc w:val="left"/>
        <w:rPr>
          <w:rFonts w:ascii="Segoe UI" w:hAnsi="Segoe UI" w:cs="Segoe UI"/>
          <w:color w:val="242424"/>
          <w:sz w:val="21"/>
          <w:szCs w:val="21"/>
        </w:rPr>
      </w:pPr>
      <w:r w:rsidRPr="00350DA0">
        <w:rPr>
          <w:rFonts w:ascii="Segoe UI" w:hAnsi="Segoe UI" w:cs="Segoe UI"/>
          <w:b/>
          <w:bCs/>
          <w:color w:val="242424"/>
          <w:sz w:val="21"/>
          <w:szCs w:val="21"/>
        </w:rPr>
        <w:t>Human Response at the Call Center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: As part of routine inspection measures, the </w:t>
      </w:r>
      <w:r w:rsidR="00152942">
        <w:rPr>
          <w:rFonts w:ascii="Segoe UI" w:hAnsi="Segoe UI" w:cs="Segoe UI"/>
          <w:color w:val="242424"/>
          <w:sz w:val="21"/>
          <w:szCs w:val="21"/>
        </w:rPr>
        <w:t>Banking S</w:t>
      </w:r>
      <w:r w:rsidRPr="00350DA0">
        <w:rPr>
          <w:rFonts w:ascii="Segoe UI" w:hAnsi="Segoe UI" w:cs="Segoe UI"/>
          <w:color w:val="242424"/>
          <w:sz w:val="21"/>
          <w:szCs w:val="21"/>
        </w:rPr>
        <w:t>upervis</w:t>
      </w:r>
      <w:r w:rsidR="00152942">
        <w:rPr>
          <w:rFonts w:ascii="Segoe UI" w:hAnsi="Segoe UI" w:cs="Segoe UI"/>
          <w:color w:val="242424"/>
          <w:sz w:val="21"/>
          <w:szCs w:val="21"/>
        </w:rPr>
        <w:t>ion Department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conducted an examination of all the call centers of banks and credit card companies to ensure </w:t>
      </w:r>
      <w:r w:rsidR="00152942">
        <w:rPr>
          <w:rFonts w:ascii="Segoe UI" w:hAnsi="Segoe UI" w:cs="Segoe UI"/>
          <w:color w:val="242424"/>
          <w:sz w:val="21"/>
          <w:szCs w:val="21"/>
        </w:rPr>
        <w:t>that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a human response</w:t>
      </w:r>
      <w:r w:rsidR="00152942">
        <w:rPr>
          <w:rFonts w:ascii="Segoe UI" w:hAnsi="Segoe UI" w:cs="Segoe UI"/>
          <w:color w:val="242424"/>
          <w:sz w:val="21"/>
          <w:szCs w:val="21"/>
        </w:rPr>
        <w:t xml:space="preserve"> can easily be obtained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at the call center and</w:t>
      </w:r>
      <w:r w:rsidR="00152942">
        <w:rPr>
          <w:rFonts w:ascii="Segoe UI" w:hAnsi="Segoe UI" w:cs="Segoe UI"/>
          <w:color w:val="242424"/>
          <w:sz w:val="21"/>
          <w:szCs w:val="21"/>
        </w:rPr>
        <w:t xml:space="preserve"> to ensure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compliance with the legal provisions regulating this matter. The</w:t>
      </w:r>
      <w:r w:rsidR="00152942">
        <w:rPr>
          <w:rFonts w:ascii="Segoe UI" w:hAnsi="Segoe UI" w:cs="Segoe UI"/>
          <w:color w:val="242424"/>
          <w:sz w:val="21"/>
          <w:szCs w:val="21"/>
        </w:rPr>
        <w:t xml:space="preserve"> examination’s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Pr="00350DA0">
        <w:rPr>
          <w:rFonts w:ascii="Segoe UI" w:hAnsi="Segoe UI" w:cs="Segoe UI"/>
          <w:color w:val="242424"/>
          <w:sz w:val="21"/>
          <w:szCs w:val="21"/>
        </w:rPr>
        <w:lastRenderedPageBreak/>
        <w:t>findings revealed that the company did not comply with the Banking Law</w:t>
      </w:r>
      <w:r w:rsidR="00152942">
        <w:rPr>
          <w:rStyle w:val="a6"/>
          <w:rFonts w:ascii="Segoe UI" w:hAnsi="Segoe UI" w:cs="Segoe UI"/>
          <w:color w:val="242424"/>
        </w:rPr>
        <w:footnoteReference w:id="2"/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, as it did not provide its customers with the option to receive a human response at the call center regarding contract termination, shortly after the start of the call. The Banking Supervision Department decided to impose a financial penalty of </w:t>
      </w:r>
      <w:r w:rsidR="00B50176">
        <w:rPr>
          <w:rFonts w:ascii="Segoe UI" w:hAnsi="Segoe UI" w:cs="Segoe UI"/>
          <w:color w:val="242424"/>
          <w:sz w:val="21"/>
          <w:szCs w:val="21"/>
        </w:rPr>
        <w:t xml:space="preserve">NIS </w:t>
      </w:r>
      <w:r w:rsidRPr="00350DA0">
        <w:rPr>
          <w:rFonts w:ascii="Segoe UI" w:hAnsi="Segoe UI" w:cs="Segoe UI"/>
          <w:color w:val="242424"/>
          <w:sz w:val="21"/>
          <w:szCs w:val="21"/>
        </w:rPr>
        <w:t xml:space="preserve">50,000 on </w:t>
      </w:r>
      <w:proofErr w:type="spellStart"/>
      <w:r w:rsidRPr="00350DA0">
        <w:rPr>
          <w:rFonts w:ascii="Segoe UI" w:hAnsi="Segoe UI" w:cs="Segoe UI"/>
          <w:color w:val="242424"/>
          <w:sz w:val="21"/>
          <w:szCs w:val="21"/>
        </w:rPr>
        <w:t>Isracard</w:t>
      </w:r>
      <w:proofErr w:type="spellEnd"/>
      <w:r w:rsidRPr="00350DA0">
        <w:rPr>
          <w:rFonts w:ascii="Segoe UI" w:hAnsi="Segoe UI" w:cs="Segoe UI"/>
          <w:color w:val="242424"/>
          <w:sz w:val="21"/>
          <w:szCs w:val="21"/>
        </w:rPr>
        <w:t xml:space="preserve"> Ltd., the maximum financial penalty that can be imposed for such a violation according to the law.</w:t>
      </w:r>
    </w:p>
    <w:p w14:paraId="1FA1DBCB" w14:textId="77777777" w:rsidR="00350DA0" w:rsidRPr="00350DA0" w:rsidRDefault="00350DA0" w:rsidP="00350DA0">
      <w:pPr>
        <w:shd w:val="clear" w:color="auto" w:fill="FFFFFF"/>
        <w:spacing w:after="240" w:line="240" w:lineRule="auto"/>
        <w:jc w:val="left"/>
        <w:rPr>
          <w:rFonts w:ascii="Segoe UI" w:hAnsi="Segoe UI" w:cs="Segoe UI"/>
          <w:color w:val="242424"/>
          <w:sz w:val="21"/>
          <w:szCs w:val="21"/>
        </w:rPr>
      </w:pPr>
      <w:r w:rsidRPr="00350DA0">
        <w:rPr>
          <w:rFonts w:ascii="Segoe UI" w:hAnsi="Segoe UI" w:cs="Segoe UI"/>
          <w:color w:val="242424"/>
          <w:sz w:val="21"/>
          <w:szCs w:val="21"/>
        </w:rPr>
        <w:t>For the decision and details of the identified violations, the considerations for the decision, and the reasons for imposing the penalty, see: Decision on Imposing a Financial Penalty for Difficulties in Obtaining Human Response at the Call Center for Contract Termination.</w:t>
      </w:r>
    </w:p>
    <w:p w14:paraId="4F474274" w14:textId="3DF60825" w:rsidR="00350DA0" w:rsidRPr="00350DA0" w:rsidRDefault="00350DA0" w:rsidP="00350DA0">
      <w:pPr>
        <w:pStyle w:val="regpar"/>
        <w:ind w:firstLine="0"/>
      </w:pPr>
    </w:p>
    <w:sectPr w:rsidR="00350DA0" w:rsidRPr="00350DA0" w:rsidSect="004F5A85">
      <w:headerReference w:type="default" r:id="rId12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F438" w14:textId="77777777" w:rsidR="0077145A" w:rsidRDefault="0077145A">
      <w:pPr>
        <w:spacing w:line="240" w:lineRule="auto"/>
      </w:pPr>
      <w:r>
        <w:separator/>
      </w:r>
    </w:p>
  </w:endnote>
  <w:endnote w:type="continuationSeparator" w:id="0">
    <w:p w14:paraId="3F0F10AB" w14:textId="77777777" w:rsidR="0077145A" w:rsidRDefault="00771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10038" w14:textId="77777777" w:rsidR="0077145A" w:rsidRDefault="0077145A">
      <w:pPr>
        <w:spacing w:line="160" w:lineRule="exact"/>
      </w:pPr>
    </w:p>
  </w:footnote>
  <w:footnote w:type="continuationSeparator" w:id="0">
    <w:p w14:paraId="6132FE59" w14:textId="77777777" w:rsidR="0077145A" w:rsidRDefault="0077145A">
      <w:pPr>
        <w:pStyle w:val="rule"/>
      </w:pPr>
      <w:r>
        <w:t>–––––––––––––––––––––––––––</w:t>
      </w:r>
    </w:p>
    <w:p w14:paraId="7C5497E3" w14:textId="77777777" w:rsidR="0077145A" w:rsidRDefault="0077145A">
      <w:pPr>
        <w:pStyle w:val="noteseparator"/>
      </w:pPr>
    </w:p>
  </w:footnote>
  <w:footnote w:id="1">
    <w:p w14:paraId="133DCE2F" w14:textId="1D86F509" w:rsidR="00152942" w:rsidRPr="00152942" w:rsidRDefault="00152942">
      <w:pPr>
        <w:pStyle w:val="a7"/>
        <w:rPr>
          <w:rFonts w:ascii="Segoe UI" w:hAnsi="Segoe UI" w:cs="Segoe UI"/>
          <w:sz w:val="18"/>
          <w:szCs w:val="18"/>
        </w:rPr>
      </w:pPr>
      <w:r w:rsidRPr="00B50176">
        <w:rPr>
          <w:rStyle w:val="a6"/>
          <w:rFonts w:ascii="Segoe UI" w:hAnsi="Segoe UI" w:cs="Segoe UI"/>
          <w:sz w:val="18"/>
          <w:szCs w:val="18"/>
          <w:vertAlign w:val="superscript"/>
        </w:rPr>
        <w:footnoteRef/>
      </w:r>
      <w:r w:rsidRPr="00152942">
        <w:rPr>
          <w:rFonts w:ascii="Segoe UI" w:hAnsi="Segoe UI" w:cs="Segoe UI"/>
          <w:sz w:val="18"/>
          <w:szCs w:val="18"/>
        </w:rPr>
        <w:t xml:space="preserve"> </w:t>
      </w:r>
      <w:hyperlink r:id="rId1" w:history="1">
        <w:r w:rsidRPr="00152942">
          <w:rPr>
            <w:rStyle w:val="Hyperlink"/>
            <w:rFonts w:ascii="Segoe UI" w:hAnsi="Segoe UI" w:cs="Segoe UI"/>
            <w:sz w:val="18"/>
            <w:szCs w:val="18"/>
          </w:rPr>
          <w:t>https://www.boi.org.il/en/communication-and-publications/press-releases/the-banking-supervision-department-has-imposed-financial-sanctions-on-israel-discount-bank-bank-hapoalim-and-mizrahi-tefahot-bank-for-improper-conduct-in-the-process-of-collecting-debts-from-customers/</w:t>
        </w:r>
      </w:hyperlink>
      <w:r w:rsidRPr="00152942">
        <w:rPr>
          <w:rFonts w:ascii="Segoe UI" w:hAnsi="Segoe UI" w:cs="Segoe UI"/>
          <w:sz w:val="18"/>
          <w:szCs w:val="18"/>
        </w:rPr>
        <w:t>;</w:t>
      </w:r>
    </w:p>
    <w:p w14:paraId="6CA279F0" w14:textId="2267641D" w:rsidR="00152942" w:rsidRPr="00152942" w:rsidRDefault="00152942">
      <w:pPr>
        <w:pStyle w:val="a7"/>
        <w:rPr>
          <w:rFonts w:ascii="Segoe UI" w:hAnsi="Segoe UI" w:cs="Segoe UI"/>
          <w:sz w:val="18"/>
          <w:szCs w:val="18"/>
        </w:rPr>
      </w:pPr>
      <w:r w:rsidRPr="00152942">
        <w:rPr>
          <w:rFonts w:ascii="Segoe UI" w:hAnsi="Segoe UI" w:cs="Segoe UI"/>
          <w:sz w:val="18"/>
          <w:szCs w:val="18"/>
        </w:rPr>
        <w:t>https://www.boi.org.il/en/communication-and-publications/press-releases/as-part-of-an-increase-in-consumer-related-enforcement-the-banking-supervision-department-has-imposed-financial-sanctions-on-two-banks-and-one-credit-card-company/</w:t>
      </w:r>
    </w:p>
  </w:footnote>
  <w:footnote w:id="2">
    <w:p w14:paraId="48E7F2E5" w14:textId="4C128E0B" w:rsidR="00152942" w:rsidRPr="00152942" w:rsidRDefault="00152942">
      <w:pPr>
        <w:pStyle w:val="a7"/>
        <w:rPr>
          <w:rFonts w:ascii="Segoe UI" w:hAnsi="Segoe UI" w:cs="Segoe UI"/>
          <w:sz w:val="18"/>
          <w:szCs w:val="18"/>
        </w:rPr>
      </w:pPr>
      <w:r w:rsidRPr="00B50176">
        <w:rPr>
          <w:rStyle w:val="a6"/>
          <w:rFonts w:ascii="Segoe UI" w:hAnsi="Segoe UI" w:cs="Segoe UI"/>
          <w:sz w:val="18"/>
          <w:szCs w:val="18"/>
          <w:vertAlign w:val="superscript"/>
        </w:rPr>
        <w:footnoteRef/>
      </w:r>
      <w:r w:rsidRPr="00B50176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Pr="00152942">
        <w:rPr>
          <w:rFonts w:ascii="Segoe UI" w:hAnsi="Segoe UI" w:cs="Segoe UI"/>
          <w:sz w:val="18"/>
          <w:szCs w:val="18"/>
        </w:rPr>
        <w:t>Section 3a5 of the Banking (Service to the Customer) Law, 5741–1981.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5ED2"/>
    <w:multiLevelType w:val="multilevel"/>
    <w:tmpl w:val="B3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CFD02E5"/>
    <w:multiLevelType w:val="multilevel"/>
    <w:tmpl w:val="540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D6B"/>
    <w:multiLevelType w:val="hybridMultilevel"/>
    <w:tmpl w:val="D1AA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5"/>
  </w:num>
  <w:num w:numId="5">
    <w:abstractNumId w:val="1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  <w:num w:numId="15">
    <w:abstractNumId w:val="12"/>
  </w:num>
  <w:num w:numId="16">
    <w:abstractNumId w:val="1"/>
  </w:num>
  <w:num w:numId="17">
    <w:abstractNumId w:val="19"/>
  </w:num>
  <w:num w:numId="18">
    <w:abstractNumId w:val="8"/>
  </w:num>
  <w:num w:numId="19">
    <w:abstractNumId w:val="16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13B4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B6617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3F0D"/>
    <w:rsid w:val="0014603A"/>
    <w:rsid w:val="00152942"/>
    <w:rsid w:val="001550A7"/>
    <w:rsid w:val="00160123"/>
    <w:rsid w:val="00161743"/>
    <w:rsid w:val="00162F9E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0DA0"/>
    <w:rsid w:val="003514AB"/>
    <w:rsid w:val="00354C47"/>
    <w:rsid w:val="00357E66"/>
    <w:rsid w:val="003605C6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4AC0"/>
    <w:rsid w:val="0055658B"/>
    <w:rsid w:val="0056099E"/>
    <w:rsid w:val="00562B0B"/>
    <w:rsid w:val="005676E1"/>
    <w:rsid w:val="00572E97"/>
    <w:rsid w:val="00581AE6"/>
    <w:rsid w:val="00590949"/>
    <w:rsid w:val="00591171"/>
    <w:rsid w:val="00592585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145A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3D3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0176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11926"/>
    <w:rsid w:val="00E305A3"/>
    <w:rsid w:val="00E3258A"/>
    <w:rsid w:val="00E33F37"/>
    <w:rsid w:val="00E37EA3"/>
    <w:rsid w:val="00E40792"/>
    <w:rsid w:val="00E448BF"/>
    <w:rsid w:val="00E50A6B"/>
    <w:rsid w:val="00E52DD0"/>
    <w:rsid w:val="00E645EE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rPr>
      <w:position w:val="6"/>
      <w:sz w:val="14"/>
      <w:szCs w:val="14"/>
    </w:rPr>
  </w:style>
  <w:style w:type="paragraph" w:styleId="a7">
    <w:name w:val="footnote text"/>
    <w:basedOn w:val="regpar"/>
    <w:link w:val="a8"/>
    <w:pPr>
      <w:spacing w:line="240" w:lineRule="exact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a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b">
    <w:name w:val="Date"/>
    <w:basedOn w:val="a"/>
    <w:next w:val="a"/>
    <w:rsid w:val="00E03DAD"/>
  </w:style>
  <w:style w:type="table" w:styleId="ac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1">
    <w:name w:val="טקסט רגיל תו"/>
    <w:link w:val="af0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2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  <w:style w:type="character" w:customStyle="1" w:styleId="a8">
    <w:name w:val="טקסט הערת שוליים תו"/>
    <w:basedOn w:val="a0"/>
    <w:link w:val="a7"/>
    <w:rsid w:val="00A27711"/>
    <w:rPr>
      <w:rFonts w:ascii="Times" w:hAnsi="Times" w:cs="Times"/>
    </w:rPr>
  </w:style>
  <w:style w:type="character" w:styleId="af3">
    <w:name w:val="annotation reference"/>
    <w:basedOn w:val="a0"/>
    <w:uiPriority w:val="99"/>
    <w:semiHidden/>
    <w:unhideWhenUsed/>
    <w:rsid w:val="008D23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8D2340"/>
    <w:rPr>
      <w:rFonts w:ascii="Times" w:hAnsi="Times" w:cs="Time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2340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a"/>
    <w:uiPriority w:val="99"/>
    <w:semiHidden/>
    <w:unhideWhenUsed/>
    <w:rsid w:val="000C46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character" w:styleId="af8">
    <w:name w:val="Strong"/>
    <w:basedOn w:val="a0"/>
    <w:uiPriority w:val="22"/>
    <w:qFormat/>
    <w:rsid w:val="00350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en/communication-and-publications/press-releases/the-banking-supervision-department-has-imposed-financial-sanctions-on-israel-discount-bank-bank-hapoalim-and-mizrahi-tefahot-bank-for-improper-conduct-in-the-process-of-collecting-debts-from-customers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D19A2-0CA2-40DC-9407-A9583911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2694</Characters>
  <Application>Microsoft Office Word</Application>
  <DocSecurity>4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2024-10-30T07:31:00Z</dcterms:created>
  <dcterms:modified xsi:type="dcterms:W3CDTF">2024-10-30T07:31:00Z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