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657DE6" w:rsidRPr="00BE0D5E" w:rsidTr="00554766">
        <w:trPr>
          <w:cantSplit/>
        </w:trPr>
        <w:tc>
          <w:tcPr>
            <w:tcW w:w="3392" w:type="dxa"/>
            <w:tcBorders>
              <w:top w:val="nil"/>
              <w:left w:val="nil"/>
              <w:bottom w:val="nil"/>
              <w:right w:val="nil"/>
            </w:tcBorders>
            <w:shd w:val="clear" w:color="auto" w:fill="auto"/>
            <w:vAlign w:val="center"/>
          </w:tcPr>
          <w:p w:rsidR="00657DE6" w:rsidRPr="00BE0D5E" w:rsidRDefault="00657DE6" w:rsidP="00366679">
            <w:pPr>
              <w:pStyle w:val="a9"/>
              <w:rPr>
                <w:rFonts w:ascii="David" w:hAnsi="David" w:cs="David"/>
                <w:rtl/>
              </w:rPr>
            </w:pPr>
            <w:bookmarkStart w:id="0" w:name="_GoBack"/>
            <w:bookmarkEnd w:id="0"/>
            <w:r w:rsidRPr="00BE0D5E">
              <w:rPr>
                <w:rFonts w:ascii="David" w:hAnsi="David" w:cs="David"/>
                <w:rtl/>
              </w:rPr>
              <w:t>בנק ישראל</w:t>
            </w:r>
          </w:p>
          <w:p w:rsidR="00657DE6" w:rsidRPr="00BE0D5E" w:rsidRDefault="00657DE6" w:rsidP="00366679">
            <w:pPr>
              <w:pStyle w:val="a9"/>
              <w:rPr>
                <w:rFonts w:ascii="David" w:hAnsi="David" w:cs="David"/>
              </w:rPr>
            </w:pPr>
          </w:p>
          <w:p w:rsidR="00657DE6" w:rsidRPr="00BE0D5E" w:rsidRDefault="00657DE6" w:rsidP="00366679">
            <w:pPr>
              <w:spacing w:line="360" w:lineRule="auto"/>
              <w:ind w:right="-101"/>
              <w:rPr>
                <w:rFonts w:ascii="David" w:hAnsi="David" w:cs="David"/>
                <w:sz w:val="24"/>
                <w:szCs w:val="24"/>
              </w:rPr>
            </w:pPr>
            <w:r w:rsidRPr="00BE0D5E">
              <w:rPr>
                <w:rFonts w:ascii="David" w:hAnsi="David" w:cs="David"/>
                <w:sz w:val="24"/>
                <w:szCs w:val="24"/>
                <w:rtl/>
              </w:rPr>
              <w:t>דוברות והסברה כלכלית</w:t>
            </w:r>
          </w:p>
        </w:tc>
        <w:tc>
          <w:tcPr>
            <w:tcW w:w="2596" w:type="dxa"/>
            <w:tcBorders>
              <w:top w:val="nil"/>
              <w:left w:val="nil"/>
              <w:bottom w:val="nil"/>
              <w:right w:val="nil"/>
            </w:tcBorders>
          </w:tcPr>
          <w:p w:rsidR="00657DE6" w:rsidRPr="00BE0D5E" w:rsidRDefault="00657DE6" w:rsidP="00366679">
            <w:pPr>
              <w:jc w:val="center"/>
              <w:rPr>
                <w:rFonts w:ascii="David" w:hAnsi="David" w:cs="David"/>
                <w:sz w:val="24"/>
                <w:szCs w:val="24"/>
              </w:rPr>
            </w:pPr>
            <w:r w:rsidRPr="00BE0D5E">
              <w:rPr>
                <w:rFonts w:ascii="David" w:hAnsi="David" w:cs="David"/>
                <w:noProof/>
                <w:sz w:val="24"/>
                <w:szCs w:val="24"/>
              </w:rPr>
              <w:drawing>
                <wp:inline distT="0" distB="0" distL="0" distR="0" wp14:anchorId="2C51864D" wp14:editId="4E99F0EB">
                  <wp:extent cx="975360" cy="975360"/>
                  <wp:effectExtent l="0" t="0" r="0" b="0"/>
                  <wp:docPr id="1" name="Picture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657DE6" w:rsidRPr="00BE0D5E" w:rsidRDefault="00657DE6" w:rsidP="00BB7B1D">
            <w:pPr>
              <w:spacing w:line="480" w:lineRule="auto"/>
              <w:jc w:val="right"/>
              <w:rPr>
                <w:rFonts w:ascii="David" w:hAnsi="David" w:cs="David"/>
                <w:sz w:val="24"/>
                <w:szCs w:val="24"/>
                <w:rtl/>
              </w:rPr>
            </w:pPr>
            <w:r w:rsidRPr="00BE0D5E">
              <w:rPr>
                <w:rFonts w:ascii="David" w:hAnsi="David" w:cs="David"/>
                <w:sz w:val="24"/>
                <w:szCs w:val="24"/>
                <w:rtl/>
              </w:rPr>
              <w:t>‏ירושלים, ‏</w:t>
            </w:r>
            <w:r w:rsidR="00BB7B1D">
              <w:rPr>
                <w:rFonts w:ascii="David" w:hAnsi="David" w:cs="David" w:hint="cs"/>
                <w:sz w:val="24"/>
                <w:szCs w:val="24"/>
                <w:rtl/>
              </w:rPr>
              <w:t>ג'</w:t>
            </w:r>
            <w:r w:rsidRPr="00BE0D5E">
              <w:rPr>
                <w:rFonts w:ascii="David" w:hAnsi="David" w:cs="David"/>
                <w:sz w:val="24"/>
                <w:szCs w:val="24"/>
                <w:rtl/>
              </w:rPr>
              <w:t xml:space="preserve"> </w:t>
            </w:r>
            <w:r w:rsidR="00BB7B1D">
              <w:rPr>
                <w:rFonts w:ascii="David" w:hAnsi="David" w:cs="David" w:hint="cs"/>
                <w:sz w:val="24"/>
                <w:szCs w:val="24"/>
                <w:rtl/>
              </w:rPr>
              <w:t>טבת</w:t>
            </w:r>
            <w:r w:rsidRPr="00BE0D5E">
              <w:rPr>
                <w:rFonts w:ascii="David" w:hAnsi="David" w:cs="David"/>
                <w:sz w:val="24"/>
                <w:szCs w:val="24"/>
                <w:rtl/>
              </w:rPr>
              <w:t>, תשפ"</w:t>
            </w:r>
            <w:r w:rsidR="00BB7B1D">
              <w:rPr>
                <w:rFonts w:ascii="David" w:hAnsi="David" w:cs="David" w:hint="cs"/>
                <w:sz w:val="24"/>
                <w:szCs w:val="24"/>
                <w:rtl/>
              </w:rPr>
              <w:t>ג</w:t>
            </w:r>
          </w:p>
          <w:p w:rsidR="00657DE6" w:rsidRPr="00BE0D5E" w:rsidRDefault="00657DE6" w:rsidP="00BB7B1D">
            <w:pPr>
              <w:spacing w:line="480" w:lineRule="auto"/>
              <w:jc w:val="right"/>
              <w:rPr>
                <w:rFonts w:ascii="David" w:hAnsi="David" w:cs="David"/>
                <w:sz w:val="24"/>
                <w:szCs w:val="24"/>
              </w:rPr>
            </w:pPr>
            <w:r w:rsidRPr="00BE0D5E">
              <w:rPr>
                <w:rFonts w:ascii="David" w:hAnsi="David" w:cs="David"/>
                <w:sz w:val="24"/>
                <w:szCs w:val="24"/>
                <w:rtl/>
              </w:rPr>
              <w:t>‏‏‏‏‏‏</w:t>
            </w:r>
            <w:r w:rsidR="00BB7B1D">
              <w:rPr>
                <w:rFonts w:ascii="David" w:hAnsi="David" w:cs="David" w:hint="cs"/>
                <w:sz w:val="24"/>
                <w:szCs w:val="24"/>
                <w:rtl/>
              </w:rPr>
              <w:t>27</w:t>
            </w:r>
            <w:r w:rsidRPr="00BE0D5E">
              <w:rPr>
                <w:rFonts w:ascii="David" w:hAnsi="David" w:cs="David"/>
                <w:sz w:val="24"/>
                <w:szCs w:val="24"/>
                <w:rtl/>
              </w:rPr>
              <w:t xml:space="preserve"> </w:t>
            </w:r>
            <w:r w:rsidR="00BB7B1D">
              <w:rPr>
                <w:rFonts w:ascii="David" w:hAnsi="David" w:cs="David" w:hint="cs"/>
                <w:sz w:val="24"/>
                <w:szCs w:val="24"/>
                <w:rtl/>
              </w:rPr>
              <w:t>בדצמבר</w:t>
            </w:r>
            <w:r w:rsidRPr="00BE0D5E">
              <w:rPr>
                <w:rFonts w:ascii="David" w:hAnsi="David" w:cs="David"/>
                <w:sz w:val="24"/>
                <w:szCs w:val="24"/>
                <w:rtl/>
              </w:rPr>
              <w:t>, 2022</w:t>
            </w:r>
          </w:p>
        </w:tc>
      </w:tr>
    </w:tbl>
    <w:p w:rsidR="00657DE6" w:rsidRPr="00657DE6" w:rsidRDefault="00657DE6" w:rsidP="00887B4A">
      <w:pPr>
        <w:spacing w:line="360" w:lineRule="auto"/>
        <w:jc w:val="center"/>
        <w:rPr>
          <w:rFonts w:cs="David"/>
          <w:sz w:val="28"/>
          <w:szCs w:val="28"/>
          <w:rtl/>
        </w:rPr>
      </w:pPr>
    </w:p>
    <w:p w:rsidR="00181BAE" w:rsidRPr="00887B4A" w:rsidRDefault="00887B4A" w:rsidP="00657DE6">
      <w:pPr>
        <w:spacing w:line="360" w:lineRule="auto"/>
        <w:rPr>
          <w:rFonts w:cs="David"/>
          <w:sz w:val="28"/>
          <w:szCs w:val="28"/>
          <w:rtl/>
        </w:rPr>
      </w:pPr>
      <w:r w:rsidRPr="00887B4A">
        <w:rPr>
          <w:rFonts w:cs="David" w:hint="cs"/>
          <w:sz w:val="28"/>
          <w:szCs w:val="28"/>
          <w:rtl/>
        </w:rPr>
        <w:t xml:space="preserve">הודעה לעיתונות </w:t>
      </w:r>
    </w:p>
    <w:p w:rsidR="00887B4A" w:rsidRPr="00887B4A" w:rsidRDefault="00887B4A" w:rsidP="008D6C4E">
      <w:pPr>
        <w:spacing w:line="360" w:lineRule="auto"/>
        <w:jc w:val="center"/>
        <w:rPr>
          <w:rFonts w:cs="David"/>
          <w:b/>
          <w:bCs/>
          <w:sz w:val="28"/>
          <w:szCs w:val="28"/>
          <w:rtl/>
        </w:rPr>
      </w:pPr>
      <w:r>
        <w:rPr>
          <w:rFonts w:cs="David" w:hint="cs"/>
          <w:b/>
          <w:bCs/>
          <w:sz w:val="28"/>
          <w:szCs w:val="28"/>
          <w:rtl/>
        </w:rPr>
        <w:t xml:space="preserve">בנק ישראל מפרסם הנחיות לעניין </w:t>
      </w:r>
      <w:r w:rsidR="008D6C4E">
        <w:rPr>
          <w:rFonts w:cs="David" w:hint="cs"/>
          <w:b/>
          <w:bCs/>
          <w:sz w:val="28"/>
          <w:szCs w:val="28"/>
          <w:rtl/>
        </w:rPr>
        <w:t>ביצוע חוק עקרונות האסדרה</w:t>
      </w:r>
      <w:r>
        <w:rPr>
          <w:rFonts w:cs="David" w:hint="cs"/>
          <w:b/>
          <w:bCs/>
          <w:sz w:val="28"/>
          <w:szCs w:val="28"/>
          <w:rtl/>
        </w:rPr>
        <w:t xml:space="preserve"> </w:t>
      </w:r>
    </w:p>
    <w:p w:rsidR="00887B4A" w:rsidRPr="00887B4A" w:rsidRDefault="00887B4A" w:rsidP="00887B4A">
      <w:pPr>
        <w:jc w:val="center"/>
        <w:rPr>
          <w:rFonts w:cs="David"/>
          <w:sz w:val="28"/>
          <w:szCs w:val="28"/>
        </w:rPr>
      </w:pPr>
    </w:p>
    <w:p w:rsidR="00181BAE" w:rsidRPr="00181BAE" w:rsidRDefault="00181BAE" w:rsidP="00181BAE">
      <w:pPr>
        <w:rPr>
          <w:rFonts w:cs="David"/>
          <w:sz w:val="24"/>
          <w:szCs w:val="24"/>
        </w:rPr>
      </w:pPr>
    </w:p>
    <w:p w:rsidR="00181BAE" w:rsidRDefault="00CE01C5" w:rsidP="00CE01C5">
      <w:pPr>
        <w:spacing w:line="360" w:lineRule="auto"/>
        <w:rPr>
          <w:rFonts w:cs="David"/>
          <w:b/>
          <w:bCs/>
          <w:sz w:val="24"/>
          <w:szCs w:val="24"/>
          <w:rtl/>
        </w:rPr>
      </w:pPr>
      <w:r w:rsidRPr="00CE01C5">
        <w:rPr>
          <w:rFonts w:cs="David" w:hint="cs"/>
          <w:b/>
          <w:bCs/>
          <w:sz w:val="24"/>
          <w:szCs w:val="24"/>
          <w:rtl/>
        </w:rPr>
        <w:t xml:space="preserve">בנק ישראל מפרסם את הנחיותיו לעניין אופן ביצוע דוח בקביעת אסדרה בהתאם לחוק עקרונות האסדרה. </w:t>
      </w:r>
    </w:p>
    <w:p w:rsidR="00C06577" w:rsidRDefault="00C06577" w:rsidP="00415C9D">
      <w:pPr>
        <w:spacing w:before="240" w:line="360" w:lineRule="auto"/>
        <w:jc w:val="both"/>
        <w:rPr>
          <w:rFonts w:cs="David"/>
          <w:sz w:val="24"/>
          <w:szCs w:val="24"/>
          <w:rtl/>
        </w:rPr>
      </w:pPr>
      <w:r w:rsidRPr="00DE0174">
        <w:rPr>
          <w:rFonts w:cs="David" w:hint="cs"/>
          <w:b/>
          <w:bCs/>
          <w:sz w:val="24"/>
          <w:szCs w:val="24"/>
          <w:rtl/>
        </w:rPr>
        <w:t>המפקח על הבנקים, מר יאיר אבידן</w:t>
      </w:r>
      <w:r>
        <w:rPr>
          <w:rFonts w:cs="David" w:hint="cs"/>
          <w:sz w:val="24"/>
          <w:szCs w:val="24"/>
          <w:rtl/>
        </w:rPr>
        <w:t>: "אסדרה הינה אבן יסוד מרכזית בפעילות הפיקוח על הבנקים ואנו רואים בחוק עקרונות האסדרה הזדמנות לטיוב ולשיפור תהליכים</w:t>
      </w:r>
      <w:r w:rsidR="00415C9D">
        <w:rPr>
          <w:rFonts w:cs="David" w:hint="cs"/>
          <w:sz w:val="24"/>
          <w:szCs w:val="24"/>
          <w:rtl/>
        </w:rPr>
        <w:t>. החוק מדגיש את החשיבות של בחינת עלות- תועלת של אסדרה, את שיתוף הציבור והשקיפות בתהליכי אסדרה</w:t>
      </w:r>
      <w:r>
        <w:rPr>
          <w:rFonts w:cs="David" w:hint="cs"/>
          <w:sz w:val="24"/>
          <w:szCs w:val="24"/>
          <w:rtl/>
        </w:rPr>
        <w:t xml:space="preserve">. </w:t>
      </w:r>
      <w:r w:rsidR="00415C9D">
        <w:rPr>
          <w:rFonts w:cs="David" w:hint="cs"/>
          <w:sz w:val="24"/>
          <w:szCs w:val="24"/>
          <w:rtl/>
        </w:rPr>
        <w:t>נדבכים אלו הם חלק מתהליך האסדרה הקיים בפיקוח, אך הם חוזקו בעקבות החוק, ובכוונתנו להמשיך לעשות זאת,</w:t>
      </w:r>
      <w:r>
        <w:rPr>
          <w:rFonts w:cs="David" w:hint="cs"/>
          <w:sz w:val="24"/>
          <w:szCs w:val="24"/>
          <w:rtl/>
        </w:rPr>
        <w:t xml:space="preserve"> בתהליך למידה מתמשך."</w:t>
      </w:r>
    </w:p>
    <w:p w:rsidR="00C06577" w:rsidRDefault="00C06577" w:rsidP="00CE01C5">
      <w:pPr>
        <w:spacing w:line="360" w:lineRule="auto"/>
        <w:rPr>
          <w:rFonts w:cs="David"/>
          <w:b/>
          <w:bCs/>
          <w:sz w:val="24"/>
          <w:szCs w:val="24"/>
          <w:rtl/>
        </w:rPr>
      </w:pPr>
    </w:p>
    <w:p w:rsidR="00C06577" w:rsidRDefault="00C06577" w:rsidP="00FC5D24">
      <w:pPr>
        <w:spacing w:before="240" w:line="360" w:lineRule="auto"/>
        <w:jc w:val="both"/>
        <w:rPr>
          <w:rFonts w:cs="David"/>
          <w:sz w:val="24"/>
          <w:szCs w:val="24"/>
          <w:rtl/>
        </w:rPr>
      </w:pPr>
      <w:r w:rsidRPr="00DE0174">
        <w:rPr>
          <w:rFonts w:cs="David" w:hint="cs"/>
          <w:b/>
          <w:bCs/>
          <w:sz w:val="24"/>
          <w:szCs w:val="24"/>
          <w:rtl/>
        </w:rPr>
        <w:t xml:space="preserve">הממונה על </w:t>
      </w:r>
      <w:r w:rsidR="0038734A" w:rsidRPr="00DE0174">
        <w:rPr>
          <w:rFonts w:cs="David" w:hint="cs"/>
          <w:b/>
          <w:bCs/>
          <w:sz w:val="24"/>
          <w:szCs w:val="24"/>
          <w:rtl/>
        </w:rPr>
        <w:t>שיתוף ב</w:t>
      </w:r>
      <w:r w:rsidRPr="00DE0174">
        <w:rPr>
          <w:rFonts w:cs="David" w:hint="cs"/>
          <w:b/>
          <w:bCs/>
          <w:sz w:val="24"/>
          <w:szCs w:val="24"/>
          <w:rtl/>
        </w:rPr>
        <w:t>נתוני אשראי, מר אייל חדד</w:t>
      </w:r>
      <w:r>
        <w:rPr>
          <w:rFonts w:cs="David" w:hint="cs"/>
          <w:sz w:val="24"/>
          <w:szCs w:val="24"/>
          <w:rtl/>
        </w:rPr>
        <w:t xml:space="preserve">: </w:t>
      </w:r>
      <w:r w:rsidR="000831AD">
        <w:rPr>
          <w:rFonts w:cs="David" w:hint="cs"/>
          <w:sz w:val="24"/>
          <w:szCs w:val="24"/>
          <w:rtl/>
        </w:rPr>
        <w:t>"</w:t>
      </w:r>
      <w:r w:rsidR="007F05B7">
        <w:rPr>
          <w:rFonts w:cs="David" w:hint="cs"/>
          <w:sz w:val="24"/>
          <w:szCs w:val="24"/>
          <w:rtl/>
        </w:rPr>
        <w:t>אנו ב</w:t>
      </w:r>
      <w:r w:rsidR="00F11A38">
        <w:rPr>
          <w:rFonts w:cs="David" w:hint="cs"/>
          <w:sz w:val="24"/>
          <w:szCs w:val="24"/>
          <w:rtl/>
        </w:rPr>
        <w:t>מערכת נתוני אשראי רוא</w:t>
      </w:r>
      <w:r w:rsidR="007F05B7">
        <w:rPr>
          <w:rFonts w:cs="David" w:hint="cs"/>
          <w:sz w:val="24"/>
          <w:szCs w:val="24"/>
          <w:rtl/>
        </w:rPr>
        <w:t>ים</w:t>
      </w:r>
      <w:r w:rsidR="00F11A38">
        <w:rPr>
          <w:rFonts w:cs="David" w:hint="cs"/>
          <w:sz w:val="24"/>
          <w:szCs w:val="24"/>
          <w:rtl/>
        </w:rPr>
        <w:t xml:space="preserve"> חשיבות רבה ב</w:t>
      </w:r>
      <w:r w:rsidR="007F05B7">
        <w:rPr>
          <w:rFonts w:cs="David" w:hint="cs"/>
          <w:sz w:val="24"/>
          <w:szCs w:val="24"/>
          <w:rtl/>
        </w:rPr>
        <w:t xml:space="preserve">שיפור </w:t>
      </w:r>
      <w:r w:rsidR="00F11A38">
        <w:rPr>
          <w:rFonts w:cs="David" w:hint="cs"/>
          <w:sz w:val="24"/>
          <w:szCs w:val="24"/>
          <w:rtl/>
        </w:rPr>
        <w:t xml:space="preserve">תהליכי </w:t>
      </w:r>
      <w:r w:rsidR="007F05B7">
        <w:rPr>
          <w:rFonts w:cs="David" w:hint="cs"/>
          <w:sz w:val="24"/>
          <w:szCs w:val="24"/>
          <w:rtl/>
        </w:rPr>
        <w:t>העבודה וה</w:t>
      </w:r>
      <w:r w:rsidR="00F11A38">
        <w:rPr>
          <w:rFonts w:cs="David" w:hint="cs"/>
          <w:sz w:val="24"/>
          <w:szCs w:val="24"/>
          <w:rtl/>
        </w:rPr>
        <w:t xml:space="preserve">אסדרה, </w:t>
      </w:r>
      <w:r w:rsidR="007F05B7">
        <w:rPr>
          <w:rFonts w:cs="David" w:hint="cs"/>
          <w:sz w:val="24"/>
          <w:szCs w:val="24"/>
          <w:rtl/>
        </w:rPr>
        <w:t xml:space="preserve">ובפרט </w:t>
      </w:r>
      <w:r w:rsidR="00F11A38">
        <w:rPr>
          <w:rFonts w:cs="David" w:hint="cs"/>
          <w:sz w:val="24"/>
          <w:szCs w:val="24"/>
          <w:rtl/>
        </w:rPr>
        <w:t>כדי להגן על עניינם ופרטיותם של משקי הבית במדינת ישראל</w:t>
      </w:r>
      <w:r w:rsidR="008C497A">
        <w:rPr>
          <w:rFonts w:cs="David" w:hint="cs"/>
          <w:sz w:val="24"/>
          <w:szCs w:val="24"/>
          <w:rtl/>
        </w:rPr>
        <w:t xml:space="preserve"> </w:t>
      </w:r>
      <w:r w:rsidR="008C497A" w:rsidRPr="00AD171F">
        <w:rPr>
          <w:rFonts w:cs="David" w:hint="eastAsia"/>
          <w:sz w:val="24"/>
          <w:szCs w:val="24"/>
          <w:rtl/>
        </w:rPr>
        <w:t>ועל</w:t>
      </w:r>
      <w:r w:rsidR="008C497A" w:rsidRPr="00AD171F">
        <w:rPr>
          <w:rFonts w:cs="David"/>
          <w:sz w:val="24"/>
          <w:szCs w:val="24"/>
          <w:rtl/>
        </w:rPr>
        <w:t xml:space="preserve"> </w:t>
      </w:r>
      <w:r w:rsidR="008C497A" w:rsidRPr="00AD171F">
        <w:rPr>
          <w:rFonts w:cs="David" w:hint="eastAsia"/>
          <w:sz w:val="24"/>
          <w:szCs w:val="24"/>
          <w:rtl/>
        </w:rPr>
        <w:t>מנת</w:t>
      </w:r>
      <w:r w:rsidR="008C497A" w:rsidRPr="00AD171F">
        <w:rPr>
          <w:rFonts w:cs="David"/>
          <w:sz w:val="24"/>
          <w:szCs w:val="24"/>
          <w:rtl/>
        </w:rPr>
        <w:t xml:space="preserve"> לוודא שהנתונ</w:t>
      </w:r>
      <w:r w:rsidR="000831AD" w:rsidRPr="000831AD">
        <w:rPr>
          <w:rFonts w:cs="David"/>
          <w:sz w:val="24"/>
          <w:szCs w:val="24"/>
          <w:rtl/>
        </w:rPr>
        <w:t xml:space="preserve">ים המדווחים למערכת אמינים </w:t>
      </w:r>
      <w:proofErr w:type="spellStart"/>
      <w:r w:rsidR="000831AD" w:rsidRPr="000831AD">
        <w:rPr>
          <w:rFonts w:cs="David"/>
          <w:sz w:val="24"/>
          <w:szCs w:val="24"/>
          <w:rtl/>
        </w:rPr>
        <w:t>ומטו</w:t>
      </w:r>
      <w:r w:rsidR="00AD171F">
        <w:rPr>
          <w:rFonts w:cs="David" w:hint="cs"/>
          <w:sz w:val="24"/>
          <w:szCs w:val="24"/>
          <w:rtl/>
        </w:rPr>
        <w:t>י</w:t>
      </w:r>
      <w:r w:rsidR="008C497A" w:rsidRPr="00AD171F">
        <w:rPr>
          <w:rFonts w:cs="David"/>
          <w:sz w:val="24"/>
          <w:szCs w:val="24"/>
          <w:rtl/>
        </w:rPr>
        <w:t>בים</w:t>
      </w:r>
      <w:proofErr w:type="spellEnd"/>
      <w:r w:rsidR="00F11A38" w:rsidRPr="008C497A">
        <w:rPr>
          <w:rFonts w:cs="David" w:hint="cs"/>
          <w:sz w:val="24"/>
          <w:szCs w:val="24"/>
          <w:rtl/>
        </w:rPr>
        <w:t>.</w:t>
      </w:r>
      <w:r w:rsidR="00AD171F">
        <w:rPr>
          <w:rFonts w:cs="David" w:hint="cs"/>
          <w:sz w:val="24"/>
          <w:szCs w:val="24"/>
          <w:rtl/>
        </w:rPr>
        <w:t xml:space="preserve"> </w:t>
      </w:r>
      <w:r w:rsidR="00F11A38">
        <w:rPr>
          <w:rFonts w:cs="David" w:hint="cs"/>
          <w:sz w:val="24"/>
          <w:szCs w:val="24"/>
          <w:rtl/>
        </w:rPr>
        <w:t>תהליכי אסדרה מקצועיים ושקופים לציבור הם נר לרגלנו</w:t>
      </w:r>
      <w:r w:rsidR="007F05B7">
        <w:rPr>
          <w:rFonts w:cs="David" w:hint="cs"/>
          <w:sz w:val="24"/>
          <w:szCs w:val="24"/>
          <w:rtl/>
        </w:rPr>
        <w:t xml:space="preserve"> ואנו שואפים</w:t>
      </w:r>
      <w:r w:rsidR="00F11A38">
        <w:rPr>
          <w:rFonts w:cs="David" w:hint="cs"/>
          <w:sz w:val="24"/>
          <w:szCs w:val="24"/>
          <w:rtl/>
        </w:rPr>
        <w:t xml:space="preserve"> </w:t>
      </w:r>
      <w:r w:rsidR="007F05B7">
        <w:rPr>
          <w:rFonts w:cs="David" w:hint="cs"/>
          <w:sz w:val="24"/>
          <w:szCs w:val="24"/>
          <w:rtl/>
        </w:rPr>
        <w:t>ל</w:t>
      </w:r>
      <w:r w:rsidR="008C497A">
        <w:rPr>
          <w:rFonts w:cs="David" w:hint="cs"/>
          <w:sz w:val="24"/>
          <w:szCs w:val="24"/>
          <w:rtl/>
        </w:rPr>
        <w:t xml:space="preserve">שיפור מתמיד </w:t>
      </w:r>
      <w:r w:rsidR="007F05B7">
        <w:rPr>
          <w:rFonts w:cs="David" w:hint="cs"/>
          <w:sz w:val="24"/>
          <w:szCs w:val="24"/>
          <w:rtl/>
        </w:rPr>
        <w:t>בעבודתנו. אני סבור כי עבודת האסדרה תהיה טובה יותר</w:t>
      </w:r>
      <w:r w:rsidR="00AD171F">
        <w:rPr>
          <w:rFonts w:cs="David" w:hint="cs"/>
          <w:sz w:val="24"/>
          <w:szCs w:val="24"/>
          <w:rtl/>
        </w:rPr>
        <w:t xml:space="preserve"> </w:t>
      </w:r>
      <w:r w:rsidR="008C497A">
        <w:rPr>
          <w:rFonts w:cs="David" w:hint="cs"/>
          <w:sz w:val="24"/>
          <w:szCs w:val="24"/>
          <w:rtl/>
        </w:rPr>
        <w:t>הודות לחוק זה.</w:t>
      </w:r>
      <w:r w:rsidR="000831AD">
        <w:rPr>
          <w:rFonts w:cs="David" w:hint="cs"/>
          <w:sz w:val="24"/>
          <w:szCs w:val="24"/>
          <w:rtl/>
        </w:rPr>
        <w:t>"</w:t>
      </w:r>
    </w:p>
    <w:p w:rsidR="00C06577" w:rsidRDefault="00C06577" w:rsidP="00CE01C5">
      <w:pPr>
        <w:spacing w:line="360" w:lineRule="auto"/>
        <w:rPr>
          <w:rFonts w:cs="David"/>
          <w:b/>
          <w:bCs/>
          <w:sz w:val="24"/>
          <w:szCs w:val="24"/>
          <w:rtl/>
        </w:rPr>
      </w:pPr>
    </w:p>
    <w:p w:rsidR="00181BAE" w:rsidRPr="008D476A" w:rsidRDefault="00887B4A" w:rsidP="00207E58">
      <w:pPr>
        <w:spacing w:before="240" w:line="360" w:lineRule="auto"/>
        <w:jc w:val="both"/>
        <w:rPr>
          <w:rFonts w:ascii="David" w:hAnsi="David" w:cs="David"/>
          <w:sz w:val="24"/>
          <w:szCs w:val="24"/>
        </w:rPr>
      </w:pPr>
      <w:r w:rsidRPr="00887B4A">
        <w:rPr>
          <w:rFonts w:ascii="David" w:hAnsi="David" w:cs="David"/>
          <w:sz w:val="24"/>
          <w:szCs w:val="24"/>
          <w:rtl/>
        </w:rPr>
        <w:t xml:space="preserve">חוק עקרונות האסדרה, התשפ"ב-2021 </w:t>
      </w:r>
      <w:r w:rsidR="001C4378">
        <w:rPr>
          <w:rFonts w:ascii="David" w:hAnsi="David" w:cs="David" w:hint="cs"/>
          <w:sz w:val="24"/>
          <w:szCs w:val="24"/>
          <w:rtl/>
        </w:rPr>
        <w:t xml:space="preserve">(להלן- החוק) </w:t>
      </w:r>
      <w:r w:rsidR="008D476A">
        <w:rPr>
          <w:rFonts w:ascii="David" w:hAnsi="David" w:cs="David" w:hint="cs"/>
          <w:sz w:val="24"/>
          <w:szCs w:val="24"/>
          <w:rtl/>
        </w:rPr>
        <w:t xml:space="preserve">אשר יכנס לתוקף ב-1 בינואר 2023 חל </w:t>
      </w:r>
      <w:r w:rsidRPr="00887B4A">
        <w:rPr>
          <w:rFonts w:ascii="David" w:hAnsi="David" w:cs="David"/>
          <w:sz w:val="24"/>
          <w:szCs w:val="24"/>
          <w:rtl/>
        </w:rPr>
        <w:t xml:space="preserve">על בנק ישראל כתאגיד ציבורי לעניין הפעלת סמכויותיו בכל הנוגע </w:t>
      </w:r>
      <w:proofErr w:type="spellStart"/>
      <w:r w:rsidRPr="00887B4A">
        <w:rPr>
          <w:rFonts w:ascii="David" w:hAnsi="David" w:cs="David"/>
          <w:sz w:val="24"/>
          <w:szCs w:val="24"/>
          <w:rtl/>
        </w:rPr>
        <w:t>לאסדרת</w:t>
      </w:r>
      <w:proofErr w:type="spellEnd"/>
      <w:r w:rsidRPr="00887B4A">
        <w:rPr>
          <w:rFonts w:ascii="David" w:hAnsi="David" w:cs="David"/>
          <w:sz w:val="24"/>
          <w:szCs w:val="24"/>
          <w:rtl/>
        </w:rPr>
        <w:t xml:space="preserve"> תחומי הבנקא</w:t>
      </w:r>
      <w:r w:rsidR="008D476A">
        <w:rPr>
          <w:rFonts w:ascii="David" w:hAnsi="David" w:cs="David"/>
          <w:sz w:val="24"/>
          <w:szCs w:val="24"/>
          <w:rtl/>
        </w:rPr>
        <w:t xml:space="preserve">ות, </w:t>
      </w:r>
      <w:proofErr w:type="spellStart"/>
      <w:r w:rsidR="008D476A">
        <w:rPr>
          <w:rFonts w:ascii="David" w:hAnsi="David" w:cs="David"/>
          <w:sz w:val="24"/>
          <w:szCs w:val="24"/>
          <w:rtl/>
        </w:rPr>
        <w:t>הסולקים</w:t>
      </w:r>
      <w:proofErr w:type="spellEnd"/>
      <w:r w:rsidR="008D476A">
        <w:rPr>
          <w:rFonts w:ascii="David" w:hAnsi="David" w:cs="David"/>
          <w:sz w:val="24"/>
          <w:szCs w:val="24"/>
          <w:rtl/>
        </w:rPr>
        <w:t xml:space="preserve"> ושיתוף בנתוני אשראי</w:t>
      </w:r>
      <w:r w:rsidR="008D476A">
        <w:rPr>
          <w:rFonts w:ascii="David" w:hAnsi="David" w:cs="David" w:hint="cs"/>
          <w:sz w:val="24"/>
          <w:szCs w:val="24"/>
          <w:rtl/>
        </w:rPr>
        <w:t>.</w:t>
      </w:r>
      <w:r w:rsidR="00CE01C5">
        <w:rPr>
          <w:rFonts w:ascii="David" w:hAnsi="David" w:cs="David" w:hint="cs"/>
          <w:sz w:val="24"/>
          <w:szCs w:val="24"/>
          <w:rtl/>
        </w:rPr>
        <w:t xml:space="preserve"> </w:t>
      </w:r>
      <w:r w:rsidR="008D476A">
        <w:rPr>
          <w:rFonts w:ascii="David" w:hAnsi="David" w:cs="David" w:hint="cs"/>
          <w:sz w:val="24"/>
          <w:szCs w:val="24"/>
          <w:rtl/>
        </w:rPr>
        <w:t xml:space="preserve">מטרת חוק זה </w:t>
      </w:r>
      <w:r w:rsidRPr="00887B4A">
        <w:rPr>
          <w:rFonts w:ascii="David" w:hAnsi="David" w:cs="David"/>
          <w:sz w:val="24"/>
          <w:szCs w:val="24"/>
          <w:rtl/>
        </w:rPr>
        <w:t>לקדם אסדרה מיטבית של גורמי ממשלה ותאגידים צי</w:t>
      </w:r>
      <w:r w:rsidR="008D476A">
        <w:rPr>
          <w:rFonts w:ascii="David" w:hAnsi="David" w:cs="David"/>
          <w:sz w:val="24"/>
          <w:szCs w:val="24"/>
          <w:rtl/>
        </w:rPr>
        <w:t>בוריים</w:t>
      </w:r>
      <w:r w:rsidR="00C06577">
        <w:rPr>
          <w:rFonts w:ascii="David" w:hAnsi="David" w:cs="David" w:hint="cs"/>
          <w:sz w:val="24"/>
          <w:szCs w:val="24"/>
          <w:rtl/>
        </w:rPr>
        <w:t>,</w:t>
      </w:r>
      <w:r w:rsidR="008D476A">
        <w:rPr>
          <w:rFonts w:ascii="David" w:hAnsi="David" w:cs="David" w:hint="cs"/>
          <w:sz w:val="24"/>
          <w:szCs w:val="24"/>
          <w:rtl/>
        </w:rPr>
        <w:t xml:space="preserve"> שנועדה להשיג יעד ברור ומעוגן בסמכויות המאסדר, </w:t>
      </w:r>
      <w:r w:rsidR="00C06577">
        <w:rPr>
          <w:rFonts w:ascii="David" w:hAnsi="David" w:cs="David" w:hint="cs"/>
          <w:sz w:val="24"/>
          <w:szCs w:val="24"/>
          <w:rtl/>
        </w:rPr>
        <w:t xml:space="preserve">ולהוות </w:t>
      </w:r>
      <w:r w:rsidR="008D476A">
        <w:rPr>
          <w:rFonts w:ascii="David" w:hAnsi="David" w:cs="David" w:hint="cs"/>
          <w:sz w:val="24"/>
          <w:szCs w:val="24"/>
          <w:rtl/>
        </w:rPr>
        <w:t xml:space="preserve">אסדרה איכותית אשר לא משיתה נטל רגולטורי עודף. </w:t>
      </w:r>
    </w:p>
    <w:p w:rsidR="001C4378" w:rsidRDefault="00C06577" w:rsidP="00C06577">
      <w:pPr>
        <w:spacing w:before="240" w:line="360" w:lineRule="auto"/>
        <w:jc w:val="both"/>
        <w:rPr>
          <w:rFonts w:cs="David"/>
          <w:sz w:val="24"/>
          <w:szCs w:val="24"/>
          <w:rtl/>
        </w:rPr>
      </w:pPr>
      <w:r>
        <w:rPr>
          <w:rFonts w:cs="David" w:hint="cs"/>
          <w:sz w:val="24"/>
          <w:szCs w:val="24"/>
          <w:rtl/>
        </w:rPr>
        <w:t xml:space="preserve">כחלק מהגברת השקיפות בפעילות בנק ישראל, הבנק </w:t>
      </w:r>
      <w:r w:rsidR="001C4378">
        <w:rPr>
          <w:rFonts w:cs="David" w:hint="cs"/>
          <w:sz w:val="24"/>
          <w:szCs w:val="24"/>
          <w:rtl/>
        </w:rPr>
        <w:t xml:space="preserve"> </w:t>
      </w:r>
      <w:r w:rsidR="00CE01C5">
        <w:rPr>
          <w:rFonts w:cs="David" w:hint="cs"/>
          <w:sz w:val="24"/>
          <w:szCs w:val="24"/>
          <w:rtl/>
        </w:rPr>
        <w:t xml:space="preserve">מפרסם </w:t>
      </w:r>
      <w:r w:rsidR="001C4378">
        <w:rPr>
          <w:rFonts w:cs="David" w:hint="cs"/>
          <w:sz w:val="24"/>
          <w:szCs w:val="24"/>
          <w:rtl/>
        </w:rPr>
        <w:t xml:space="preserve">את ההנחיות שקבע לעניין אופן ביצוע דוח בקביעת אסדרה, </w:t>
      </w:r>
      <w:r>
        <w:rPr>
          <w:rFonts w:cs="David" w:hint="cs"/>
          <w:sz w:val="24"/>
          <w:szCs w:val="24"/>
          <w:rtl/>
        </w:rPr>
        <w:t xml:space="preserve">המהווה </w:t>
      </w:r>
      <w:r w:rsidR="001C4378">
        <w:rPr>
          <w:rFonts w:cs="David" w:hint="cs"/>
          <w:sz w:val="24"/>
          <w:szCs w:val="24"/>
          <w:rtl/>
        </w:rPr>
        <w:t xml:space="preserve">נדבך מרכזי בדרישות החוק. ההנחיות מקיפות את הנחיות הפיקוח על הבנקים לעניין אסדרה בתחומי הבנקאות </w:t>
      </w:r>
      <w:proofErr w:type="spellStart"/>
      <w:r w:rsidR="001C4378">
        <w:rPr>
          <w:rFonts w:cs="David" w:hint="cs"/>
          <w:sz w:val="24"/>
          <w:szCs w:val="24"/>
          <w:rtl/>
        </w:rPr>
        <w:t>והסולקים</w:t>
      </w:r>
      <w:proofErr w:type="spellEnd"/>
      <w:r w:rsidR="001C4378">
        <w:rPr>
          <w:rFonts w:cs="David" w:hint="cs"/>
          <w:sz w:val="24"/>
          <w:szCs w:val="24"/>
          <w:rtl/>
        </w:rPr>
        <w:t xml:space="preserve"> ואת הנחיות מערכת נתוני אשראי לעניין </w:t>
      </w:r>
      <w:r w:rsidR="00F11A38">
        <w:rPr>
          <w:rFonts w:cs="David" w:hint="cs"/>
          <w:sz w:val="24"/>
          <w:szCs w:val="24"/>
          <w:rtl/>
        </w:rPr>
        <w:t>ה</w:t>
      </w:r>
      <w:r w:rsidR="001C4378">
        <w:rPr>
          <w:rFonts w:cs="David" w:hint="cs"/>
          <w:sz w:val="24"/>
          <w:szCs w:val="24"/>
          <w:rtl/>
        </w:rPr>
        <w:t xml:space="preserve">שיתוף בנתוני אשראי. </w:t>
      </w:r>
    </w:p>
    <w:p w:rsidR="001C4378" w:rsidRDefault="001C4378" w:rsidP="00690FF6">
      <w:pPr>
        <w:spacing w:before="240" w:line="360" w:lineRule="auto"/>
        <w:jc w:val="both"/>
        <w:rPr>
          <w:rFonts w:cs="David"/>
          <w:sz w:val="24"/>
          <w:szCs w:val="24"/>
          <w:rtl/>
        </w:rPr>
      </w:pPr>
      <w:r>
        <w:rPr>
          <w:rFonts w:cs="David" w:hint="cs"/>
          <w:sz w:val="24"/>
          <w:szCs w:val="24"/>
          <w:rtl/>
        </w:rPr>
        <w:t>ההנחיות</w:t>
      </w:r>
      <w:r w:rsidR="00690FF6">
        <w:rPr>
          <w:rFonts w:cs="David" w:hint="cs"/>
          <w:sz w:val="24"/>
          <w:szCs w:val="24"/>
          <w:rtl/>
        </w:rPr>
        <w:t xml:space="preserve"> מעגנות חלקים מרכזיים בתהליך האסדרה אשר יבואו לידי ביטוי בדוח קביעת האסדרה, ובכלל זה מענה על השאלה למה נועדה האסדרה, מי הגורמים המושפעים ממנה, האם היא מבוססת על אסדרה מחו"ל, מהן החלופות שנשקלו, מהן ההשפעות הצפויות של החלופה שנבחרה וכיצד שותפו בעלי העניין והציבור בתהליך האסדרה</w:t>
      </w:r>
      <w:r>
        <w:rPr>
          <w:rFonts w:cs="David" w:hint="cs"/>
          <w:sz w:val="24"/>
          <w:szCs w:val="24"/>
          <w:rtl/>
        </w:rPr>
        <w:t xml:space="preserve">.  </w:t>
      </w:r>
    </w:p>
    <w:p w:rsidR="00181BAE" w:rsidRDefault="00CE01C5" w:rsidP="004439DB">
      <w:pPr>
        <w:spacing w:before="240" w:line="360" w:lineRule="auto"/>
        <w:jc w:val="both"/>
        <w:rPr>
          <w:rFonts w:cs="David"/>
          <w:sz w:val="24"/>
          <w:szCs w:val="24"/>
          <w:rtl/>
        </w:rPr>
      </w:pPr>
      <w:r>
        <w:rPr>
          <w:rFonts w:cs="David" w:hint="cs"/>
          <w:sz w:val="24"/>
          <w:szCs w:val="24"/>
          <w:rtl/>
        </w:rPr>
        <w:lastRenderedPageBreak/>
        <w:t>בנק ישראל מייחס חשיבות רבה לתהליכי אסדרה מקצועיים ושקופים לציבור</w:t>
      </w:r>
      <w:r w:rsidR="00690FF6">
        <w:rPr>
          <w:rFonts w:cs="David" w:hint="cs"/>
          <w:sz w:val="24"/>
          <w:szCs w:val="24"/>
          <w:rtl/>
        </w:rPr>
        <w:t xml:space="preserve"> והוא </w:t>
      </w:r>
      <w:r>
        <w:rPr>
          <w:rFonts w:cs="David" w:hint="cs"/>
          <w:sz w:val="24"/>
          <w:szCs w:val="24"/>
          <w:rtl/>
        </w:rPr>
        <w:t xml:space="preserve">נערך מאז חקיקת החוק לעמידה בכל החובות המוטלות עליו, ובכלל זה בחן מחדש וטייב את תהליכי האסדרה שלו. </w:t>
      </w:r>
      <w:r w:rsidR="00181BAE">
        <w:rPr>
          <w:rFonts w:cs="David"/>
          <w:sz w:val="24"/>
          <w:szCs w:val="24"/>
          <w:rtl/>
        </w:rPr>
        <w:tab/>
      </w:r>
    </w:p>
    <w:p w:rsidR="00181BAE" w:rsidRDefault="00181BAE" w:rsidP="00181BAE">
      <w:pPr>
        <w:tabs>
          <w:tab w:val="left" w:pos="3473"/>
        </w:tabs>
        <w:rPr>
          <w:rFonts w:cs="David"/>
          <w:sz w:val="24"/>
          <w:szCs w:val="24"/>
          <w:rtl/>
        </w:rPr>
      </w:pPr>
    </w:p>
    <w:p w:rsidR="00663620" w:rsidRPr="00663620" w:rsidRDefault="00663620" w:rsidP="00663620">
      <w:pPr>
        <w:tabs>
          <w:tab w:val="left" w:pos="3473"/>
        </w:tabs>
        <w:rPr>
          <w:rStyle w:val="Hyperlink"/>
          <w:rFonts w:cs="David"/>
          <w:sz w:val="24"/>
          <w:szCs w:val="24"/>
        </w:rPr>
      </w:pPr>
      <w:r>
        <w:rPr>
          <w:rFonts w:cs="David"/>
          <w:sz w:val="24"/>
          <w:szCs w:val="24"/>
          <w:rtl/>
        </w:rPr>
        <w:fldChar w:fldCharType="begin"/>
      </w:r>
      <w:r>
        <w:rPr>
          <w:rFonts w:cs="David"/>
          <w:sz w:val="24"/>
          <w:szCs w:val="24"/>
          <w:rtl/>
        </w:rPr>
        <w:instrText xml:space="preserve"> </w:instrText>
      </w:r>
      <w:r>
        <w:rPr>
          <w:rFonts w:cs="David"/>
          <w:sz w:val="24"/>
          <w:szCs w:val="24"/>
        </w:rPr>
        <w:instrText>HYPERLINK</w:instrText>
      </w:r>
      <w:r>
        <w:rPr>
          <w:rFonts w:cs="David"/>
          <w:sz w:val="24"/>
          <w:szCs w:val="24"/>
          <w:rtl/>
        </w:rPr>
        <w:instrText xml:space="preserve"> "</w:instrText>
      </w:r>
      <w:r>
        <w:rPr>
          <w:rFonts w:cs="David"/>
          <w:sz w:val="24"/>
          <w:szCs w:val="24"/>
        </w:rPr>
        <w:instrText>https://www.boi.org.il/%D7%94%D7%AA%D7%A4%D7%A7%D7%99%D7%93%D7%99%D7%9D-%D7%94%D7%9B%D7%9C%D7%9B%D7%9C%D7%99%D7%99%D7%9D/supervisionregulation/%D7%9E%D7%93%D7%99%D7%A0%D7%99%D7%95%D7%AA/%D7%94%D7%A0%D7%97%D7%99%D7%95%D7%AA-%D7%94%D7%A4%D7%99%D7%A7%D7%95%D7%97-%D7%A2%D7%9C-%D7%94%D7%91%D7%A0%D7%A7%D7%99%D7%9D-%D7%9C%D7%99%D7%99%D7%A9%D7%95%D7%9D-%D7%97%D7%95%D7%A7-%D7%A2%D7%A7%D7%A8%D7%95%D7%A0%D7%95%D7%AA-%D7%94%D7%90%D7%A1%D7%93%D7%A8%D7%94-2021-%D7%94%D7%AA%D7%A9%D7%A4%D7%91</w:instrText>
      </w:r>
      <w:r>
        <w:rPr>
          <w:rFonts w:cs="David"/>
          <w:sz w:val="24"/>
          <w:szCs w:val="24"/>
          <w:rtl/>
        </w:rPr>
        <w:instrText xml:space="preserve">/" </w:instrText>
      </w:r>
      <w:r>
        <w:rPr>
          <w:rFonts w:cs="David"/>
          <w:sz w:val="24"/>
          <w:szCs w:val="24"/>
          <w:rtl/>
        </w:rPr>
        <w:fldChar w:fldCharType="separate"/>
      </w:r>
      <w:r w:rsidRPr="00663620">
        <w:rPr>
          <w:rStyle w:val="Hyperlink"/>
          <w:rFonts w:cs="David" w:hint="cs"/>
          <w:sz w:val="24"/>
          <w:szCs w:val="24"/>
          <w:rtl/>
        </w:rPr>
        <w:t>להורדת מסמך ההנחיות של הפיקוח על הבנקים</w:t>
      </w:r>
    </w:p>
    <w:p w:rsidR="00181BAE" w:rsidRPr="00663620" w:rsidRDefault="00663620" w:rsidP="00181BAE">
      <w:pPr>
        <w:tabs>
          <w:tab w:val="left" w:pos="3473"/>
        </w:tabs>
        <w:rPr>
          <w:rFonts w:cs="David"/>
          <w:sz w:val="24"/>
          <w:szCs w:val="24"/>
          <w:rtl/>
        </w:rPr>
      </w:pPr>
      <w:r>
        <w:rPr>
          <w:rFonts w:cs="David"/>
          <w:sz w:val="24"/>
          <w:szCs w:val="24"/>
          <w:rtl/>
        </w:rPr>
        <w:fldChar w:fldCharType="end"/>
      </w:r>
    </w:p>
    <w:p w:rsidR="006652DD" w:rsidRDefault="006652DD" w:rsidP="00181BAE">
      <w:pPr>
        <w:tabs>
          <w:tab w:val="left" w:pos="3473"/>
        </w:tabs>
        <w:rPr>
          <w:rFonts w:cs="David"/>
          <w:sz w:val="24"/>
          <w:szCs w:val="24"/>
          <w:rtl/>
        </w:rPr>
      </w:pPr>
    </w:p>
    <w:p w:rsidR="006652DD" w:rsidRPr="00181BAE" w:rsidRDefault="000F2CBB" w:rsidP="006652DD">
      <w:pPr>
        <w:tabs>
          <w:tab w:val="left" w:pos="3473"/>
        </w:tabs>
        <w:rPr>
          <w:rFonts w:cs="David"/>
          <w:sz w:val="24"/>
          <w:szCs w:val="24"/>
        </w:rPr>
      </w:pPr>
      <w:hyperlink r:id="rId8" w:history="1">
        <w:r w:rsidR="006652DD" w:rsidRPr="006652DD">
          <w:rPr>
            <w:rStyle w:val="Hyperlink"/>
            <w:rFonts w:cs="David" w:hint="cs"/>
            <w:sz w:val="24"/>
            <w:szCs w:val="24"/>
            <w:rtl/>
          </w:rPr>
          <w:t xml:space="preserve">להורדת מסמך ההנחיות </w:t>
        </w:r>
        <w:r w:rsidR="006652DD">
          <w:rPr>
            <w:rStyle w:val="Hyperlink"/>
            <w:rFonts w:cs="David" w:hint="cs"/>
            <w:sz w:val="24"/>
            <w:szCs w:val="24"/>
            <w:rtl/>
          </w:rPr>
          <w:t>בעניין</w:t>
        </w:r>
        <w:r w:rsidR="006652DD" w:rsidRPr="006652DD">
          <w:rPr>
            <w:rStyle w:val="Hyperlink"/>
            <w:rFonts w:cs="David" w:hint="cs"/>
            <w:sz w:val="24"/>
            <w:szCs w:val="24"/>
            <w:rtl/>
          </w:rPr>
          <w:t xml:space="preserve"> </w:t>
        </w:r>
        <w:r w:rsidR="006652DD">
          <w:rPr>
            <w:rStyle w:val="Hyperlink"/>
            <w:rFonts w:cs="David" w:hint="cs"/>
            <w:sz w:val="24"/>
            <w:szCs w:val="24"/>
            <w:rtl/>
          </w:rPr>
          <w:t>שיתוף</w:t>
        </w:r>
        <w:r w:rsidR="006652DD" w:rsidRPr="006652DD">
          <w:rPr>
            <w:rStyle w:val="Hyperlink"/>
            <w:rFonts w:cs="David" w:hint="cs"/>
            <w:sz w:val="24"/>
            <w:szCs w:val="24"/>
            <w:rtl/>
          </w:rPr>
          <w:t xml:space="preserve"> נתוני אשראי</w:t>
        </w:r>
      </w:hyperlink>
    </w:p>
    <w:sectPr w:rsidR="006652DD" w:rsidRPr="00181BAE" w:rsidSect="00181BAE">
      <w:headerReference w:type="even" r:id="rId9"/>
      <w:footerReference w:type="default" r:id="rId10"/>
      <w:headerReference w:type="first" r:id="rId11"/>
      <w:footerReference w:type="first" r:id="rId12"/>
      <w:endnotePr>
        <w:numFmt w:val="lowerLetter"/>
      </w:endnotePr>
      <w:pgSz w:w="11909" w:h="16834"/>
      <w:pgMar w:top="1440" w:right="1800" w:bottom="709" w:left="1800" w:header="720" w:footer="579" w:gutter="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CBB" w:rsidRDefault="000F2CBB">
      <w:r>
        <w:separator/>
      </w:r>
    </w:p>
  </w:endnote>
  <w:endnote w:type="continuationSeparator" w:id="0">
    <w:p w:rsidR="000F2CBB" w:rsidRDefault="000F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arela Round">
    <w:panose1 w:val="00000500000000000000"/>
    <w:charset w:val="00"/>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BAE" w:rsidRPr="00181BAE" w:rsidRDefault="00181BAE" w:rsidP="00181BAE">
    <w:pPr>
      <w:pStyle w:val="a3"/>
      <w:framePr w:wrap="around" w:vAnchor="text" w:hAnchor="margin" w:xAlign="center" w:y="1"/>
      <w:rPr>
        <w:rStyle w:val="a6"/>
        <w:rFonts w:ascii="David" w:hAnsi="David" w:cs="David"/>
        <w:sz w:val="24"/>
        <w:szCs w:val="24"/>
        <w:rtl/>
      </w:rPr>
    </w:pPr>
    <w:r w:rsidRPr="00181BAE">
      <w:rPr>
        <w:rStyle w:val="a6"/>
        <w:rFonts w:ascii="David" w:hAnsi="David" w:cs="David"/>
        <w:sz w:val="24"/>
        <w:szCs w:val="24"/>
        <w:rtl/>
      </w:rPr>
      <w:fldChar w:fldCharType="begin"/>
    </w:r>
    <w:r w:rsidRPr="00181BAE">
      <w:rPr>
        <w:rStyle w:val="a6"/>
        <w:rFonts w:ascii="David" w:hAnsi="David" w:cs="David"/>
        <w:sz w:val="24"/>
        <w:szCs w:val="24"/>
      </w:rPr>
      <w:instrText xml:space="preserve">PAGE  </w:instrText>
    </w:r>
    <w:r w:rsidRPr="00181BAE">
      <w:rPr>
        <w:rStyle w:val="a6"/>
        <w:rFonts w:ascii="David" w:hAnsi="David" w:cs="David"/>
        <w:sz w:val="24"/>
        <w:szCs w:val="24"/>
        <w:rtl/>
      </w:rPr>
      <w:fldChar w:fldCharType="separate"/>
    </w:r>
    <w:r w:rsidR="00554766">
      <w:rPr>
        <w:rStyle w:val="a6"/>
        <w:rFonts w:ascii="David" w:hAnsi="David" w:cs="David"/>
        <w:noProof/>
        <w:sz w:val="24"/>
        <w:szCs w:val="24"/>
        <w:rtl/>
      </w:rPr>
      <w:t>2</w:t>
    </w:r>
    <w:r w:rsidRPr="00181BAE">
      <w:rPr>
        <w:rStyle w:val="a6"/>
        <w:rFonts w:ascii="David" w:hAnsi="David" w:cs="David"/>
        <w:sz w:val="24"/>
        <w:szCs w:val="24"/>
        <w:rtl/>
      </w:rPr>
      <w:fldChar w:fldCharType="end"/>
    </w:r>
  </w:p>
  <w:p w:rsidR="00EB1B0C" w:rsidRPr="00181BAE" w:rsidRDefault="00EB1B0C" w:rsidP="00181BAE">
    <w:pPr>
      <w:pStyle w:val="a4"/>
      <w:rPr>
        <w:rFonts w:ascii="David" w:hAnsi="David" w:cs="David"/>
        <w:sz w:val="24"/>
        <w:szCs w:val="24"/>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B66" w:rsidRPr="004D4985" w:rsidRDefault="00590B66" w:rsidP="00590B66">
    <w:pPr>
      <w:pStyle w:val="a4"/>
      <w:jc w:val="center"/>
      <w:rPr>
        <w:rFonts w:ascii="David" w:hAnsi="David" w:cs="David"/>
        <w:i/>
        <w:iCs/>
        <w:sz w:val="22"/>
        <w:szCs w:val="22"/>
        <w:rtl/>
      </w:rPr>
    </w:pPr>
    <w:r w:rsidRPr="004D4985">
      <w:rPr>
        <w:rFonts w:ascii="David" w:hAnsi="David" w:cs="David"/>
        <w:sz w:val="22"/>
        <w:szCs w:val="22"/>
        <w:rtl/>
      </w:rPr>
      <w:t>ת"ד 780, ירושלים 91007</w:t>
    </w:r>
    <w:r w:rsidRPr="004D4985">
      <w:rPr>
        <w:rFonts w:ascii="David" w:hAnsi="David" w:cs="David" w:hint="cs"/>
        <w:sz w:val="22"/>
        <w:szCs w:val="22"/>
        <w:rtl/>
      </w:rPr>
      <w:t xml:space="preserve"> | </w:t>
    </w:r>
    <w:r w:rsidRPr="004D4985">
      <w:rPr>
        <w:rFonts w:ascii="David" w:hAnsi="David" w:cs="David"/>
        <w:sz w:val="22"/>
        <w:szCs w:val="22"/>
        <w:rtl/>
      </w:rPr>
      <w:t xml:space="preserve">טל: 02-6552400 </w:t>
    </w:r>
    <w:r w:rsidRPr="004D4985">
      <w:rPr>
        <w:rFonts w:ascii="David" w:hAnsi="David" w:cs="David" w:hint="cs"/>
        <w:sz w:val="22"/>
        <w:szCs w:val="22"/>
        <w:rtl/>
      </w:rPr>
      <w:t xml:space="preserve">| אתר אינטרנט: </w:t>
    </w:r>
    <w:r w:rsidRPr="004D4985">
      <w:rPr>
        <w:rFonts w:ascii="David" w:hAnsi="David" w:cs="David"/>
        <w:sz w:val="22"/>
        <w:szCs w:val="22"/>
      </w:rPr>
      <w:t>www.boi.org.il</w:t>
    </w:r>
  </w:p>
  <w:p w:rsidR="00EB1B0C" w:rsidRPr="00C063FB" w:rsidRDefault="00EB1B0C" w:rsidP="00C063FB">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CBB" w:rsidRDefault="000F2CBB">
      <w:r>
        <w:separator/>
      </w:r>
    </w:p>
  </w:footnote>
  <w:footnote w:type="continuationSeparator" w:id="0">
    <w:p w:rsidR="000F2CBB" w:rsidRDefault="000F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B0C" w:rsidRDefault="00EB1B0C">
    <w:pPr>
      <w:pStyle w:val="a3"/>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end"/>
    </w:r>
  </w:p>
  <w:p w:rsidR="00EB1B0C" w:rsidRDefault="00EB1B0C">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8B" w:rsidRPr="00181BAE" w:rsidRDefault="008D348B" w:rsidP="00181BAE">
    <w:pPr>
      <w:pStyle w:val="a3"/>
      <w:tabs>
        <w:tab w:val="clear" w:pos="4153"/>
        <w:tab w:val="clear" w:pos="8306"/>
        <w:tab w:val="left" w:pos="1934"/>
      </w:tabs>
      <w:rPr>
        <w:rFonts w:cs="David"/>
      </w:rPr>
    </w:pPr>
  </w:p>
  <w:p w:rsidR="008D348B" w:rsidRPr="007454DA" w:rsidRDefault="008D348B" w:rsidP="008D348B">
    <w:pPr>
      <w:pStyle w:val="a3"/>
      <w:tabs>
        <w:tab w:val="clear" w:pos="4153"/>
        <w:tab w:val="clear" w:pos="8306"/>
        <w:tab w:val="left" w:pos="1934"/>
      </w:tabs>
      <w:rPr>
        <w:rFonts w:cs="David"/>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B8"/>
    <w:rsid w:val="0004254F"/>
    <w:rsid w:val="000831AD"/>
    <w:rsid w:val="000972D7"/>
    <w:rsid w:val="000B0A50"/>
    <w:rsid w:val="000E2F43"/>
    <w:rsid w:val="000F02F3"/>
    <w:rsid w:val="000F2CBB"/>
    <w:rsid w:val="00105783"/>
    <w:rsid w:val="0015580C"/>
    <w:rsid w:val="00180694"/>
    <w:rsid w:val="00181BAE"/>
    <w:rsid w:val="00193BC3"/>
    <w:rsid w:val="001B08C8"/>
    <w:rsid w:val="001B223D"/>
    <w:rsid w:val="001C4378"/>
    <w:rsid w:val="001E44DF"/>
    <w:rsid w:val="00207E58"/>
    <w:rsid w:val="0021262F"/>
    <w:rsid w:val="002273FB"/>
    <w:rsid w:val="00236D67"/>
    <w:rsid w:val="0027110C"/>
    <w:rsid w:val="00273FF9"/>
    <w:rsid w:val="002B1302"/>
    <w:rsid w:val="002B7B78"/>
    <w:rsid w:val="002D24DF"/>
    <w:rsid w:val="002D2D22"/>
    <w:rsid w:val="002D4DAF"/>
    <w:rsid w:val="003010F4"/>
    <w:rsid w:val="00307677"/>
    <w:rsid w:val="003233BD"/>
    <w:rsid w:val="00337D53"/>
    <w:rsid w:val="00342DC1"/>
    <w:rsid w:val="003820DB"/>
    <w:rsid w:val="0038734A"/>
    <w:rsid w:val="003C56F0"/>
    <w:rsid w:val="003D5F42"/>
    <w:rsid w:val="003E3A1F"/>
    <w:rsid w:val="003F7875"/>
    <w:rsid w:val="00404F86"/>
    <w:rsid w:val="00404FB2"/>
    <w:rsid w:val="00405590"/>
    <w:rsid w:val="004136C9"/>
    <w:rsid w:val="00415C9D"/>
    <w:rsid w:val="00441B3B"/>
    <w:rsid w:val="004439DB"/>
    <w:rsid w:val="0044634F"/>
    <w:rsid w:val="00460787"/>
    <w:rsid w:val="00460938"/>
    <w:rsid w:val="0047347B"/>
    <w:rsid w:val="0049257A"/>
    <w:rsid w:val="004A13CD"/>
    <w:rsid w:val="004E0354"/>
    <w:rsid w:val="004F7D1C"/>
    <w:rsid w:val="0053237D"/>
    <w:rsid w:val="00550C5D"/>
    <w:rsid w:val="00551BD1"/>
    <w:rsid w:val="00554766"/>
    <w:rsid w:val="0058601D"/>
    <w:rsid w:val="0058721D"/>
    <w:rsid w:val="0058750D"/>
    <w:rsid w:val="005878F1"/>
    <w:rsid w:val="00590B66"/>
    <w:rsid w:val="00592777"/>
    <w:rsid w:val="005946F2"/>
    <w:rsid w:val="00596FFB"/>
    <w:rsid w:val="005A2C43"/>
    <w:rsid w:val="005A3E12"/>
    <w:rsid w:val="005D252E"/>
    <w:rsid w:val="005D72DC"/>
    <w:rsid w:val="00601386"/>
    <w:rsid w:val="00603F6E"/>
    <w:rsid w:val="006128DF"/>
    <w:rsid w:val="00626B9E"/>
    <w:rsid w:val="006508F6"/>
    <w:rsid w:val="00657DE6"/>
    <w:rsid w:val="00662459"/>
    <w:rsid w:val="00663620"/>
    <w:rsid w:val="006652DD"/>
    <w:rsid w:val="006729F7"/>
    <w:rsid w:val="00677D5A"/>
    <w:rsid w:val="00686030"/>
    <w:rsid w:val="00690FF6"/>
    <w:rsid w:val="006A1833"/>
    <w:rsid w:val="006A7233"/>
    <w:rsid w:val="006B12CF"/>
    <w:rsid w:val="006C14AB"/>
    <w:rsid w:val="006C7650"/>
    <w:rsid w:val="006C7FF3"/>
    <w:rsid w:val="006F3088"/>
    <w:rsid w:val="007013A1"/>
    <w:rsid w:val="00705A78"/>
    <w:rsid w:val="00743037"/>
    <w:rsid w:val="007454DA"/>
    <w:rsid w:val="00774740"/>
    <w:rsid w:val="00775985"/>
    <w:rsid w:val="007867B9"/>
    <w:rsid w:val="00793C19"/>
    <w:rsid w:val="007B32B8"/>
    <w:rsid w:val="007F05B7"/>
    <w:rsid w:val="00806F0F"/>
    <w:rsid w:val="008327EE"/>
    <w:rsid w:val="00833E44"/>
    <w:rsid w:val="008356EE"/>
    <w:rsid w:val="00836136"/>
    <w:rsid w:val="0088287A"/>
    <w:rsid w:val="00887B4A"/>
    <w:rsid w:val="008C44AD"/>
    <w:rsid w:val="008C497A"/>
    <w:rsid w:val="008D348B"/>
    <w:rsid w:val="008D476A"/>
    <w:rsid w:val="008D6C4E"/>
    <w:rsid w:val="008D7BED"/>
    <w:rsid w:val="008F48C9"/>
    <w:rsid w:val="009111AD"/>
    <w:rsid w:val="00916D8C"/>
    <w:rsid w:val="00954DD7"/>
    <w:rsid w:val="009877DE"/>
    <w:rsid w:val="009B4426"/>
    <w:rsid w:val="009B5BFC"/>
    <w:rsid w:val="009D6A81"/>
    <w:rsid w:val="009F3B52"/>
    <w:rsid w:val="009F5498"/>
    <w:rsid w:val="00A00298"/>
    <w:rsid w:val="00A55E56"/>
    <w:rsid w:val="00A609C7"/>
    <w:rsid w:val="00A65A2A"/>
    <w:rsid w:val="00AA408D"/>
    <w:rsid w:val="00AA5938"/>
    <w:rsid w:val="00AC32C2"/>
    <w:rsid w:val="00AC5FE2"/>
    <w:rsid w:val="00AD171F"/>
    <w:rsid w:val="00AE48FA"/>
    <w:rsid w:val="00AE7820"/>
    <w:rsid w:val="00AF30F1"/>
    <w:rsid w:val="00B10D98"/>
    <w:rsid w:val="00B1246C"/>
    <w:rsid w:val="00B4593A"/>
    <w:rsid w:val="00B5499F"/>
    <w:rsid w:val="00B822D2"/>
    <w:rsid w:val="00B90FE7"/>
    <w:rsid w:val="00BB7B1D"/>
    <w:rsid w:val="00BC2FB8"/>
    <w:rsid w:val="00BC4172"/>
    <w:rsid w:val="00BC49F3"/>
    <w:rsid w:val="00BC671E"/>
    <w:rsid w:val="00BF65D4"/>
    <w:rsid w:val="00C063FB"/>
    <w:rsid w:val="00C06577"/>
    <w:rsid w:val="00C241B3"/>
    <w:rsid w:val="00C61B8F"/>
    <w:rsid w:val="00C624AB"/>
    <w:rsid w:val="00C86945"/>
    <w:rsid w:val="00C91F0F"/>
    <w:rsid w:val="00C92984"/>
    <w:rsid w:val="00CA2602"/>
    <w:rsid w:val="00CA6BA9"/>
    <w:rsid w:val="00CB2FCD"/>
    <w:rsid w:val="00CD3951"/>
    <w:rsid w:val="00CD3CB5"/>
    <w:rsid w:val="00CD5305"/>
    <w:rsid w:val="00CD7900"/>
    <w:rsid w:val="00CE01C5"/>
    <w:rsid w:val="00CF11AC"/>
    <w:rsid w:val="00D07A7A"/>
    <w:rsid w:val="00D13D4C"/>
    <w:rsid w:val="00D20C18"/>
    <w:rsid w:val="00D35FAF"/>
    <w:rsid w:val="00D64EC2"/>
    <w:rsid w:val="00DE0174"/>
    <w:rsid w:val="00DE0A33"/>
    <w:rsid w:val="00E03C1C"/>
    <w:rsid w:val="00E112E9"/>
    <w:rsid w:val="00E255C7"/>
    <w:rsid w:val="00E33C63"/>
    <w:rsid w:val="00E478A9"/>
    <w:rsid w:val="00E6689D"/>
    <w:rsid w:val="00E676BD"/>
    <w:rsid w:val="00E717E0"/>
    <w:rsid w:val="00E71FE5"/>
    <w:rsid w:val="00E93FA7"/>
    <w:rsid w:val="00EA52CF"/>
    <w:rsid w:val="00EB1B0C"/>
    <w:rsid w:val="00F11A38"/>
    <w:rsid w:val="00F23CB4"/>
    <w:rsid w:val="00F3125E"/>
    <w:rsid w:val="00F50491"/>
    <w:rsid w:val="00F5100D"/>
    <w:rsid w:val="00F6002E"/>
    <w:rsid w:val="00F605E6"/>
    <w:rsid w:val="00F63575"/>
    <w:rsid w:val="00F83CA1"/>
    <w:rsid w:val="00FA533D"/>
    <w:rsid w:val="00FC49B8"/>
    <w:rsid w:val="00FC5D24"/>
    <w:rsid w:val="00FF74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3BC8B5-A5CD-427F-8F1B-8D967A25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style>
  <w:style w:type="paragraph" w:styleId="1">
    <w:name w:val="heading 1"/>
    <w:basedOn w:val="a"/>
    <w:next w:val="a"/>
    <w:link w:val="10"/>
    <w:qFormat/>
    <w:rsid w:val="005D252E"/>
    <w:pPr>
      <w:keepNext/>
      <w:spacing w:before="240" w:after="60"/>
      <w:jc w:val="center"/>
      <w:outlineLvl w:val="0"/>
    </w:pPr>
    <w:rPr>
      <w:rFonts w:asciiTheme="majorHAnsi" w:eastAsiaTheme="majorEastAsia" w:hAnsiTheme="majorHAnsi" w:cs="David"/>
      <w:b/>
      <w:bCs/>
      <w:kern w:val="32"/>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a6">
    <w:name w:val="page number"/>
    <w:basedOn w:val="a0"/>
  </w:style>
  <w:style w:type="paragraph" w:styleId="a7">
    <w:name w:val="Balloon Text"/>
    <w:basedOn w:val="a"/>
    <w:semiHidden/>
    <w:rsid w:val="008356EE"/>
    <w:rPr>
      <w:rFonts w:ascii="Tahoma" w:hAnsi="Tahoma" w:cs="Tahoma"/>
      <w:sz w:val="16"/>
      <w:szCs w:val="16"/>
    </w:rPr>
  </w:style>
  <w:style w:type="character" w:customStyle="1" w:styleId="10">
    <w:name w:val="כותרת 1 תו"/>
    <w:basedOn w:val="a0"/>
    <w:link w:val="1"/>
    <w:rsid w:val="005D252E"/>
    <w:rPr>
      <w:rFonts w:asciiTheme="majorHAnsi" w:eastAsiaTheme="majorEastAsia" w:hAnsiTheme="majorHAnsi" w:cs="David"/>
      <w:b/>
      <w:bCs/>
      <w:kern w:val="32"/>
      <w:sz w:val="32"/>
      <w:szCs w:val="28"/>
    </w:rPr>
  </w:style>
  <w:style w:type="character" w:customStyle="1" w:styleId="a5">
    <w:name w:val="כותרת תחתונה תו"/>
    <w:basedOn w:val="a0"/>
    <w:link w:val="a4"/>
    <w:uiPriority w:val="99"/>
    <w:rsid w:val="00590B66"/>
  </w:style>
  <w:style w:type="table" w:styleId="a8">
    <w:name w:val="Table Grid"/>
    <w:basedOn w:val="a1"/>
    <w:rsid w:val="002D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1C4378"/>
    <w:pPr>
      <w:tabs>
        <w:tab w:val="left" w:pos="537"/>
        <w:tab w:val="right" w:leader="dot" w:pos="8296"/>
      </w:tabs>
      <w:overflowPunct/>
      <w:autoSpaceDE/>
      <w:autoSpaceDN/>
      <w:adjustRightInd/>
      <w:spacing w:before="240" w:line="480" w:lineRule="auto"/>
      <w:textAlignment w:val="auto"/>
    </w:pPr>
    <w:rPr>
      <w:rFonts w:ascii="Varela Round" w:eastAsiaTheme="minorHAnsi" w:hAnsi="Varela Round" w:cs="Varela Round"/>
      <w:b/>
      <w:bCs/>
      <w:noProof/>
      <w:sz w:val="24"/>
      <w:szCs w:val="24"/>
      <w14:scene3d>
        <w14:camera w14:prst="orthographicFront"/>
        <w14:lightRig w14:rig="threePt" w14:dir="t">
          <w14:rot w14:lat="0" w14:lon="0" w14:rev="0"/>
        </w14:lightRig>
      </w14:scene3d>
    </w:rPr>
  </w:style>
  <w:style w:type="paragraph" w:styleId="TOC2">
    <w:name w:val="toc 2"/>
    <w:basedOn w:val="a"/>
    <w:next w:val="a"/>
    <w:autoRedefine/>
    <w:uiPriority w:val="39"/>
    <w:unhideWhenUsed/>
    <w:rsid w:val="001C4378"/>
    <w:pPr>
      <w:tabs>
        <w:tab w:val="left" w:pos="1320"/>
        <w:tab w:val="right" w:leader="dot" w:pos="8302"/>
      </w:tabs>
      <w:overflowPunct/>
      <w:autoSpaceDE/>
      <w:autoSpaceDN/>
      <w:adjustRightInd/>
      <w:spacing w:before="240" w:after="100" w:line="276" w:lineRule="auto"/>
      <w:ind w:left="571"/>
      <w:textAlignment w:val="auto"/>
    </w:pPr>
    <w:rPr>
      <w:rFonts w:asciiTheme="minorHAnsi" w:eastAsiaTheme="minorHAnsi" w:hAnsiTheme="minorHAnsi" w:cstheme="minorBidi"/>
      <w:sz w:val="22"/>
      <w:szCs w:val="22"/>
    </w:rPr>
  </w:style>
  <w:style w:type="paragraph" w:styleId="TOC3">
    <w:name w:val="toc 3"/>
    <w:basedOn w:val="a"/>
    <w:next w:val="a"/>
    <w:autoRedefine/>
    <w:uiPriority w:val="39"/>
    <w:unhideWhenUsed/>
    <w:rsid w:val="001C4378"/>
    <w:pPr>
      <w:tabs>
        <w:tab w:val="left" w:pos="1760"/>
        <w:tab w:val="right" w:leader="dot" w:pos="8302"/>
      </w:tabs>
      <w:overflowPunct/>
      <w:autoSpaceDE/>
      <w:autoSpaceDN/>
      <w:adjustRightInd/>
      <w:spacing w:after="100" w:line="276" w:lineRule="auto"/>
      <w:ind w:left="440"/>
      <w:textAlignment w:val="auto"/>
    </w:pPr>
    <w:rPr>
      <w:rFonts w:asciiTheme="minorHAnsi" w:eastAsiaTheme="minorHAnsi" w:hAnsiTheme="minorHAnsi" w:cstheme="minorBidi"/>
      <w:sz w:val="22"/>
      <w:szCs w:val="22"/>
    </w:rPr>
  </w:style>
  <w:style w:type="character" w:styleId="Hyperlink">
    <w:name w:val="Hyperlink"/>
    <w:basedOn w:val="a0"/>
    <w:uiPriority w:val="99"/>
    <w:unhideWhenUsed/>
    <w:rsid w:val="001C4378"/>
    <w:rPr>
      <w:color w:val="0563C1" w:themeColor="hyperlink"/>
      <w:u w:val="single"/>
    </w:rPr>
  </w:style>
  <w:style w:type="paragraph" w:styleId="a9">
    <w:name w:val="No Spacing"/>
    <w:uiPriority w:val="1"/>
    <w:qFormat/>
    <w:rsid w:val="00657DE6"/>
    <w:pPr>
      <w:bidi/>
    </w:pPr>
    <w:rPr>
      <w:rFonts w:asciiTheme="minorHAnsi" w:eastAsiaTheme="minorHAnsi" w:hAnsiTheme="minorHAnsi" w:cstheme="minorBidi"/>
      <w:sz w:val="22"/>
      <w:szCs w:val="22"/>
    </w:rPr>
  </w:style>
  <w:style w:type="character" w:styleId="FollowedHyperlink">
    <w:name w:val="FollowedHyperlink"/>
    <w:basedOn w:val="a0"/>
    <w:rsid w:val="00665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02492">
      <w:bodyDiv w:val="1"/>
      <w:marLeft w:val="0"/>
      <w:marRight w:val="0"/>
      <w:marTop w:val="0"/>
      <w:marBottom w:val="0"/>
      <w:divBdr>
        <w:top w:val="none" w:sz="0" w:space="0" w:color="auto"/>
        <w:left w:val="none" w:sz="0" w:space="0" w:color="auto"/>
        <w:bottom w:val="none" w:sz="0" w:space="0" w:color="auto"/>
        <w:right w:val="none" w:sz="0" w:space="0" w:color="auto"/>
      </w:divBdr>
    </w:div>
    <w:div w:id="1026754717">
      <w:bodyDiv w:val="1"/>
      <w:marLeft w:val="0"/>
      <w:marRight w:val="0"/>
      <w:marTop w:val="0"/>
      <w:marBottom w:val="0"/>
      <w:divBdr>
        <w:top w:val="none" w:sz="0" w:space="0" w:color="auto"/>
        <w:left w:val="none" w:sz="0" w:space="0" w:color="auto"/>
        <w:bottom w:val="none" w:sz="0" w:space="0" w:color="auto"/>
        <w:right w:val="none" w:sz="0" w:space="0" w:color="auto"/>
      </w:divBdr>
    </w:div>
    <w:div w:id="21134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editdata.org.il/media/1422/RI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F6D1-D6F4-4E85-B389-63B4B4A1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2264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ירושלים, כ"ה בתשרי תשנ"ח</vt:lpstr>
    </vt:vector>
  </TitlesOfParts>
  <Company>Bank of Israel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כ"ה בתשרי תשנ"ח</dc:title>
  <dc:subject/>
  <dc:creator>ff</dc:creator>
  <cp:keywords/>
  <cp:lastModifiedBy>לירון דהן</cp:lastModifiedBy>
  <cp:revision>2</cp:revision>
  <cp:lastPrinted>2022-12-20T06:00:00Z</cp:lastPrinted>
  <dcterms:created xsi:type="dcterms:W3CDTF">2022-12-27T11:51:00Z</dcterms:created>
  <dcterms:modified xsi:type="dcterms:W3CDTF">2022-12-27T11:51:00Z</dcterms:modified>
</cp:coreProperties>
</file>