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67E9F" w:rsidRPr="00DB1CBC" w:rsidTr="00A90AB1">
        <w:trPr>
          <w:jc w:val="center"/>
        </w:trPr>
        <w:tc>
          <w:tcPr>
            <w:tcW w:w="2840" w:type="dxa"/>
            <w:tcBorders>
              <w:top w:val="nil"/>
              <w:left w:val="nil"/>
              <w:bottom w:val="nil"/>
              <w:right w:val="nil"/>
            </w:tcBorders>
            <w:vAlign w:val="center"/>
          </w:tcPr>
          <w:p w:rsidR="00D67E9F" w:rsidRDefault="00D67E9F" w:rsidP="00A90AB1">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67E9F" w:rsidRDefault="00D67E9F" w:rsidP="00A90AB1">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67E9F" w:rsidRDefault="00D67E9F" w:rsidP="00A90AB1">
            <w:pPr>
              <w:jc w:val="center"/>
            </w:pPr>
            <w:r>
              <w:rPr>
                <w:noProof/>
              </w:rPr>
              <w:drawing>
                <wp:inline distT="0" distB="0" distL="0" distR="0" wp14:anchorId="217771DE" wp14:editId="7E58284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67E9F" w:rsidRDefault="00D67E9F" w:rsidP="00A90AB1">
            <w:pPr>
              <w:spacing w:line="480" w:lineRule="auto"/>
              <w:jc w:val="right"/>
              <w:rPr>
                <w:rFonts w:cs="David"/>
                <w:sz w:val="24"/>
                <w:szCs w:val="24"/>
              </w:rPr>
            </w:pPr>
            <w:r>
              <w:rPr>
                <w:rFonts w:cs="David" w:hint="eastAsia"/>
                <w:sz w:val="24"/>
                <w:szCs w:val="24"/>
                <w:rtl/>
              </w:rPr>
              <w:t>‏</w:t>
            </w:r>
            <w:r>
              <w:rPr>
                <w:rFonts w:cs="David" w:hint="cs"/>
                <w:sz w:val="24"/>
                <w:szCs w:val="24"/>
                <w:rtl/>
              </w:rPr>
              <w:t>ירושלים, ג' באדר ב'</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D67E9F" w:rsidRPr="00DF107C" w:rsidRDefault="00D67E9F" w:rsidP="00A90AB1">
            <w:pPr>
              <w:spacing w:line="480" w:lineRule="auto"/>
              <w:jc w:val="right"/>
              <w:rPr>
                <w:rFonts w:cs="David"/>
                <w:sz w:val="24"/>
                <w:szCs w:val="24"/>
              </w:rPr>
            </w:pPr>
            <w:r>
              <w:rPr>
                <w:rFonts w:cs="David" w:hint="eastAsia"/>
                <w:sz w:val="24"/>
                <w:szCs w:val="24"/>
                <w:rtl/>
              </w:rPr>
              <w:t>‏‏</w:t>
            </w:r>
            <w:r>
              <w:rPr>
                <w:rFonts w:cs="David" w:hint="cs"/>
                <w:sz w:val="24"/>
                <w:szCs w:val="24"/>
                <w:rtl/>
              </w:rPr>
              <w:t>5 במרץ 2014</w:t>
            </w:r>
          </w:p>
        </w:tc>
      </w:tr>
    </w:tbl>
    <w:p w:rsidR="00D67E9F" w:rsidRPr="00D67E9F" w:rsidRDefault="00D67E9F" w:rsidP="00D67E9F">
      <w:pPr>
        <w:spacing w:line="360" w:lineRule="auto"/>
        <w:ind w:left="-625" w:right="-284"/>
        <w:contextualSpacing/>
        <w:rPr>
          <w:rFonts w:ascii="Times New Roman" w:hAnsi="Times New Roman" w:cs="David" w:hint="cs"/>
          <w:sz w:val="24"/>
          <w:szCs w:val="24"/>
          <w:rtl/>
        </w:rPr>
      </w:pPr>
      <w:r w:rsidRPr="00D67E9F">
        <w:rPr>
          <w:rFonts w:ascii="Times New Roman" w:hAnsi="Times New Roman" w:cs="David" w:hint="cs"/>
          <w:sz w:val="24"/>
          <w:szCs w:val="24"/>
          <w:rtl/>
        </w:rPr>
        <w:t>קטע מתוך הדוח השנתי של בנק ישראל שיתפרסם בקרוב:</w:t>
      </w:r>
    </w:p>
    <w:p w:rsidR="007C102D" w:rsidRPr="00D67E9F" w:rsidRDefault="007C102D" w:rsidP="00D67E9F">
      <w:pPr>
        <w:spacing w:line="360" w:lineRule="auto"/>
        <w:ind w:left="-625" w:right="-426"/>
        <w:contextualSpacing/>
        <w:jc w:val="center"/>
        <w:rPr>
          <w:rFonts w:ascii="Times New Roman" w:hAnsi="Times New Roman" w:cs="David"/>
          <w:b/>
          <w:bCs/>
          <w:sz w:val="26"/>
          <w:szCs w:val="26"/>
          <w:u w:val="single"/>
          <w:rtl/>
        </w:rPr>
      </w:pPr>
      <w:r w:rsidRPr="00D67E9F">
        <w:rPr>
          <w:rFonts w:ascii="Times New Roman" w:hAnsi="Times New Roman" w:cs="David" w:hint="cs"/>
          <w:b/>
          <w:bCs/>
          <w:sz w:val="26"/>
          <w:szCs w:val="26"/>
          <w:u w:val="single"/>
          <w:rtl/>
        </w:rPr>
        <w:t xml:space="preserve">האם התעסוקה בענפי היצוא תנודתית </w:t>
      </w:r>
      <w:r w:rsidR="002C06C2" w:rsidRPr="00D67E9F">
        <w:rPr>
          <w:rFonts w:ascii="Times New Roman" w:hAnsi="Times New Roman" w:cs="David" w:hint="cs"/>
          <w:b/>
          <w:bCs/>
          <w:sz w:val="26"/>
          <w:szCs w:val="26"/>
          <w:u w:val="single"/>
          <w:rtl/>
        </w:rPr>
        <w:t xml:space="preserve">יותר </w:t>
      </w:r>
      <w:r w:rsidRPr="00D67E9F">
        <w:rPr>
          <w:rFonts w:ascii="Times New Roman" w:hAnsi="Times New Roman" w:cs="David" w:hint="cs"/>
          <w:b/>
          <w:bCs/>
          <w:sz w:val="26"/>
          <w:szCs w:val="26"/>
          <w:u w:val="single"/>
          <w:rtl/>
        </w:rPr>
        <w:t>מהתעסוקה בענפים שעיקר פעילותם בשוק המקומי?</w:t>
      </w:r>
    </w:p>
    <w:p w:rsidR="00D67E9F" w:rsidRDefault="00D67E9F" w:rsidP="00D67E9F">
      <w:pPr>
        <w:spacing w:after="0" w:line="360" w:lineRule="auto"/>
        <w:jc w:val="both"/>
        <w:rPr>
          <w:rFonts w:ascii="Times New Roman" w:hAnsi="Times New Roman" w:cs="David" w:hint="cs"/>
          <w:sz w:val="24"/>
          <w:szCs w:val="24"/>
          <w:rtl/>
        </w:rPr>
      </w:pPr>
    </w:p>
    <w:p w:rsidR="00182754" w:rsidRPr="007C102D" w:rsidRDefault="007C102D" w:rsidP="00B36EF2">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תהליך הגלובליזציה הביא לגידול ניכר בהיקף הסחר הבין-לאומי ולהתמחות של משקים בענפים שונים</w:t>
      </w:r>
      <w:r w:rsidR="00AB5B01">
        <w:rPr>
          <w:rFonts w:ascii="Times New Roman" w:hAnsi="Times New Roman" w:cs="David" w:hint="cs"/>
          <w:sz w:val="24"/>
          <w:szCs w:val="24"/>
          <w:rtl/>
        </w:rPr>
        <w:t xml:space="preserve"> על </w:t>
      </w:r>
      <w:r w:rsidR="00B36EF2">
        <w:rPr>
          <w:rFonts w:ascii="Times New Roman" w:hAnsi="Times New Roman" w:cs="David" w:hint="cs"/>
          <w:sz w:val="24"/>
          <w:szCs w:val="24"/>
          <w:rtl/>
        </w:rPr>
        <w:t xml:space="preserve">יסוד </w:t>
      </w:r>
      <w:r w:rsidR="00AB5B01">
        <w:rPr>
          <w:rFonts w:ascii="Times New Roman" w:hAnsi="Times New Roman" w:cs="David" w:hint="cs"/>
          <w:sz w:val="24"/>
          <w:szCs w:val="24"/>
          <w:rtl/>
        </w:rPr>
        <w:t>יתרונם היחסי</w:t>
      </w:r>
      <w:r w:rsidRPr="007C102D">
        <w:rPr>
          <w:rFonts w:ascii="Times New Roman" w:hAnsi="Times New Roman" w:cs="David" w:hint="cs"/>
          <w:sz w:val="24"/>
          <w:szCs w:val="24"/>
          <w:rtl/>
        </w:rPr>
        <w:t xml:space="preserve">. </w:t>
      </w:r>
      <w:r w:rsidR="00182754">
        <w:rPr>
          <w:rFonts w:ascii="Times New Roman" w:hAnsi="Times New Roman" w:cs="David" w:hint="cs"/>
          <w:sz w:val="24"/>
          <w:szCs w:val="24"/>
          <w:rtl/>
        </w:rPr>
        <w:t xml:space="preserve">כתוצאה מכך </w:t>
      </w:r>
      <w:r w:rsidR="00182754" w:rsidRPr="007C102D">
        <w:rPr>
          <w:rFonts w:ascii="Times New Roman" w:hAnsi="Times New Roman" w:cs="David" w:hint="cs"/>
          <w:sz w:val="24"/>
          <w:szCs w:val="24"/>
          <w:rtl/>
        </w:rPr>
        <w:t xml:space="preserve">מתרחשות תמורות בהרכב הענפי של התעסוקה במשק: הענפים החשופים ליבוא מצטמקים, גורעים משרות ומפטרים עובדים, בשעה שענפי היצוא מתרחבים, יוצרים מקומות עבודה וקולטים עובדים חדשים. </w:t>
      </w:r>
      <w:r w:rsidR="00B36EF2">
        <w:rPr>
          <w:rFonts w:ascii="Times New Roman" w:hAnsi="Times New Roman" w:cs="David" w:hint="cs"/>
          <w:sz w:val="24"/>
          <w:szCs w:val="24"/>
          <w:rtl/>
        </w:rPr>
        <w:t xml:space="preserve">כאשר </w:t>
      </w:r>
      <w:r w:rsidR="00182754">
        <w:rPr>
          <w:rFonts w:ascii="Times New Roman" w:hAnsi="Times New Roman" w:cs="David" w:hint="cs"/>
          <w:sz w:val="24"/>
          <w:szCs w:val="24"/>
          <w:rtl/>
        </w:rPr>
        <w:t xml:space="preserve">הענפים המייצאים </w:t>
      </w:r>
      <w:r w:rsidR="00B36EF2">
        <w:rPr>
          <w:rFonts w:ascii="Times New Roman" w:hAnsi="Times New Roman" w:cs="David" w:hint="cs"/>
          <w:sz w:val="24"/>
          <w:szCs w:val="24"/>
          <w:rtl/>
        </w:rPr>
        <w:t xml:space="preserve">מרחיבים את חלקם בתעסוקה, הדבר </w:t>
      </w:r>
      <w:r w:rsidR="00AB5B01">
        <w:rPr>
          <w:rFonts w:ascii="Times New Roman" w:hAnsi="Times New Roman" w:cs="David" w:hint="cs"/>
          <w:sz w:val="24"/>
          <w:szCs w:val="24"/>
          <w:rtl/>
        </w:rPr>
        <w:t>חוש</w:t>
      </w:r>
      <w:r w:rsidR="00B36EF2">
        <w:rPr>
          <w:rFonts w:ascii="Times New Roman" w:hAnsi="Times New Roman" w:cs="David" w:hint="cs"/>
          <w:sz w:val="24"/>
          <w:szCs w:val="24"/>
          <w:rtl/>
        </w:rPr>
        <w:t>ף</w:t>
      </w:r>
      <w:r w:rsidR="00AB5B01">
        <w:rPr>
          <w:rFonts w:ascii="Times New Roman" w:hAnsi="Times New Roman" w:cs="David" w:hint="cs"/>
          <w:sz w:val="24"/>
          <w:szCs w:val="24"/>
          <w:rtl/>
        </w:rPr>
        <w:t xml:space="preserve"> את שוק העבודה לזעזועים חיצוניים ועלול להגדיל את התנודתיות בתעסוק</w:t>
      </w:r>
      <w:r w:rsidR="00B36EF2">
        <w:rPr>
          <w:rFonts w:ascii="Times New Roman" w:hAnsi="Times New Roman" w:cs="David" w:hint="cs"/>
          <w:sz w:val="24"/>
          <w:szCs w:val="24"/>
          <w:rtl/>
        </w:rPr>
        <w:t>ה</w:t>
      </w:r>
      <w:r w:rsidR="00CA6B66">
        <w:rPr>
          <w:rFonts w:ascii="Times New Roman" w:hAnsi="Times New Roman" w:cs="David" w:hint="cs"/>
          <w:sz w:val="24"/>
          <w:szCs w:val="24"/>
          <w:rtl/>
        </w:rPr>
        <w:t xml:space="preserve"> </w:t>
      </w:r>
      <w:r w:rsidR="00B36EF2">
        <w:rPr>
          <w:rFonts w:ascii="Times New Roman" w:hAnsi="Times New Roman" w:cs="David" w:hint="cs"/>
          <w:sz w:val="24"/>
          <w:szCs w:val="24"/>
          <w:rtl/>
        </w:rPr>
        <w:t>ב</w:t>
      </w:r>
      <w:r w:rsidR="00CA6B66">
        <w:rPr>
          <w:rFonts w:ascii="Times New Roman" w:hAnsi="Times New Roman" w:cs="David" w:hint="cs"/>
          <w:sz w:val="24"/>
          <w:szCs w:val="24"/>
          <w:rtl/>
        </w:rPr>
        <w:t>משק</w:t>
      </w:r>
      <w:r w:rsidR="00AB5B01">
        <w:rPr>
          <w:rFonts w:ascii="Times New Roman" w:hAnsi="Times New Roman" w:cs="David" w:hint="cs"/>
          <w:sz w:val="24"/>
          <w:szCs w:val="24"/>
          <w:rtl/>
        </w:rPr>
        <w:t xml:space="preserve"> ולסכן את היציבות התעסוקתית של עובדים רבים.  </w:t>
      </w:r>
      <w:r w:rsidR="00182754">
        <w:rPr>
          <w:rFonts w:ascii="Times New Roman" w:hAnsi="Times New Roman" w:cs="David" w:hint="cs"/>
          <w:sz w:val="24"/>
          <w:szCs w:val="24"/>
          <w:rtl/>
        </w:rPr>
        <w:t xml:space="preserve">  </w:t>
      </w:r>
    </w:p>
    <w:p w:rsidR="007C102D" w:rsidRPr="007C102D" w:rsidRDefault="007C102D" w:rsidP="00B36EF2">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 xml:space="preserve">להבדיל מענפים בלתי סחירים (השירותים המקומיים, המסחר וענף הבנייה), שפעילותם מושפעת בעיקר מגורמים מקומיים, פעילותם של ענפי היצוא מושפעת </w:t>
      </w:r>
      <w:r w:rsidR="00CA6B66">
        <w:rPr>
          <w:rFonts w:ascii="Times New Roman" w:hAnsi="Times New Roman" w:cs="David" w:hint="cs"/>
          <w:sz w:val="24"/>
          <w:szCs w:val="24"/>
          <w:rtl/>
        </w:rPr>
        <w:t>הן</w:t>
      </w:r>
      <w:r w:rsidR="00CA6B66" w:rsidRPr="007C102D">
        <w:rPr>
          <w:rFonts w:ascii="Times New Roman" w:hAnsi="Times New Roman" w:cs="David" w:hint="cs"/>
          <w:sz w:val="24"/>
          <w:szCs w:val="24"/>
          <w:rtl/>
        </w:rPr>
        <w:t xml:space="preserve"> </w:t>
      </w:r>
      <w:r w:rsidRPr="007C102D">
        <w:rPr>
          <w:rFonts w:ascii="Times New Roman" w:hAnsi="Times New Roman" w:cs="David" w:hint="cs"/>
          <w:sz w:val="24"/>
          <w:szCs w:val="24"/>
          <w:rtl/>
        </w:rPr>
        <w:t xml:space="preserve">מגורמים מקומיים </w:t>
      </w:r>
      <w:r w:rsidR="00CA6B66" w:rsidRPr="007C102D">
        <w:rPr>
          <w:rFonts w:ascii="Times New Roman" w:hAnsi="Times New Roman" w:cs="David" w:hint="cs"/>
          <w:sz w:val="24"/>
          <w:szCs w:val="24"/>
          <w:rtl/>
        </w:rPr>
        <w:t>ו</w:t>
      </w:r>
      <w:r w:rsidR="00CA6B66">
        <w:rPr>
          <w:rFonts w:ascii="Times New Roman" w:hAnsi="Times New Roman" w:cs="David" w:hint="cs"/>
          <w:sz w:val="24"/>
          <w:szCs w:val="24"/>
          <w:rtl/>
        </w:rPr>
        <w:t>הן</w:t>
      </w:r>
      <w:r w:rsidR="00CA6B66" w:rsidRPr="007C102D">
        <w:rPr>
          <w:rFonts w:ascii="Times New Roman" w:hAnsi="Times New Roman" w:cs="David" w:hint="cs"/>
          <w:sz w:val="24"/>
          <w:szCs w:val="24"/>
          <w:rtl/>
        </w:rPr>
        <w:t xml:space="preserve"> </w:t>
      </w:r>
      <w:r w:rsidRPr="007C102D">
        <w:rPr>
          <w:rFonts w:ascii="Times New Roman" w:hAnsi="Times New Roman" w:cs="David" w:hint="cs"/>
          <w:sz w:val="24"/>
          <w:szCs w:val="24"/>
          <w:rtl/>
        </w:rPr>
        <w:t>מגורמים חיצוניים</w:t>
      </w:r>
      <w:r w:rsidR="00B36EF2">
        <w:rPr>
          <w:rFonts w:ascii="Times New Roman" w:hAnsi="Times New Roman" w:cs="David" w:hint="cs"/>
          <w:sz w:val="24"/>
          <w:szCs w:val="24"/>
          <w:rtl/>
        </w:rPr>
        <w:t>,</w:t>
      </w:r>
      <w:r w:rsidRPr="007C102D">
        <w:rPr>
          <w:rFonts w:ascii="Times New Roman" w:hAnsi="Times New Roman" w:cs="David" w:hint="cs"/>
          <w:sz w:val="24"/>
          <w:szCs w:val="24"/>
          <w:rtl/>
        </w:rPr>
        <w:t xml:space="preserve"> לעיתים בלתי צפויים: ביקושים מחו"ל, שינויים בתנאי הסחר</w:t>
      </w:r>
      <w:r w:rsidRPr="007C102D">
        <w:rPr>
          <w:rFonts w:ascii="Times New Roman" w:hAnsi="Times New Roman" w:cs="David"/>
          <w:sz w:val="24"/>
          <w:szCs w:val="24"/>
          <w:vertAlign w:val="superscript"/>
          <w:rtl/>
        </w:rPr>
        <w:footnoteReference w:id="1"/>
      </w:r>
      <w:r w:rsidRPr="007C102D">
        <w:rPr>
          <w:rFonts w:ascii="Times New Roman" w:hAnsi="Times New Roman" w:cs="David" w:hint="cs"/>
          <w:sz w:val="24"/>
          <w:szCs w:val="24"/>
          <w:rtl/>
        </w:rPr>
        <w:t xml:space="preserve"> ושינויים בשערי החליפין. ריבוי הגורמים המשפיעים על ענפי היצוא מגביר את תנודתיות הייצור בהם. לעומת זאת, בענפים המייצרים מוצרי צריכה בסיסיים שמרביתם מיועדת לשוק המקומי, תנודתיות התפוקה פחותה, בשל החלקת התצרוכת של משקי הבית שממתנת את הפגיעה בעת מיתון. ניתן ללמוד על כך מלוח ה'-1, המציג מדד לתנודתיות הייצור במבחר של ענפי תעשייה</w:t>
      </w:r>
      <w:r w:rsidRPr="007C102D">
        <w:rPr>
          <w:rFonts w:ascii="Times New Roman" w:hAnsi="Times New Roman" w:cs="David"/>
          <w:sz w:val="24"/>
          <w:szCs w:val="24"/>
          <w:vertAlign w:val="superscript"/>
          <w:rtl/>
        </w:rPr>
        <w:footnoteReference w:id="2"/>
      </w:r>
      <w:r w:rsidRPr="007C102D">
        <w:rPr>
          <w:rFonts w:ascii="Times New Roman" w:hAnsi="Times New Roman" w:cs="David" w:hint="cs"/>
          <w:sz w:val="24"/>
          <w:szCs w:val="24"/>
          <w:rtl/>
        </w:rPr>
        <w:t xml:space="preserve">. </w:t>
      </w:r>
    </w:p>
    <w:tbl>
      <w:tblPr>
        <w:bidiVisual/>
        <w:tblW w:w="6760" w:type="dxa"/>
        <w:jc w:val="center"/>
        <w:tblInd w:w="93" w:type="dxa"/>
        <w:tblLook w:val="04A0" w:firstRow="1" w:lastRow="0" w:firstColumn="1" w:lastColumn="0" w:noHBand="0" w:noVBand="1"/>
      </w:tblPr>
      <w:tblGrid>
        <w:gridCol w:w="5314"/>
        <w:gridCol w:w="1446"/>
      </w:tblGrid>
      <w:tr w:rsidR="007C102D" w:rsidRPr="007C102D" w:rsidTr="00D67E9F">
        <w:trPr>
          <w:trHeight w:val="315"/>
          <w:jc w:val="center"/>
        </w:trPr>
        <w:tc>
          <w:tcPr>
            <w:tcW w:w="6760" w:type="dxa"/>
            <w:gridSpan w:val="2"/>
            <w:tcBorders>
              <w:top w:val="nil"/>
              <w:left w:val="nil"/>
              <w:bottom w:val="nil"/>
              <w:right w:val="nil"/>
            </w:tcBorders>
            <w:shd w:val="clear" w:color="auto" w:fill="auto"/>
            <w:noWrap/>
            <w:vAlign w:val="bottom"/>
            <w:hideMark/>
          </w:tcPr>
          <w:p w:rsidR="007C102D" w:rsidRPr="007C102D" w:rsidRDefault="007C102D" w:rsidP="007C102D">
            <w:pPr>
              <w:spacing w:after="0" w:line="240" w:lineRule="auto"/>
              <w:jc w:val="center"/>
              <w:rPr>
                <w:rFonts w:ascii="Arial" w:eastAsia="Times New Roman" w:hAnsi="Arial" w:cs="David"/>
                <w:b/>
                <w:bCs/>
                <w:color w:val="000000"/>
                <w:sz w:val="24"/>
                <w:szCs w:val="24"/>
              </w:rPr>
            </w:pPr>
            <w:r w:rsidRPr="007C102D">
              <w:rPr>
                <w:rFonts w:ascii="Arial" w:eastAsia="Times New Roman" w:hAnsi="Arial" w:cs="David" w:hint="cs"/>
                <w:b/>
                <w:bCs/>
                <w:color w:val="000000"/>
                <w:sz w:val="24"/>
                <w:szCs w:val="24"/>
                <w:rtl/>
              </w:rPr>
              <w:t>לוח ה'-1</w:t>
            </w:r>
          </w:p>
        </w:tc>
      </w:tr>
      <w:tr w:rsidR="007C102D" w:rsidRPr="007C102D" w:rsidTr="00D67E9F">
        <w:trPr>
          <w:trHeight w:val="390"/>
          <w:jc w:val="center"/>
        </w:trPr>
        <w:tc>
          <w:tcPr>
            <w:tcW w:w="6760" w:type="dxa"/>
            <w:gridSpan w:val="2"/>
            <w:tcBorders>
              <w:top w:val="nil"/>
              <w:left w:val="nil"/>
              <w:bottom w:val="nil"/>
              <w:right w:val="nil"/>
            </w:tcBorders>
            <w:shd w:val="clear" w:color="auto" w:fill="auto"/>
            <w:noWrap/>
            <w:vAlign w:val="bottom"/>
            <w:hideMark/>
          </w:tcPr>
          <w:p w:rsidR="007C102D" w:rsidRPr="007C102D" w:rsidRDefault="007C102D" w:rsidP="007C102D">
            <w:pPr>
              <w:spacing w:after="0" w:line="240" w:lineRule="auto"/>
              <w:jc w:val="center"/>
              <w:rPr>
                <w:rFonts w:ascii="Arial" w:eastAsia="Times New Roman" w:hAnsi="Arial" w:cs="David"/>
                <w:b/>
                <w:bCs/>
                <w:color w:val="000000"/>
                <w:sz w:val="24"/>
                <w:szCs w:val="24"/>
              </w:rPr>
            </w:pPr>
            <w:r w:rsidRPr="007C102D">
              <w:rPr>
                <w:rFonts w:ascii="Arial" w:eastAsia="Times New Roman" w:hAnsi="Arial" w:cs="David" w:hint="cs"/>
                <w:b/>
                <w:bCs/>
                <w:color w:val="000000"/>
                <w:sz w:val="24"/>
                <w:szCs w:val="24"/>
                <w:rtl/>
              </w:rPr>
              <w:t>מדד לתנודתיות הייצור</w:t>
            </w:r>
            <w:r w:rsidRPr="007C102D">
              <w:rPr>
                <w:rFonts w:ascii="Arial" w:eastAsia="Times New Roman" w:hAnsi="Arial" w:cs="David" w:hint="cs"/>
                <w:b/>
                <w:bCs/>
                <w:color w:val="000000"/>
                <w:sz w:val="24"/>
                <w:szCs w:val="24"/>
                <w:vertAlign w:val="superscript"/>
                <w:rtl/>
              </w:rPr>
              <w:t>1</w:t>
            </w:r>
            <w:r w:rsidRPr="007C102D">
              <w:rPr>
                <w:rFonts w:ascii="Arial" w:eastAsia="Times New Roman" w:hAnsi="Arial" w:cs="David" w:hint="cs"/>
                <w:b/>
                <w:bCs/>
                <w:color w:val="000000"/>
                <w:sz w:val="24"/>
                <w:szCs w:val="24"/>
                <w:rtl/>
              </w:rPr>
              <w:t xml:space="preserve"> בענפי תעשייה נבחרים, 1996 עד 2012</w:t>
            </w:r>
          </w:p>
        </w:tc>
      </w:tr>
      <w:tr w:rsidR="007C102D" w:rsidRPr="007C102D" w:rsidTr="00D67E9F">
        <w:trPr>
          <w:trHeight w:val="315"/>
          <w:jc w:val="center"/>
        </w:trPr>
        <w:tc>
          <w:tcPr>
            <w:tcW w:w="5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ענף כלכלי (לפי הסיווג הענפי 1993)</w:t>
            </w:r>
          </w:p>
        </w:tc>
        <w:tc>
          <w:tcPr>
            <w:tcW w:w="1446" w:type="dxa"/>
            <w:tcBorders>
              <w:top w:val="single" w:sz="8" w:space="0" w:color="auto"/>
              <w:left w:val="nil"/>
              <w:bottom w:val="single" w:sz="8" w:space="0" w:color="auto"/>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מדד התנודתיות</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u w:val="single"/>
              </w:rPr>
            </w:pPr>
            <w:r w:rsidRPr="007C102D">
              <w:rPr>
                <w:rFonts w:ascii="Arial" w:eastAsia="Times New Roman" w:hAnsi="Arial" w:cs="David" w:hint="cs"/>
                <w:color w:val="000000"/>
                <w:u w:val="single"/>
                <w:rtl/>
              </w:rPr>
              <w:t>ענפי יצוא:</w:t>
            </w:r>
          </w:p>
        </w:tc>
        <w:tc>
          <w:tcPr>
            <w:tcW w:w="1446" w:type="dxa"/>
            <w:tcBorders>
              <w:top w:val="nil"/>
              <w:left w:val="nil"/>
              <w:bottom w:val="nil"/>
              <w:right w:val="single" w:sz="8" w:space="0" w:color="auto"/>
            </w:tcBorders>
            <w:shd w:val="clear" w:color="auto" w:fill="auto"/>
            <w:noWrap/>
            <w:vAlign w:val="bottom"/>
            <w:hideMark/>
          </w:tcPr>
          <w:p w:rsidR="007C102D" w:rsidRPr="007C102D" w:rsidRDefault="007C102D" w:rsidP="007C102D">
            <w:pPr>
              <w:bidi w:val="0"/>
              <w:spacing w:after="0" w:line="240" w:lineRule="auto"/>
              <w:jc w:val="right"/>
              <w:rPr>
                <w:rFonts w:ascii="Arial" w:eastAsia="Times New Roman" w:hAnsi="Arial" w:cs="David"/>
                <w:color w:val="000000"/>
              </w:rPr>
            </w:pPr>
            <w:r w:rsidRPr="007C102D">
              <w:rPr>
                <w:rFonts w:ascii="Arial" w:eastAsia="Times New Roman" w:hAnsi="Arial" w:cs="David" w:hint="cs"/>
                <w:color w:val="000000"/>
              </w:rPr>
              <w:t> </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תעשיית הכימיקלים התעשייתיים והדשנים (ענפים 241-240)</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0.747</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תעשיית התרופות (ענף 245)</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0.912</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תעשיות האלקטרוניקה והמנועים החשמליים (ענפים 34-31)</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0.333</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bidi w:val="0"/>
              <w:spacing w:after="0" w:line="240" w:lineRule="auto"/>
              <w:rPr>
                <w:rFonts w:ascii="Arial" w:eastAsia="Times New Roman" w:hAnsi="Arial" w:cs="David"/>
                <w:color w:val="000000"/>
              </w:rPr>
            </w:pPr>
            <w:r w:rsidRPr="007C102D">
              <w:rPr>
                <w:rFonts w:ascii="Arial" w:eastAsia="Times New Roman" w:hAnsi="Arial" w:cs="David" w:hint="cs"/>
                <w:color w:val="000000"/>
              </w:rPr>
              <w:t> </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 </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u w:val="single"/>
              </w:rPr>
            </w:pPr>
            <w:r w:rsidRPr="007C102D">
              <w:rPr>
                <w:rFonts w:ascii="Arial" w:eastAsia="Times New Roman" w:hAnsi="Arial" w:cs="David" w:hint="cs"/>
                <w:color w:val="000000"/>
                <w:u w:val="single"/>
                <w:rtl/>
              </w:rPr>
              <w:t>ענפים שעיקר תפוקתם נועד לשוק המקומי:</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 </w:t>
            </w:r>
          </w:p>
        </w:tc>
      </w:tr>
      <w:tr w:rsidR="007C102D" w:rsidRPr="007C102D" w:rsidTr="00D67E9F">
        <w:trPr>
          <w:trHeight w:val="300"/>
          <w:jc w:val="center"/>
        </w:trPr>
        <w:tc>
          <w:tcPr>
            <w:tcW w:w="5314" w:type="dxa"/>
            <w:tcBorders>
              <w:top w:val="nil"/>
              <w:left w:val="single" w:sz="8" w:space="0" w:color="auto"/>
              <w:bottom w:val="nil"/>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תעשיית מוצרי המזון, המשקאות והטבק (ענפים 16-14)</w:t>
            </w:r>
          </w:p>
        </w:tc>
        <w:tc>
          <w:tcPr>
            <w:tcW w:w="1446" w:type="dxa"/>
            <w:tcBorders>
              <w:top w:val="nil"/>
              <w:left w:val="nil"/>
              <w:bottom w:val="nil"/>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0.029</w:t>
            </w:r>
          </w:p>
        </w:tc>
      </w:tr>
      <w:tr w:rsidR="007C102D" w:rsidRPr="007C102D" w:rsidTr="00D67E9F">
        <w:trPr>
          <w:trHeight w:val="315"/>
          <w:jc w:val="center"/>
        </w:trPr>
        <w:tc>
          <w:tcPr>
            <w:tcW w:w="5314" w:type="dxa"/>
            <w:tcBorders>
              <w:top w:val="nil"/>
              <w:left w:val="single" w:sz="8" w:space="0" w:color="auto"/>
              <w:bottom w:val="single" w:sz="8" w:space="0" w:color="auto"/>
              <w:right w:val="single" w:sz="8" w:space="0" w:color="auto"/>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rPr>
            </w:pPr>
            <w:r w:rsidRPr="007C102D">
              <w:rPr>
                <w:rFonts w:ascii="Arial" w:eastAsia="Times New Roman" w:hAnsi="Arial" w:cs="David" w:hint="cs"/>
                <w:color w:val="000000"/>
                <w:rtl/>
              </w:rPr>
              <w:t>תעשיית הטקסטיל, ההלבשה ומוצרי העור (ענפים 19-17)</w:t>
            </w:r>
          </w:p>
        </w:tc>
        <w:tc>
          <w:tcPr>
            <w:tcW w:w="1446" w:type="dxa"/>
            <w:tcBorders>
              <w:top w:val="nil"/>
              <w:left w:val="nil"/>
              <w:bottom w:val="single" w:sz="8" w:space="0" w:color="auto"/>
              <w:right w:val="single" w:sz="8" w:space="0" w:color="auto"/>
            </w:tcBorders>
            <w:shd w:val="clear" w:color="auto" w:fill="auto"/>
            <w:noWrap/>
            <w:vAlign w:val="bottom"/>
            <w:hideMark/>
          </w:tcPr>
          <w:p w:rsidR="007C102D" w:rsidRPr="00E87236" w:rsidRDefault="007C102D" w:rsidP="007C102D">
            <w:pPr>
              <w:bidi w:val="0"/>
              <w:spacing w:after="0" w:line="240" w:lineRule="auto"/>
              <w:jc w:val="right"/>
              <w:rPr>
                <w:rFonts w:ascii="Arial" w:eastAsia="Times New Roman" w:hAnsi="Arial" w:cs="David"/>
                <w:color w:val="000000"/>
              </w:rPr>
            </w:pPr>
            <w:r w:rsidRPr="00E87236">
              <w:rPr>
                <w:rFonts w:ascii="Arial" w:eastAsia="Times New Roman" w:hAnsi="Arial" w:cs="David" w:hint="cs"/>
                <w:color w:val="000000"/>
              </w:rPr>
              <w:t>0.094</w:t>
            </w:r>
          </w:p>
        </w:tc>
      </w:tr>
      <w:tr w:rsidR="007C102D" w:rsidRPr="007C102D" w:rsidTr="00D67E9F">
        <w:trPr>
          <w:trHeight w:val="300"/>
          <w:jc w:val="center"/>
        </w:trPr>
        <w:tc>
          <w:tcPr>
            <w:tcW w:w="5314" w:type="dxa"/>
            <w:tcBorders>
              <w:top w:val="nil"/>
              <w:left w:val="nil"/>
              <w:bottom w:val="nil"/>
              <w:right w:val="nil"/>
            </w:tcBorders>
            <w:shd w:val="clear" w:color="auto" w:fill="auto"/>
            <w:noWrap/>
            <w:vAlign w:val="bottom"/>
            <w:hideMark/>
          </w:tcPr>
          <w:p w:rsidR="007C102D" w:rsidRPr="007C102D" w:rsidRDefault="007C102D" w:rsidP="007C102D">
            <w:pPr>
              <w:bidi w:val="0"/>
              <w:spacing w:after="0" w:line="240" w:lineRule="auto"/>
              <w:jc w:val="right"/>
              <w:rPr>
                <w:rFonts w:ascii="Arial" w:eastAsia="Times New Roman" w:hAnsi="Arial" w:cs="David"/>
                <w:color w:val="000000"/>
                <w:sz w:val="20"/>
                <w:szCs w:val="20"/>
              </w:rPr>
            </w:pPr>
            <w:r w:rsidRPr="007C102D">
              <w:rPr>
                <w:rFonts w:ascii="Arial" w:eastAsia="Times New Roman" w:hAnsi="Arial" w:cs="David" w:hint="cs"/>
                <w:color w:val="000000"/>
                <w:sz w:val="20"/>
                <w:szCs w:val="20"/>
              </w:rPr>
              <w:t>.</w:t>
            </w:r>
            <w:r w:rsidRPr="007C102D">
              <w:rPr>
                <w:rFonts w:ascii="Arial" w:eastAsia="Times New Roman" w:hAnsi="Arial" w:cs="David" w:hint="cs"/>
                <w:color w:val="000000"/>
                <w:sz w:val="20"/>
                <w:szCs w:val="20"/>
                <w:vertAlign w:val="superscript"/>
                <w:rtl/>
              </w:rPr>
              <w:t xml:space="preserve"> 1</w:t>
            </w:r>
            <w:r w:rsidRPr="007C102D">
              <w:rPr>
                <w:rFonts w:ascii="Arial" w:eastAsia="Times New Roman" w:hAnsi="Arial" w:cs="David" w:hint="cs"/>
                <w:color w:val="000000"/>
                <w:sz w:val="20"/>
                <w:szCs w:val="20"/>
                <w:rtl/>
              </w:rPr>
              <w:t>סכום ריבועי הסטיות מהמגמה ארוכת הטווח</w:t>
            </w:r>
          </w:p>
        </w:tc>
        <w:tc>
          <w:tcPr>
            <w:tcW w:w="1446" w:type="dxa"/>
            <w:tcBorders>
              <w:top w:val="nil"/>
              <w:left w:val="nil"/>
              <w:bottom w:val="nil"/>
              <w:right w:val="nil"/>
            </w:tcBorders>
            <w:shd w:val="clear" w:color="auto" w:fill="auto"/>
            <w:noWrap/>
            <w:vAlign w:val="bottom"/>
            <w:hideMark/>
          </w:tcPr>
          <w:p w:rsidR="007C102D" w:rsidRPr="007C102D" w:rsidRDefault="007C102D" w:rsidP="007C102D">
            <w:pPr>
              <w:bidi w:val="0"/>
              <w:spacing w:after="0" w:line="240" w:lineRule="auto"/>
              <w:rPr>
                <w:rFonts w:ascii="Arial" w:eastAsia="Times New Roman" w:hAnsi="Arial" w:cs="Arial"/>
                <w:color w:val="000000"/>
              </w:rPr>
            </w:pPr>
          </w:p>
        </w:tc>
      </w:tr>
      <w:tr w:rsidR="007C102D" w:rsidRPr="007C102D" w:rsidTr="00D67E9F">
        <w:trPr>
          <w:trHeight w:val="285"/>
          <w:jc w:val="center"/>
        </w:trPr>
        <w:tc>
          <w:tcPr>
            <w:tcW w:w="5314" w:type="dxa"/>
            <w:tcBorders>
              <w:top w:val="nil"/>
              <w:left w:val="nil"/>
              <w:bottom w:val="nil"/>
              <w:right w:val="nil"/>
            </w:tcBorders>
            <w:shd w:val="clear" w:color="auto" w:fill="auto"/>
            <w:noWrap/>
            <w:vAlign w:val="bottom"/>
            <w:hideMark/>
          </w:tcPr>
          <w:p w:rsidR="007C102D" w:rsidRPr="007C102D" w:rsidRDefault="007C102D" w:rsidP="007C102D">
            <w:pPr>
              <w:spacing w:after="0" w:line="240" w:lineRule="auto"/>
              <w:rPr>
                <w:rFonts w:ascii="Arial" w:eastAsia="Times New Roman" w:hAnsi="Arial" w:cs="David"/>
                <w:color w:val="000000"/>
                <w:sz w:val="20"/>
                <w:szCs w:val="20"/>
              </w:rPr>
            </w:pPr>
            <w:r w:rsidRPr="007C102D">
              <w:rPr>
                <w:rFonts w:ascii="Arial" w:eastAsia="Times New Roman" w:hAnsi="Arial" w:cs="David" w:hint="cs"/>
                <w:color w:val="000000"/>
                <w:sz w:val="20"/>
                <w:szCs w:val="20"/>
                <w:rtl/>
              </w:rPr>
              <w:t>המקור: הלשכה המרכזית לסטטיסטיקה ועיבודי בנק ישראל.</w:t>
            </w:r>
          </w:p>
        </w:tc>
        <w:tc>
          <w:tcPr>
            <w:tcW w:w="1446" w:type="dxa"/>
            <w:tcBorders>
              <w:top w:val="nil"/>
              <w:left w:val="nil"/>
              <w:bottom w:val="nil"/>
              <w:right w:val="nil"/>
            </w:tcBorders>
            <w:shd w:val="clear" w:color="auto" w:fill="auto"/>
            <w:noWrap/>
            <w:vAlign w:val="bottom"/>
            <w:hideMark/>
          </w:tcPr>
          <w:p w:rsidR="007C102D" w:rsidRPr="007C102D" w:rsidRDefault="007C102D" w:rsidP="007C102D">
            <w:pPr>
              <w:bidi w:val="0"/>
              <w:spacing w:after="0" w:line="240" w:lineRule="auto"/>
              <w:rPr>
                <w:rFonts w:ascii="Arial" w:eastAsia="Times New Roman" w:hAnsi="Arial" w:cs="Arial"/>
                <w:color w:val="000000"/>
              </w:rPr>
            </w:pPr>
          </w:p>
        </w:tc>
      </w:tr>
    </w:tbl>
    <w:p w:rsidR="007C102D" w:rsidRPr="007C102D" w:rsidRDefault="007C102D" w:rsidP="007C102D">
      <w:pPr>
        <w:spacing w:line="360" w:lineRule="auto"/>
        <w:jc w:val="both"/>
        <w:rPr>
          <w:rFonts w:ascii="Times New Roman" w:hAnsi="Times New Roman" w:cs="David"/>
          <w:sz w:val="24"/>
          <w:szCs w:val="24"/>
          <w:rtl/>
        </w:rPr>
      </w:pPr>
    </w:p>
    <w:p w:rsidR="007C102D" w:rsidRP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התנודתיות בייצור אמורה</w:t>
      </w:r>
      <w:bookmarkStart w:id="0" w:name="_GoBack"/>
      <w:bookmarkEnd w:id="0"/>
      <w:r w:rsidRPr="007C102D">
        <w:rPr>
          <w:rFonts w:ascii="Times New Roman" w:hAnsi="Times New Roman" w:cs="David" w:hint="cs"/>
          <w:sz w:val="24"/>
          <w:szCs w:val="24"/>
          <w:rtl/>
        </w:rPr>
        <w:t xml:space="preserve"> להיתרגם לתנודתיות בתעסוקה, ולכן נצפה כי השינויים במצבת כוח האדם בענפים המייצאים יהיו תכופים ונרחבים יותר מהשינויים בענפים הבלתי סחירים. גם </w:t>
      </w:r>
      <w:r w:rsidRPr="007C102D">
        <w:rPr>
          <w:rFonts w:ascii="Times New Roman" w:hAnsi="Times New Roman" w:cs="David" w:hint="cs"/>
          <w:sz w:val="24"/>
          <w:szCs w:val="24"/>
          <w:rtl/>
        </w:rPr>
        <w:lastRenderedPageBreak/>
        <w:t xml:space="preserve">התיאוריה שפיתחו </w:t>
      </w:r>
      <w:proofErr w:type="spellStart"/>
      <w:r w:rsidRPr="007C102D">
        <w:rPr>
          <w:rFonts w:ascii="Times New Roman" w:hAnsi="Times New Roman" w:cs="David"/>
          <w:sz w:val="24"/>
          <w:szCs w:val="24"/>
        </w:rPr>
        <w:t>Bhagwati</w:t>
      </w:r>
      <w:proofErr w:type="spellEnd"/>
      <w:r w:rsidRPr="007C102D">
        <w:rPr>
          <w:rFonts w:ascii="Times New Roman" w:hAnsi="Times New Roman" w:cs="David"/>
          <w:sz w:val="24"/>
          <w:szCs w:val="24"/>
        </w:rPr>
        <w:t xml:space="preserve"> and </w:t>
      </w:r>
      <w:proofErr w:type="spellStart"/>
      <w:r w:rsidRPr="007C102D">
        <w:rPr>
          <w:rFonts w:ascii="Times New Roman" w:hAnsi="Times New Roman" w:cs="David"/>
          <w:sz w:val="24"/>
          <w:szCs w:val="24"/>
        </w:rPr>
        <w:t>Dehejia</w:t>
      </w:r>
      <w:proofErr w:type="spellEnd"/>
      <w:r w:rsidRPr="007C102D">
        <w:rPr>
          <w:rFonts w:ascii="Times New Roman" w:hAnsi="Times New Roman" w:cs="David"/>
          <w:sz w:val="24"/>
          <w:szCs w:val="24"/>
        </w:rPr>
        <w:t xml:space="preserve"> (1994)</w:t>
      </w:r>
      <w:r w:rsidRPr="007C102D">
        <w:rPr>
          <w:rFonts w:ascii="Times New Roman" w:hAnsi="Times New Roman" w:cs="David" w:hint="cs"/>
          <w:sz w:val="24"/>
          <w:szCs w:val="24"/>
          <w:rtl/>
        </w:rPr>
        <w:t xml:space="preserve"> ו-</w:t>
      </w:r>
      <w:proofErr w:type="spellStart"/>
      <w:r w:rsidRPr="007C102D">
        <w:rPr>
          <w:rFonts w:ascii="Times New Roman" w:hAnsi="Times New Roman" w:cs="David"/>
          <w:sz w:val="24"/>
          <w:szCs w:val="24"/>
        </w:rPr>
        <w:t>Bhagwati</w:t>
      </w:r>
      <w:proofErr w:type="spellEnd"/>
      <w:r w:rsidRPr="007C102D">
        <w:rPr>
          <w:rFonts w:ascii="Times New Roman" w:hAnsi="Times New Roman" w:cs="David"/>
          <w:sz w:val="24"/>
          <w:szCs w:val="24"/>
        </w:rPr>
        <w:t xml:space="preserve"> (1998)</w:t>
      </w:r>
      <w:r w:rsidRPr="007C102D">
        <w:rPr>
          <w:rFonts w:ascii="Times New Roman" w:hAnsi="Times New Roman" w:cs="David" w:hint="cs"/>
          <w:sz w:val="24"/>
          <w:szCs w:val="24"/>
          <w:rtl/>
        </w:rPr>
        <w:t xml:space="preserve"> צופה זאת. לפי תיאוריה זו, ירידה בעלויות ההובלה, עלייה במהירות התקשורת, והתפתחות מהירה של טכנולוגיה, יצרו כלכלה גלובלית ששולי הרווח בה צרים מאוד. יתר על כן, יצואנים אינם יכולים להסתמך על סיוע ממשלתי, כי מתחריהם בעולם רגישים לכך שמדינות מפעילות הגנה מוסדית על יצרנים בתחומיהן והם דורשים לכבד את עקרונות הסחר ההוגן</w:t>
      </w:r>
      <w:r w:rsidRPr="007C102D">
        <w:rPr>
          <w:rFonts w:ascii="Times New Roman" w:hAnsi="Times New Roman" w:cs="David"/>
          <w:sz w:val="24"/>
          <w:szCs w:val="24"/>
          <w:vertAlign w:val="superscript"/>
          <w:rtl/>
        </w:rPr>
        <w:footnoteReference w:id="3"/>
      </w:r>
      <w:r w:rsidRPr="007C102D">
        <w:rPr>
          <w:rFonts w:ascii="Times New Roman" w:hAnsi="Times New Roman" w:cs="David" w:hint="cs"/>
          <w:sz w:val="24"/>
          <w:szCs w:val="24"/>
          <w:rtl/>
        </w:rPr>
        <w:t>. כתוצאה מכך, משק יכול לאבד או להשיג, כמעט בן רגע, יתרון יחסי בכל מוצר. החוקרים מכנים את התופעה "יתרון יחסי קלידוסקופי" (</w:t>
      </w:r>
      <w:r w:rsidRPr="007C102D">
        <w:rPr>
          <w:rFonts w:ascii="Times New Roman" w:hAnsi="Times New Roman" w:cs="David"/>
          <w:sz w:val="24"/>
          <w:szCs w:val="24"/>
        </w:rPr>
        <w:t>"kaleidoscopic comparative advantage"</w:t>
      </w:r>
      <w:r w:rsidRPr="007C102D">
        <w:rPr>
          <w:rFonts w:ascii="Times New Roman" w:hAnsi="Times New Roman" w:cs="David" w:hint="cs"/>
          <w:sz w:val="24"/>
          <w:szCs w:val="24"/>
          <w:rtl/>
        </w:rPr>
        <w:t xml:space="preserve">) וטוענים שהיא עלולה ליצור תנודתיות מוגברת בתעסוקה. </w:t>
      </w:r>
    </w:p>
    <w:p w:rsidR="007C102D" w:rsidRP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הניתוח שלהלן משווה בין תנודתיות התעסוקה בענפי היצוא העיקריים של המשק הישראלי לבין שאר ענפי התעשייה והשירותים במגזר העסקי. היצוא הישראלי מרוכז ברובו בענפי הטכנולוגיה העילית</w:t>
      </w:r>
      <w:r w:rsidRPr="007C102D">
        <w:rPr>
          <w:rFonts w:ascii="Times New Roman" w:hAnsi="Times New Roman" w:cs="David"/>
          <w:sz w:val="24"/>
          <w:szCs w:val="24"/>
          <w:vertAlign w:val="superscript"/>
          <w:rtl/>
        </w:rPr>
        <w:footnoteReference w:id="4"/>
      </w:r>
      <w:r w:rsidRPr="007C102D">
        <w:rPr>
          <w:rFonts w:ascii="Times New Roman" w:hAnsi="Times New Roman" w:cs="David" w:hint="cs"/>
          <w:sz w:val="24"/>
          <w:szCs w:val="24"/>
          <w:vertAlign w:val="superscript"/>
          <w:rtl/>
        </w:rPr>
        <w:t>,</w:t>
      </w:r>
      <w:r w:rsidRPr="007C102D">
        <w:rPr>
          <w:rFonts w:ascii="Times New Roman" w:hAnsi="Times New Roman" w:cs="David"/>
          <w:sz w:val="24"/>
          <w:szCs w:val="24"/>
          <w:vertAlign w:val="superscript"/>
          <w:rtl/>
        </w:rPr>
        <w:footnoteReference w:id="5"/>
      </w:r>
      <w:r w:rsidRPr="007C102D">
        <w:rPr>
          <w:rFonts w:ascii="Times New Roman" w:hAnsi="Times New Roman" w:cs="David" w:hint="cs"/>
          <w:sz w:val="24"/>
          <w:szCs w:val="24"/>
          <w:rtl/>
        </w:rPr>
        <w:t>: היצוא שלהם מהווה למעלה מ-40% מסך היצוא של סחורות ושירותים, ללא יהלומים. לנוכח זאת, ומאחר שענפי הטכנולוגיה העילית נתקלים בקושי בגיוס עובדים מתאימים ולעיתים נדרשים להשקיע בהכשרתם, עולה חשיבותו של שימור העובדים. לכן נצפה כי חלק מהתאמת התשומות בענפים אלה תתבצע דרך שינויים בשעות העבודה ולא במספר המועסקים. כך היה במשבר של 2008</w:t>
      </w:r>
      <w:r w:rsidRPr="007C102D">
        <w:rPr>
          <w:rFonts w:ascii="Times New Roman" w:hAnsi="Times New Roman" w:cs="David"/>
          <w:sz w:val="24"/>
          <w:szCs w:val="24"/>
          <w:rtl/>
        </w:rPr>
        <w:t>—</w:t>
      </w:r>
      <w:r w:rsidRPr="007C102D">
        <w:rPr>
          <w:rFonts w:ascii="Times New Roman" w:hAnsi="Times New Roman" w:cs="David" w:hint="cs"/>
          <w:sz w:val="24"/>
          <w:szCs w:val="24"/>
          <w:rtl/>
        </w:rPr>
        <w:t xml:space="preserve">2009: חברות רבות עברו לארבעה ימי עבודה בשבוע, תוך פגיעה בשכר העובדים, במטרה להימנע מפיטוריהם. </w:t>
      </w:r>
    </w:p>
    <w:p w:rsidR="007C102D" w:rsidRP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עם זאת, כאשר מנתחים את נתוני התעסוקה בענפי היצוא הבולטים בהשוואה לענפים שעיקר פעילותם בשוק המקומי, מוצאים כי במשך כל השנים הנחקרות הייתה התעסוקה בענפי היצוא תנודתית יותר, במובן זה שהיא התאפיינה בסטיות גדולות יותר מהמגמה ארוכת הטווח. הניתוח מבוסס על חלוקה של ענפי המגזר העסקי לארבע קבוצות: ענפי היצוא הבולטים בתעשייה, ענפי תעשייה שעיקר פעילותם בשוק המקומי, ענפי היצוא הבולטים בשירותים העסקיים, ושירותים עסקיים שעיקר פעילותם בשוק המקומי, כולל מסחר. הניתוח מבוסס על נתונים רבעוניים על מספר המועסקים ועל הממוצע השבועי של שעות העבודה למועסק במשרה מלאה, ונתונים אלה מחושבים מתוך סקרי כוח האדם לשנים 1996</w:t>
      </w:r>
      <w:r w:rsidRPr="007C102D">
        <w:rPr>
          <w:rFonts w:ascii="Times New Roman" w:hAnsi="Times New Roman" w:cs="David"/>
          <w:sz w:val="24"/>
          <w:szCs w:val="24"/>
          <w:rtl/>
        </w:rPr>
        <w:t>—</w:t>
      </w:r>
      <w:r w:rsidRPr="007C102D">
        <w:rPr>
          <w:rFonts w:ascii="Times New Roman" w:hAnsi="Times New Roman" w:cs="David" w:hint="cs"/>
          <w:sz w:val="24"/>
          <w:szCs w:val="24"/>
          <w:rtl/>
        </w:rPr>
        <w:t>2011</w:t>
      </w:r>
      <w:r w:rsidRPr="007C102D">
        <w:rPr>
          <w:rFonts w:ascii="Times New Roman" w:hAnsi="Times New Roman" w:cs="David"/>
          <w:sz w:val="24"/>
          <w:szCs w:val="24"/>
          <w:vertAlign w:val="superscript"/>
          <w:rtl/>
        </w:rPr>
        <w:footnoteReference w:id="6"/>
      </w:r>
      <w:r w:rsidRPr="007C102D">
        <w:rPr>
          <w:rFonts w:ascii="Times New Roman" w:hAnsi="Times New Roman" w:cs="David" w:hint="cs"/>
          <w:sz w:val="24"/>
          <w:szCs w:val="24"/>
          <w:rtl/>
        </w:rPr>
        <w:t xml:space="preserve">. </w:t>
      </w:r>
    </w:p>
    <w:p w:rsid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 xml:space="preserve">הניתוח מלמד כי בהשוואה לענפים שעיקר פעילותם בשוק המקומי, ענפי היצוא הבולטים התאפיינו במשך כל התקופה הנידונה בתנודתיות גבוהה יותר בתשומות העבודה, בהתאם לתנודתיות הגבוהה הקיימת בייצור (ראו לוח ה'-1). בתעשייה הפער בתנודתיות נובע בעיקר מתנודתיות במספר המועסקים; בשירותים לעומת זאת הן מספר המועסקים והן ממוצע שעות העבודה למועסק במשרה מלאה תנודתיים הרבה יותר מהנתונים המקבילים בענפים שעיקר פעילותם בשוק המקומי (איור ה'-1). נראה כי הענפים המייצאים ניחנים בכושר הסתגלות </w:t>
      </w:r>
      <w:r w:rsidRPr="007C102D">
        <w:rPr>
          <w:rFonts w:ascii="Times New Roman" w:hAnsi="Times New Roman" w:cs="David" w:hint="cs"/>
          <w:sz w:val="24"/>
          <w:szCs w:val="24"/>
          <w:rtl/>
        </w:rPr>
        <w:lastRenderedPageBreak/>
        <w:t xml:space="preserve">לשינויים בסביבה הכלכלית וביכולת להגיב אליהם במהירות, וזאת בזכות גמישות התעסוקה בהם. יש לציין כי חלק מהחברות הגדולות בענפי היצוא הבולטים </w:t>
      </w:r>
      <w:r w:rsidRPr="007C102D">
        <w:rPr>
          <w:rFonts w:ascii="Times New Roman" w:hAnsi="Times New Roman" w:cs="David"/>
          <w:sz w:val="24"/>
          <w:szCs w:val="24"/>
          <w:rtl/>
        </w:rPr>
        <w:t>–</w:t>
      </w:r>
      <w:r w:rsidRPr="007C102D">
        <w:rPr>
          <w:rFonts w:ascii="Times New Roman" w:hAnsi="Times New Roman" w:cs="David" w:hint="cs"/>
          <w:sz w:val="24"/>
          <w:szCs w:val="24"/>
          <w:rtl/>
        </w:rPr>
        <w:t xml:space="preserve"> כמו למשל "טבע", "אינטל", "מוטורולה", "צ'קפוינט", "אמדוקס" וכו' </w:t>
      </w:r>
      <w:r w:rsidRPr="007C102D">
        <w:rPr>
          <w:rFonts w:ascii="Times New Roman" w:hAnsi="Times New Roman" w:cs="David"/>
          <w:sz w:val="24"/>
          <w:szCs w:val="24"/>
          <w:rtl/>
        </w:rPr>
        <w:t>–</w:t>
      </w:r>
      <w:r w:rsidRPr="007C102D">
        <w:rPr>
          <w:rFonts w:ascii="Times New Roman" w:hAnsi="Times New Roman" w:cs="David" w:hint="cs"/>
          <w:sz w:val="24"/>
          <w:szCs w:val="24"/>
          <w:rtl/>
        </w:rPr>
        <w:t xml:space="preserve"> הן חברות רב-לאומיות. מחקר שהשתמש בנתוני המיקרו של חברות ב-11 מדינות אירופיות הסיק, כי חברות רב-לאומיות נוטות להתאים את התעסוקה מהר יותר מחברות מקומיות (</w:t>
      </w:r>
      <w:r w:rsidRPr="007C102D">
        <w:rPr>
          <w:rFonts w:ascii="Times New Roman" w:hAnsi="Times New Roman" w:cs="David"/>
          <w:sz w:val="24"/>
          <w:szCs w:val="24"/>
        </w:rPr>
        <w:t xml:space="preserve">Barba </w:t>
      </w:r>
      <w:proofErr w:type="spellStart"/>
      <w:r w:rsidRPr="007C102D">
        <w:rPr>
          <w:rFonts w:ascii="Times New Roman" w:hAnsi="Times New Roman" w:cs="David"/>
          <w:sz w:val="24"/>
          <w:szCs w:val="24"/>
        </w:rPr>
        <w:t>Navaretti</w:t>
      </w:r>
      <w:proofErr w:type="spellEnd"/>
      <w:r w:rsidRPr="007C102D">
        <w:rPr>
          <w:rFonts w:ascii="Times New Roman" w:hAnsi="Times New Roman" w:cs="David"/>
          <w:sz w:val="24"/>
          <w:szCs w:val="24"/>
        </w:rPr>
        <w:t xml:space="preserve"> et al., </w:t>
      </w:r>
      <w:proofErr w:type="gramStart"/>
      <w:r w:rsidRPr="007C102D">
        <w:rPr>
          <w:rFonts w:ascii="Times New Roman" w:hAnsi="Times New Roman" w:cs="David"/>
          <w:sz w:val="24"/>
          <w:szCs w:val="24"/>
        </w:rPr>
        <w:t>2003</w:t>
      </w:r>
      <w:r w:rsidRPr="007C102D">
        <w:rPr>
          <w:rFonts w:ascii="Times New Roman" w:hAnsi="Times New Roman" w:cs="David" w:hint="cs"/>
          <w:sz w:val="24"/>
          <w:szCs w:val="24"/>
          <w:rtl/>
        </w:rPr>
        <w:t>). בשירותים שעיקר פעילותם בשוק המקומי קיימת תנודתיות מזערית במספר המועסקים, והדבר עולה בקנה אחד עם ההשערה שהביקוש לשירותים בלתי סחירים יציב יותר ומחזורי פחות מהביקוש למוצרי תעשייה.</w:t>
      </w:r>
      <w:proofErr w:type="gramEnd"/>
    </w:p>
    <w:p w:rsidR="009E5DB2" w:rsidRPr="007C102D" w:rsidRDefault="00D67E9F" w:rsidP="007C102D">
      <w:pPr>
        <w:spacing w:line="360" w:lineRule="auto"/>
        <w:jc w:val="both"/>
        <w:rPr>
          <w:rFonts w:ascii="Times New Roman" w:hAnsi="Times New Roman" w:cs="David"/>
          <w:sz w:val="24"/>
          <w:szCs w:val="24"/>
          <w:rtl/>
        </w:rPr>
      </w:pPr>
      <w:r>
        <w:rPr>
          <w:rFonts w:ascii="Times New Roman" w:hAnsi="Times New Roman" w:cs="David"/>
          <w:noProof/>
          <w:sz w:val="24"/>
          <w:szCs w:val="24"/>
          <w:rtl/>
        </w:rPr>
        <w:drawing>
          <wp:inline distT="0" distB="0" distL="0" distR="0">
            <wp:extent cx="5274310" cy="495871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2014-2.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4958715"/>
                    </a:xfrm>
                    <a:prstGeom prst="rect">
                      <a:avLst/>
                    </a:prstGeom>
                  </pic:spPr>
                </pic:pic>
              </a:graphicData>
            </a:graphic>
          </wp:inline>
        </w:drawing>
      </w:r>
    </w:p>
    <w:p w:rsidR="007C102D" w:rsidRP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למרות תנודתיותה של התעסוקה בענפי היצוא, מצבם התעסוקתי של המועסקים בענפים הללו</w:t>
      </w:r>
      <w:r w:rsidRPr="007C102D">
        <w:rPr>
          <w:rFonts w:ascii="Times New Roman" w:hAnsi="Times New Roman" w:cs="David"/>
          <w:sz w:val="24"/>
          <w:szCs w:val="24"/>
          <w:vertAlign w:val="superscript"/>
          <w:rtl/>
        </w:rPr>
        <w:footnoteReference w:id="7"/>
      </w:r>
      <w:r w:rsidRPr="007C102D">
        <w:rPr>
          <w:rFonts w:ascii="Times New Roman" w:hAnsi="Times New Roman" w:cs="David" w:hint="cs"/>
          <w:sz w:val="24"/>
          <w:szCs w:val="24"/>
          <w:rtl/>
        </w:rPr>
        <w:t xml:space="preserve"> יציב יותר בהשוואה לזה של שאר המועסקים במגזר העסקי</w:t>
      </w:r>
      <w:r w:rsidRPr="007C102D">
        <w:rPr>
          <w:rFonts w:ascii="Times New Roman" w:hAnsi="Times New Roman" w:cs="David"/>
          <w:sz w:val="24"/>
          <w:szCs w:val="24"/>
          <w:vertAlign w:val="superscript"/>
          <w:rtl/>
        </w:rPr>
        <w:footnoteReference w:id="8"/>
      </w:r>
      <w:r w:rsidRPr="007C102D">
        <w:rPr>
          <w:rFonts w:ascii="Times New Roman" w:hAnsi="Times New Roman" w:cs="David" w:hint="cs"/>
          <w:sz w:val="24"/>
          <w:szCs w:val="24"/>
          <w:rtl/>
        </w:rPr>
        <w:t>. ראשית, ההסתברות להישאר מועסקים ברבעון העוקב גבוהה בענפי היצוא יותר מאשר בענפים שעיקר פעילותם בשוק המקומי (איור ה'-2א'). שנית, ההסתברות להיפלט מתעסוקה לאבטלה בין שני רבעונים עוקבים נמוכה בענפי היצוא יותר מאשר בשאר הענפים, למעט המשבר של 2008</w:t>
      </w:r>
      <w:r w:rsidRPr="007C102D">
        <w:rPr>
          <w:rFonts w:ascii="Times New Roman" w:hAnsi="Times New Roman" w:cs="David"/>
          <w:sz w:val="24"/>
          <w:szCs w:val="24"/>
          <w:rtl/>
        </w:rPr>
        <w:t>—</w:t>
      </w:r>
      <w:r w:rsidRPr="007C102D">
        <w:rPr>
          <w:rFonts w:ascii="Times New Roman" w:hAnsi="Times New Roman" w:cs="David" w:hint="cs"/>
          <w:sz w:val="24"/>
          <w:szCs w:val="24"/>
          <w:rtl/>
        </w:rPr>
        <w:t xml:space="preserve">2009, שעיקר פגיעתו היה </w:t>
      </w:r>
      <w:r w:rsidRPr="007C102D">
        <w:rPr>
          <w:rFonts w:ascii="Times New Roman" w:hAnsi="Times New Roman" w:cs="David" w:hint="cs"/>
          <w:sz w:val="24"/>
          <w:szCs w:val="24"/>
          <w:rtl/>
        </w:rPr>
        <w:lastRenderedPageBreak/>
        <w:t xml:space="preserve">דווקא ביצוא (איור ה'-2ב'). ממצאים אלה אינם מעידים בהכרח שעובדים נשארו באותו מקום עבודה, שכן סקר כוח אדם נערך בתדירות נמוכה (רבעונית) ואינו לוכד את המקרים שבהם עובדים מאבדים ומוצאים מקום עבודה תוך אותו רבעון. </w:t>
      </w:r>
    </w:p>
    <w:p w:rsid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נראה כי הדינמיות של הענפים המתקדמים, ועמה ההתרחבות המהירה יחסית של התעסוקה בהם, מאפשרות לאלה שאיבדו את מקום עבודתם לשוב למעגל התעסוקה תוך זמן קצר יחסית. נוסף על כך, תכונות אישיוֹת מסוימות של המועסקים בענפי היצוא, ובפרט רמת ההשכלה הגבוהה שלהם, מסייעות לפרטים אלה לחפש ולמצוא עבודה במהירות וכך לשמור על רצף התעסוקה</w:t>
      </w:r>
      <w:r w:rsidRPr="007C102D">
        <w:rPr>
          <w:rFonts w:ascii="Times New Roman" w:hAnsi="Times New Roman" w:cs="David"/>
          <w:sz w:val="24"/>
          <w:szCs w:val="24"/>
          <w:vertAlign w:val="superscript"/>
          <w:rtl/>
        </w:rPr>
        <w:footnoteReference w:id="9"/>
      </w:r>
      <w:r w:rsidRPr="007C102D">
        <w:rPr>
          <w:rFonts w:ascii="Times New Roman" w:hAnsi="Times New Roman" w:cs="David" w:hint="cs"/>
          <w:sz w:val="24"/>
          <w:szCs w:val="24"/>
          <w:rtl/>
        </w:rPr>
        <w:t>. שיעור האקדמאים בקרב המועסקים בענפי היצוא הבולטים יותר מכפול משיעורם בענפים שעיקר פעילותם בשוק המקומי; מספר שנות הלימוד הממוצע בענפי התעשייה המייצאים גבוה בשנתיים בהשוואה לענפי התעשייה המקומיים, ובענפי השירותים המייצאים הוא גבוה ב-2.6 שנים בהשוואה לענפי השירותים המקומיים.</w:t>
      </w:r>
    </w:p>
    <w:p w:rsidR="009E5DB2" w:rsidRPr="007C102D" w:rsidRDefault="00D67E9F" w:rsidP="007C102D">
      <w:pPr>
        <w:spacing w:line="360" w:lineRule="auto"/>
        <w:jc w:val="both"/>
        <w:rPr>
          <w:rFonts w:ascii="Times New Roman" w:hAnsi="Times New Roman" w:cs="David"/>
          <w:sz w:val="24"/>
          <w:szCs w:val="24"/>
          <w:rtl/>
        </w:rPr>
      </w:pPr>
      <w:r>
        <w:rPr>
          <w:rFonts w:ascii="Times New Roman" w:hAnsi="Times New Roman" w:cs="David"/>
          <w:noProof/>
          <w:sz w:val="24"/>
          <w:szCs w:val="24"/>
          <w:rtl/>
        </w:rPr>
        <w:drawing>
          <wp:inline distT="0" distB="0" distL="0" distR="0">
            <wp:extent cx="5274310" cy="3225800"/>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2014-1.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3225800"/>
                    </a:xfrm>
                    <a:prstGeom prst="rect">
                      <a:avLst/>
                    </a:prstGeom>
                  </pic:spPr>
                </pic:pic>
              </a:graphicData>
            </a:graphic>
          </wp:inline>
        </w:drawing>
      </w:r>
    </w:p>
    <w:p w:rsidR="007C102D" w:rsidRPr="007C102D" w:rsidRDefault="007C102D" w:rsidP="007C102D">
      <w:pPr>
        <w:spacing w:line="360" w:lineRule="auto"/>
        <w:jc w:val="both"/>
        <w:rPr>
          <w:rFonts w:ascii="Times New Roman" w:hAnsi="Times New Roman" w:cs="David"/>
          <w:sz w:val="24"/>
          <w:szCs w:val="24"/>
          <w:rtl/>
        </w:rPr>
      </w:pPr>
      <w:r w:rsidRPr="007C102D">
        <w:rPr>
          <w:rFonts w:ascii="Times New Roman" w:hAnsi="Times New Roman" w:cs="David" w:hint="cs"/>
          <w:sz w:val="24"/>
          <w:szCs w:val="24"/>
          <w:rtl/>
        </w:rPr>
        <w:t>כדי לוודא שהיציבות התעסוקתית בקרב המועסקים בענפי היצוא נובעת מהמאפיין הייחודי של ענפים אלה, אנו מנכים את השפעותיהם של הרבה גורמים אחרים (</w:t>
      </w:r>
      <w:r w:rsidRPr="007C102D">
        <w:rPr>
          <w:rFonts w:ascii="Times New Roman" w:hAnsi="Times New Roman" w:cs="David"/>
          <w:sz w:val="24"/>
          <w:szCs w:val="24"/>
        </w:rPr>
        <w:t>fixed effects</w:t>
      </w:r>
      <w:r w:rsidRPr="007C102D">
        <w:rPr>
          <w:rFonts w:ascii="Times New Roman" w:hAnsi="Times New Roman" w:cs="David" w:hint="cs"/>
          <w:sz w:val="24"/>
          <w:szCs w:val="24"/>
          <w:rtl/>
        </w:rPr>
        <w:t>) שיכולים להשפיע על הצלחתם של הפרטים לשמור על רצף תעסוקתי. לשם כך אנו אומדים באמצעות רגרסיה לוגיסטית את ההסתברויות להישאר בתעסוקה ולהיפלט לאבטלה כפונקציה של מגדר, רמת השכלה, מצב משפחתי, גיל, אזור מגורים, יבשת לידה, הימצאותם של ילדים בני 0</w:t>
      </w:r>
      <w:r w:rsidRPr="007C102D">
        <w:rPr>
          <w:rFonts w:ascii="Times New Roman" w:hAnsi="Times New Roman" w:cs="David"/>
          <w:sz w:val="24"/>
          <w:szCs w:val="24"/>
          <w:rtl/>
        </w:rPr>
        <w:t>—</w:t>
      </w:r>
      <w:r w:rsidRPr="007C102D">
        <w:rPr>
          <w:rFonts w:ascii="Times New Roman" w:hAnsi="Times New Roman" w:cs="David" w:hint="cs"/>
          <w:sz w:val="24"/>
          <w:szCs w:val="24"/>
          <w:rtl/>
        </w:rPr>
        <w:t>14 במשק הבית, דת, עלייה בשנות התשעים ואילך, וכמובן העסקה באחת משלוש קבוצות הענפים</w:t>
      </w:r>
      <w:r w:rsidRPr="007C102D">
        <w:rPr>
          <w:rFonts w:ascii="Times New Roman" w:hAnsi="Times New Roman" w:cs="David"/>
          <w:sz w:val="24"/>
          <w:szCs w:val="24"/>
          <w:vertAlign w:val="superscript"/>
          <w:rtl/>
        </w:rPr>
        <w:footnoteReference w:id="10"/>
      </w:r>
      <w:r w:rsidRPr="007C102D">
        <w:rPr>
          <w:rFonts w:ascii="Times New Roman" w:hAnsi="Times New Roman" w:cs="David" w:hint="cs"/>
          <w:sz w:val="24"/>
          <w:szCs w:val="24"/>
          <w:rtl/>
        </w:rPr>
        <w:t xml:space="preserve">. התוצאות מלמדות כי גם לאחר שמנטרלים גורמים קבועים, ובפרט את השכלת העובדים, למועסקים בענפי היצוא יש הסתברות גבוהה יותר להישאר מועסקים ברבעון העוקב, והסתברות </w:t>
      </w:r>
      <w:r w:rsidRPr="007C102D">
        <w:rPr>
          <w:rFonts w:ascii="Times New Roman" w:hAnsi="Times New Roman" w:cs="David" w:hint="cs"/>
          <w:sz w:val="24"/>
          <w:szCs w:val="24"/>
          <w:rtl/>
        </w:rPr>
        <w:lastRenderedPageBreak/>
        <w:t xml:space="preserve">נמוכה יותר להיפלט מתעסוקה, מאשר למועסקים בענפים שעיקר פעילותם בשוק המקומי. ההסתברות של המועסקים בענפי היצוא להישאר מועסקים ברבעון העוקב גבוהה, בהתאמה, בכ-70% ובכ-50% מהנתון המקביל בקרב המועסקים בשירותים ובתעשייה שעיקר פעילותם בשוק המקומי. לעומת זאת, ההסתברות להיפלט לאבטלה בתעשייה ובשירותים שעיקר פעילותם בשוק המקומי גבוהה בכ-50% מהנתון המקביל בענפי היצוא. </w:t>
      </w:r>
    </w:p>
    <w:p w:rsidR="007C102D" w:rsidRPr="007C102D" w:rsidRDefault="007C102D" w:rsidP="007C102D">
      <w:pPr>
        <w:spacing w:line="240" w:lineRule="auto"/>
        <w:jc w:val="both"/>
        <w:rPr>
          <w:rFonts w:ascii="Times New Roman" w:hAnsi="Times New Roman" w:cs="David"/>
          <w:sz w:val="24"/>
          <w:szCs w:val="24"/>
          <w:rtl/>
        </w:rPr>
      </w:pPr>
    </w:p>
    <w:p w:rsidR="007C102D" w:rsidRPr="007C102D" w:rsidRDefault="007C102D" w:rsidP="007C102D">
      <w:pPr>
        <w:spacing w:line="240" w:lineRule="auto"/>
        <w:jc w:val="both"/>
        <w:rPr>
          <w:rFonts w:ascii="Times New Roman" w:hAnsi="Times New Roman" w:cs="David"/>
          <w:sz w:val="24"/>
          <w:szCs w:val="24"/>
          <w:rtl/>
        </w:rPr>
      </w:pPr>
      <w:r w:rsidRPr="00D67E9F">
        <w:rPr>
          <w:rFonts w:ascii="Times New Roman" w:hAnsi="Times New Roman" w:cs="David" w:hint="cs"/>
          <w:b/>
          <w:bCs/>
          <w:sz w:val="24"/>
          <w:szCs w:val="24"/>
          <w:rtl/>
        </w:rPr>
        <w:t>רשימת מקורות</w:t>
      </w:r>
      <w:r w:rsidRPr="007C102D">
        <w:rPr>
          <w:rFonts w:ascii="Times New Roman" w:hAnsi="Times New Roman" w:cs="David" w:hint="cs"/>
          <w:sz w:val="24"/>
          <w:szCs w:val="24"/>
          <w:rtl/>
        </w:rPr>
        <w:t>:</w:t>
      </w:r>
    </w:p>
    <w:p w:rsidR="007C102D" w:rsidRPr="007C102D" w:rsidRDefault="007C102D" w:rsidP="007C102D">
      <w:pPr>
        <w:bidi w:val="0"/>
        <w:spacing w:line="240" w:lineRule="auto"/>
        <w:jc w:val="both"/>
        <w:rPr>
          <w:rFonts w:ascii="Times New Roman" w:hAnsi="Times New Roman" w:cs="David"/>
          <w:sz w:val="24"/>
          <w:szCs w:val="24"/>
        </w:rPr>
      </w:pPr>
      <w:proofErr w:type="spellStart"/>
      <w:r w:rsidRPr="007C102D">
        <w:rPr>
          <w:rFonts w:ascii="Times New Roman" w:hAnsi="Times New Roman" w:cs="David"/>
          <w:sz w:val="24"/>
          <w:szCs w:val="24"/>
        </w:rPr>
        <w:t>Bhagwati</w:t>
      </w:r>
      <w:proofErr w:type="spellEnd"/>
      <w:r w:rsidRPr="007C102D">
        <w:rPr>
          <w:rFonts w:ascii="Times New Roman" w:hAnsi="Times New Roman" w:cs="David"/>
          <w:sz w:val="24"/>
          <w:szCs w:val="24"/>
        </w:rPr>
        <w:t xml:space="preserve">, J. (1998), "Trade and Wages: a Malign Relationship?" in S. Collins (ed.), </w:t>
      </w:r>
      <w:r w:rsidRPr="007C102D">
        <w:rPr>
          <w:rFonts w:ascii="Times New Roman" w:hAnsi="Times New Roman" w:cs="David"/>
          <w:i/>
          <w:iCs/>
          <w:sz w:val="24"/>
          <w:szCs w:val="24"/>
        </w:rPr>
        <w:t>Imports, Exports, and the American Worker</w:t>
      </w:r>
      <w:r w:rsidRPr="007C102D">
        <w:rPr>
          <w:rFonts w:ascii="Times New Roman" w:hAnsi="Times New Roman" w:cs="David"/>
          <w:sz w:val="24"/>
          <w:szCs w:val="24"/>
        </w:rPr>
        <w:t>, Washington, DC: Brookings Institution Press.</w:t>
      </w:r>
    </w:p>
    <w:p w:rsidR="007C102D" w:rsidRPr="007C102D" w:rsidRDefault="007C102D" w:rsidP="007C102D">
      <w:pPr>
        <w:bidi w:val="0"/>
        <w:spacing w:line="240" w:lineRule="auto"/>
        <w:jc w:val="both"/>
        <w:rPr>
          <w:rFonts w:ascii="Times New Roman" w:hAnsi="Times New Roman" w:cs="David"/>
          <w:sz w:val="24"/>
          <w:szCs w:val="24"/>
        </w:rPr>
      </w:pPr>
      <w:proofErr w:type="spellStart"/>
      <w:r w:rsidRPr="007C102D">
        <w:rPr>
          <w:rFonts w:ascii="Times New Roman" w:hAnsi="Times New Roman" w:cs="David"/>
          <w:sz w:val="24"/>
          <w:szCs w:val="24"/>
        </w:rPr>
        <w:t>Bhagwati</w:t>
      </w:r>
      <w:proofErr w:type="spellEnd"/>
      <w:r w:rsidRPr="007C102D">
        <w:rPr>
          <w:rFonts w:ascii="Times New Roman" w:hAnsi="Times New Roman" w:cs="David"/>
          <w:sz w:val="24"/>
          <w:szCs w:val="24"/>
        </w:rPr>
        <w:t xml:space="preserve">, J. and V. </w:t>
      </w:r>
      <w:proofErr w:type="spellStart"/>
      <w:r w:rsidRPr="007C102D">
        <w:rPr>
          <w:rFonts w:ascii="Times New Roman" w:hAnsi="Times New Roman" w:cs="David"/>
          <w:sz w:val="24"/>
          <w:szCs w:val="24"/>
        </w:rPr>
        <w:t>Dehejia</w:t>
      </w:r>
      <w:proofErr w:type="spellEnd"/>
      <w:r w:rsidRPr="007C102D">
        <w:rPr>
          <w:rFonts w:ascii="Times New Roman" w:hAnsi="Times New Roman" w:cs="David"/>
          <w:sz w:val="24"/>
          <w:szCs w:val="24"/>
        </w:rPr>
        <w:t xml:space="preserve"> (1994), "Free Trade and Wages of the Unskilled – is Marx Striking Again?" in </w:t>
      </w:r>
      <w:proofErr w:type="spellStart"/>
      <w:r w:rsidRPr="007C102D">
        <w:rPr>
          <w:rFonts w:ascii="Times New Roman" w:hAnsi="Times New Roman" w:cs="David"/>
          <w:sz w:val="24"/>
          <w:szCs w:val="24"/>
        </w:rPr>
        <w:t>Bhagwati</w:t>
      </w:r>
      <w:proofErr w:type="spellEnd"/>
      <w:r w:rsidRPr="007C102D">
        <w:rPr>
          <w:rFonts w:ascii="Times New Roman" w:hAnsi="Times New Roman" w:cs="David"/>
          <w:sz w:val="24"/>
          <w:szCs w:val="24"/>
        </w:rPr>
        <w:t xml:space="preserve">, J. and M. </w:t>
      </w:r>
      <w:proofErr w:type="spellStart"/>
      <w:r w:rsidRPr="007C102D">
        <w:rPr>
          <w:rFonts w:ascii="Times New Roman" w:hAnsi="Times New Roman" w:cs="David"/>
          <w:sz w:val="24"/>
          <w:szCs w:val="24"/>
        </w:rPr>
        <w:t>Kosters</w:t>
      </w:r>
      <w:proofErr w:type="spellEnd"/>
      <w:r w:rsidRPr="007C102D">
        <w:rPr>
          <w:rFonts w:ascii="Times New Roman" w:hAnsi="Times New Roman" w:cs="David"/>
          <w:sz w:val="24"/>
          <w:szCs w:val="24"/>
        </w:rPr>
        <w:t xml:space="preserve"> (eds.), </w:t>
      </w:r>
      <w:r w:rsidRPr="007C102D">
        <w:rPr>
          <w:rFonts w:ascii="Times New Roman" w:hAnsi="Times New Roman" w:cs="David"/>
          <w:i/>
          <w:iCs/>
          <w:sz w:val="24"/>
          <w:szCs w:val="24"/>
        </w:rPr>
        <w:t>Trade and Wages: Leveling Wages Down</w:t>
      </w:r>
      <w:proofErr w:type="gramStart"/>
      <w:r w:rsidRPr="007C102D">
        <w:rPr>
          <w:rFonts w:ascii="Times New Roman" w:hAnsi="Times New Roman" w:cs="David"/>
          <w:i/>
          <w:iCs/>
          <w:sz w:val="24"/>
          <w:szCs w:val="24"/>
        </w:rPr>
        <w:t>?</w:t>
      </w:r>
      <w:r w:rsidRPr="007C102D">
        <w:rPr>
          <w:rFonts w:ascii="Times New Roman" w:hAnsi="Times New Roman" w:cs="David"/>
          <w:sz w:val="24"/>
          <w:szCs w:val="24"/>
        </w:rPr>
        <w:t>,</w:t>
      </w:r>
      <w:proofErr w:type="gramEnd"/>
      <w:r w:rsidRPr="007C102D">
        <w:rPr>
          <w:rFonts w:ascii="Times New Roman" w:hAnsi="Times New Roman" w:cs="David"/>
          <w:sz w:val="24"/>
          <w:szCs w:val="24"/>
        </w:rPr>
        <w:t xml:space="preserve"> Washington, DC: AEI Press.</w:t>
      </w:r>
    </w:p>
    <w:p w:rsidR="007C102D" w:rsidRPr="007C102D" w:rsidRDefault="007C102D" w:rsidP="007C102D">
      <w:pPr>
        <w:bidi w:val="0"/>
        <w:spacing w:line="240" w:lineRule="auto"/>
        <w:jc w:val="both"/>
        <w:rPr>
          <w:rFonts w:ascii="Times New Roman" w:hAnsi="Times New Roman" w:cs="David"/>
          <w:sz w:val="24"/>
          <w:szCs w:val="24"/>
        </w:rPr>
      </w:pPr>
      <w:r w:rsidRPr="007C102D">
        <w:rPr>
          <w:rFonts w:ascii="Times New Roman" w:hAnsi="Times New Roman" w:cs="David"/>
          <w:sz w:val="24"/>
          <w:szCs w:val="24"/>
        </w:rPr>
        <w:t xml:space="preserve">Barba </w:t>
      </w:r>
      <w:proofErr w:type="spellStart"/>
      <w:r w:rsidRPr="007C102D">
        <w:rPr>
          <w:rFonts w:ascii="Times New Roman" w:hAnsi="Times New Roman" w:cs="David"/>
          <w:sz w:val="24"/>
          <w:szCs w:val="24"/>
        </w:rPr>
        <w:t>Navaretti</w:t>
      </w:r>
      <w:proofErr w:type="spellEnd"/>
      <w:r w:rsidRPr="007C102D">
        <w:rPr>
          <w:rFonts w:ascii="Times New Roman" w:hAnsi="Times New Roman" w:cs="David"/>
          <w:sz w:val="24"/>
          <w:szCs w:val="24"/>
        </w:rPr>
        <w:t xml:space="preserve">, G., D. </w:t>
      </w:r>
      <w:proofErr w:type="spellStart"/>
      <w:r w:rsidRPr="007C102D">
        <w:rPr>
          <w:rFonts w:ascii="Times New Roman" w:hAnsi="Times New Roman" w:cs="David"/>
          <w:sz w:val="24"/>
          <w:szCs w:val="24"/>
        </w:rPr>
        <w:t>Checchi</w:t>
      </w:r>
      <w:proofErr w:type="spellEnd"/>
      <w:r w:rsidRPr="007C102D">
        <w:rPr>
          <w:rFonts w:ascii="Times New Roman" w:hAnsi="Times New Roman" w:cs="David"/>
          <w:sz w:val="24"/>
          <w:szCs w:val="24"/>
        </w:rPr>
        <w:t xml:space="preserve"> and A. </w:t>
      </w:r>
      <w:proofErr w:type="spellStart"/>
      <w:r w:rsidRPr="007C102D">
        <w:rPr>
          <w:rFonts w:ascii="Times New Roman" w:hAnsi="Times New Roman" w:cs="David"/>
          <w:sz w:val="24"/>
          <w:szCs w:val="24"/>
        </w:rPr>
        <w:t>Turrini</w:t>
      </w:r>
      <w:proofErr w:type="spellEnd"/>
      <w:r w:rsidRPr="007C102D">
        <w:rPr>
          <w:rFonts w:ascii="Times New Roman" w:hAnsi="Times New Roman" w:cs="David"/>
          <w:sz w:val="24"/>
          <w:szCs w:val="24"/>
        </w:rPr>
        <w:t xml:space="preserve"> (2003), "Adjusting Labor Demand: Multinational versus National Firms", </w:t>
      </w:r>
      <w:r w:rsidRPr="007C102D">
        <w:rPr>
          <w:rFonts w:ascii="Times New Roman" w:hAnsi="Times New Roman" w:cs="David"/>
          <w:i/>
          <w:iCs/>
          <w:sz w:val="24"/>
          <w:szCs w:val="24"/>
        </w:rPr>
        <w:t>Journal of the European Economic Association</w:t>
      </w:r>
      <w:r w:rsidRPr="007C102D">
        <w:rPr>
          <w:rFonts w:ascii="Times New Roman" w:hAnsi="Times New Roman" w:cs="David"/>
          <w:sz w:val="24"/>
          <w:szCs w:val="24"/>
        </w:rPr>
        <w:t>, 1 (2-3): 708-719.</w:t>
      </w:r>
    </w:p>
    <w:p w:rsidR="00FB486D" w:rsidRPr="007C102D" w:rsidRDefault="00FB486D"/>
    <w:sectPr w:rsidR="00FB486D" w:rsidRPr="007C102D" w:rsidSect="00D67E9F">
      <w:footerReference w:type="default" r:id="rId12"/>
      <w:pgSz w:w="11906" w:h="16838"/>
      <w:pgMar w:top="1440" w:right="1800" w:bottom="1440" w:left="180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23" w:rsidRDefault="00A67123" w:rsidP="007C102D">
      <w:pPr>
        <w:spacing w:after="0" w:line="240" w:lineRule="auto"/>
      </w:pPr>
      <w:r>
        <w:separator/>
      </w:r>
    </w:p>
  </w:endnote>
  <w:endnote w:type="continuationSeparator" w:id="0">
    <w:p w:rsidR="00A67123" w:rsidRDefault="00A67123" w:rsidP="007C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20"/>
        <w:szCs w:val="20"/>
        <w:rtl/>
      </w:rPr>
      <w:id w:val="-31735099"/>
      <w:docPartObj>
        <w:docPartGallery w:val="Page Numbers (Bottom of Page)"/>
        <w:docPartUnique/>
      </w:docPartObj>
    </w:sdtPr>
    <w:sdtEndPr>
      <w:rPr>
        <w:cs/>
      </w:rPr>
    </w:sdtEndPr>
    <w:sdtContent>
      <w:sdt>
        <w:sdtPr>
          <w:rPr>
            <w:rFonts w:cs="David"/>
            <w:sz w:val="20"/>
            <w:szCs w:val="20"/>
            <w:rtl/>
          </w:rPr>
          <w:id w:val="860082579"/>
          <w:docPartObj>
            <w:docPartGallery w:val="Page Numbers (Top of Page)"/>
            <w:docPartUnique/>
          </w:docPartObj>
        </w:sdtPr>
        <w:sdtContent>
          <w:p w:rsidR="00D67E9F" w:rsidRPr="00D67E9F" w:rsidRDefault="00D67E9F" w:rsidP="00D67E9F">
            <w:pPr>
              <w:pStyle w:val="af0"/>
              <w:rPr>
                <w:rFonts w:cs="David"/>
                <w:sz w:val="20"/>
                <w:szCs w:val="20"/>
                <w:cs/>
              </w:rPr>
            </w:pPr>
            <w:r>
              <w:rPr>
                <w:rFonts w:cs="David" w:hint="cs"/>
                <w:sz w:val="20"/>
                <w:szCs w:val="20"/>
                <w:rtl/>
                <w:cs/>
                <w:lang w:val="he-IL"/>
              </w:rPr>
              <w:t xml:space="preserve">קטע מתוך דוח בנק ישראל </w:t>
            </w:r>
            <w:r>
              <w:rPr>
                <w:rFonts w:cs="David"/>
                <w:sz w:val="20"/>
                <w:szCs w:val="20"/>
                <w:rtl/>
                <w:lang w:val="he-IL"/>
              </w:rPr>
              <w:t>–</w:t>
            </w:r>
            <w:r>
              <w:rPr>
                <w:rFonts w:cs="David" w:hint="cs"/>
                <w:sz w:val="20"/>
                <w:szCs w:val="20"/>
                <w:rtl/>
                <w:cs/>
                <w:lang w:val="he-IL"/>
              </w:rPr>
              <w:t xml:space="preserve"> תנודתיות בתעסוקה</w:t>
            </w:r>
            <w:r>
              <w:rPr>
                <w:rFonts w:cs="David" w:hint="cs"/>
                <w:sz w:val="20"/>
                <w:szCs w:val="20"/>
                <w:rtl/>
                <w:cs/>
                <w:lang w:val="he-IL"/>
              </w:rPr>
              <w:tab/>
            </w:r>
            <w:r w:rsidR="0090160A">
              <w:rPr>
                <w:rFonts w:cs="David" w:hint="cs"/>
                <w:sz w:val="20"/>
                <w:szCs w:val="20"/>
                <w:rtl/>
                <w:cs/>
                <w:lang w:val="he-IL"/>
              </w:rPr>
              <w:tab/>
            </w:r>
            <w:r w:rsidRPr="00D67E9F">
              <w:rPr>
                <w:rFonts w:cs="David"/>
                <w:sz w:val="20"/>
                <w:szCs w:val="20"/>
                <w:rtl/>
                <w:cs/>
                <w:lang w:val="he-IL"/>
              </w:rPr>
              <w:t xml:space="preserve">עמוד </w:t>
            </w:r>
            <w:r w:rsidRPr="00D67E9F">
              <w:rPr>
                <w:rFonts w:cs="David"/>
                <w:b/>
                <w:bCs/>
                <w:sz w:val="20"/>
                <w:szCs w:val="20"/>
              </w:rPr>
              <w:fldChar w:fldCharType="begin"/>
            </w:r>
            <w:r w:rsidRPr="00D67E9F">
              <w:rPr>
                <w:rFonts w:cs="David"/>
                <w:b/>
                <w:bCs/>
                <w:sz w:val="20"/>
                <w:szCs w:val="20"/>
                <w:cs/>
              </w:rPr>
              <w:instrText>PAGE</w:instrText>
            </w:r>
            <w:r w:rsidRPr="00D67E9F">
              <w:rPr>
                <w:rFonts w:cs="David"/>
                <w:b/>
                <w:bCs/>
                <w:sz w:val="20"/>
                <w:szCs w:val="20"/>
              </w:rPr>
              <w:fldChar w:fldCharType="separate"/>
            </w:r>
            <w:r w:rsidR="00E87236">
              <w:rPr>
                <w:rFonts w:cs="David"/>
                <w:b/>
                <w:bCs/>
                <w:noProof/>
                <w:sz w:val="20"/>
                <w:szCs w:val="20"/>
                <w:rtl/>
              </w:rPr>
              <w:t>1</w:t>
            </w:r>
            <w:r w:rsidRPr="00D67E9F">
              <w:rPr>
                <w:rFonts w:cs="David"/>
                <w:b/>
                <w:bCs/>
                <w:sz w:val="20"/>
                <w:szCs w:val="20"/>
              </w:rPr>
              <w:fldChar w:fldCharType="end"/>
            </w:r>
            <w:r w:rsidRPr="00D67E9F">
              <w:rPr>
                <w:rFonts w:cs="David"/>
                <w:sz w:val="20"/>
                <w:szCs w:val="20"/>
                <w:rtl/>
                <w:cs/>
                <w:lang w:val="he-IL"/>
              </w:rPr>
              <w:t xml:space="preserve"> מתוך </w:t>
            </w:r>
            <w:r w:rsidRPr="00D67E9F">
              <w:rPr>
                <w:rFonts w:cs="David"/>
                <w:b/>
                <w:bCs/>
                <w:sz w:val="20"/>
                <w:szCs w:val="20"/>
              </w:rPr>
              <w:fldChar w:fldCharType="begin"/>
            </w:r>
            <w:r w:rsidRPr="00D67E9F">
              <w:rPr>
                <w:rFonts w:cs="David"/>
                <w:b/>
                <w:bCs/>
                <w:sz w:val="20"/>
                <w:szCs w:val="20"/>
                <w:cs/>
              </w:rPr>
              <w:instrText>NUMPAGES</w:instrText>
            </w:r>
            <w:r w:rsidRPr="00D67E9F">
              <w:rPr>
                <w:rFonts w:cs="David"/>
                <w:b/>
                <w:bCs/>
                <w:sz w:val="20"/>
                <w:szCs w:val="20"/>
              </w:rPr>
              <w:fldChar w:fldCharType="separate"/>
            </w:r>
            <w:r w:rsidR="00E87236">
              <w:rPr>
                <w:rFonts w:cs="David"/>
                <w:b/>
                <w:bCs/>
                <w:noProof/>
                <w:sz w:val="20"/>
                <w:szCs w:val="20"/>
                <w:rtl/>
              </w:rPr>
              <w:t>5</w:t>
            </w:r>
            <w:r w:rsidRPr="00D67E9F">
              <w:rPr>
                <w:rFonts w:cs="David"/>
                <w:b/>
                <w:bCs/>
                <w:sz w:val="20"/>
                <w:szCs w:val="20"/>
              </w:rPr>
              <w:fldChar w:fldCharType="end"/>
            </w:r>
          </w:p>
        </w:sdtContent>
      </w:sdt>
    </w:sdtContent>
  </w:sdt>
  <w:p w:rsidR="00AD21A2" w:rsidRDefault="00AD21A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23" w:rsidRDefault="00A67123" w:rsidP="007C102D">
      <w:pPr>
        <w:spacing w:after="0" w:line="240" w:lineRule="auto"/>
      </w:pPr>
      <w:r>
        <w:separator/>
      </w:r>
    </w:p>
  </w:footnote>
  <w:footnote w:type="continuationSeparator" w:id="0">
    <w:p w:rsidR="00A67123" w:rsidRDefault="00A67123" w:rsidP="007C102D">
      <w:pPr>
        <w:spacing w:after="0" w:line="240" w:lineRule="auto"/>
      </w:pPr>
      <w:r>
        <w:continuationSeparator/>
      </w:r>
    </w:p>
  </w:footnote>
  <w:footnote w:id="1">
    <w:p w:rsidR="007C102D" w:rsidRPr="00DD41E8" w:rsidRDefault="007C102D" w:rsidP="007C102D">
      <w:pPr>
        <w:pStyle w:val="a3"/>
        <w:rPr>
          <w:rFonts w:ascii="Times New Roman" w:hAnsi="Times New Roman" w:cs="David"/>
          <w:rtl/>
        </w:rPr>
      </w:pPr>
      <w:r w:rsidRPr="00DD41E8">
        <w:rPr>
          <w:rStyle w:val="a5"/>
          <w:rFonts w:ascii="Times New Roman" w:hAnsi="Times New Roman" w:cs="David"/>
        </w:rPr>
        <w:footnoteRef/>
      </w:r>
      <w:r w:rsidRPr="00DD41E8">
        <w:rPr>
          <w:rFonts w:ascii="Times New Roman" w:hAnsi="Times New Roman" w:cs="David"/>
          <w:rtl/>
        </w:rPr>
        <w:t xml:space="preserve"> </w:t>
      </w:r>
      <w:r w:rsidRPr="00DD41E8">
        <w:rPr>
          <w:rFonts w:ascii="Times New Roman" w:hAnsi="Times New Roman" w:cs="David" w:hint="cs"/>
          <w:rtl/>
        </w:rPr>
        <w:t xml:space="preserve">היחס בין התפתחות מחירי היצוא הדולריים למחירי היבוא הדולריים של חומרי הגלם </w:t>
      </w:r>
      <w:r w:rsidRPr="005F67A8">
        <w:rPr>
          <w:rFonts w:ascii="Times New Roman" w:hAnsi="Times New Roman" w:cs="David" w:hint="cs"/>
          <w:rtl/>
        </w:rPr>
        <w:t>המיובאים</w:t>
      </w:r>
      <w:r w:rsidRPr="00DD41E8">
        <w:rPr>
          <w:rFonts w:ascii="Times New Roman" w:hAnsi="Times New Roman" w:cs="David" w:hint="cs"/>
          <w:rtl/>
        </w:rPr>
        <w:t>.</w:t>
      </w:r>
    </w:p>
  </w:footnote>
  <w:footnote w:id="2">
    <w:p w:rsidR="007C102D" w:rsidRPr="00DD41E8" w:rsidRDefault="007C102D" w:rsidP="007C102D">
      <w:pPr>
        <w:pStyle w:val="a3"/>
        <w:rPr>
          <w:rFonts w:ascii="Times New Roman" w:hAnsi="Times New Roman" w:cs="David"/>
        </w:rPr>
      </w:pPr>
      <w:r w:rsidRPr="00DD41E8">
        <w:rPr>
          <w:rStyle w:val="a5"/>
          <w:rFonts w:ascii="Times New Roman" w:hAnsi="Times New Roman"/>
        </w:rPr>
        <w:footnoteRef/>
      </w:r>
      <w:r w:rsidRPr="00DD41E8">
        <w:rPr>
          <w:rFonts w:ascii="Times New Roman" w:hAnsi="Times New Roman"/>
          <w:rtl/>
        </w:rPr>
        <w:t xml:space="preserve"> </w:t>
      </w:r>
      <w:r w:rsidRPr="00DD41E8">
        <w:rPr>
          <w:rFonts w:ascii="Times New Roman" w:hAnsi="Times New Roman" w:cs="David" w:hint="cs"/>
          <w:rtl/>
        </w:rPr>
        <w:t>מדד זה מחושב כסכום ריבועי הסטיות של מדד הי</w:t>
      </w:r>
      <w:r>
        <w:rPr>
          <w:rFonts w:ascii="Times New Roman" w:hAnsi="Times New Roman" w:cs="David" w:hint="cs"/>
          <w:rtl/>
        </w:rPr>
        <w:t>י</w:t>
      </w:r>
      <w:r w:rsidRPr="00DD41E8">
        <w:rPr>
          <w:rFonts w:ascii="Times New Roman" w:hAnsi="Times New Roman" w:cs="David" w:hint="cs"/>
          <w:rtl/>
        </w:rPr>
        <w:t>צור התעשייתי מ</w:t>
      </w:r>
      <w:r>
        <w:rPr>
          <w:rFonts w:ascii="Times New Roman" w:hAnsi="Times New Roman" w:cs="David" w:hint="cs"/>
          <w:rtl/>
        </w:rPr>
        <w:t>ה</w:t>
      </w:r>
      <w:r w:rsidRPr="00DD41E8">
        <w:rPr>
          <w:rFonts w:ascii="Times New Roman" w:hAnsi="Times New Roman" w:cs="David" w:hint="cs"/>
          <w:rtl/>
        </w:rPr>
        <w:t xml:space="preserve">מגמה ארוכת </w:t>
      </w:r>
      <w:r>
        <w:rPr>
          <w:rFonts w:ascii="Times New Roman" w:hAnsi="Times New Roman" w:cs="David" w:hint="cs"/>
          <w:rtl/>
        </w:rPr>
        <w:t>ה</w:t>
      </w:r>
      <w:r w:rsidRPr="00DD41E8">
        <w:rPr>
          <w:rFonts w:ascii="Times New Roman" w:hAnsi="Times New Roman" w:cs="David" w:hint="cs"/>
          <w:rtl/>
        </w:rPr>
        <w:t xml:space="preserve">טווח. סכום הסטיות עצמן שווה לאפס. </w:t>
      </w:r>
    </w:p>
  </w:footnote>
  <w:footnote w:id="3">
    <w:p w:rsidR="007C102D" w:rsidRPr="00DD41E8" w:rsidRDefault="007C102D" w:rsidP="00E87236">
      <w:pPr>
        <w:pStyle w:val="a3"/>
        <w:jc w:val="both"/>
        <w:rPr>
          <w:rFonts w:ascii="Times New Roman" w:hAnsi="Times New Roman" w:cs="David"/>
          <w:rtl/>
        </w:rPr>
      </w:pPr>
      <w:r w:rsidRPr="00DD41E8">
        <w:rPr>
          <w:rStyle w:val="a5"/>
          <w:rFonts w:ascii="Times New Roman" w:hAnsi="Times New Roman" w:cs="David"/>
        </w:rPr>
        <w:footnoteRef/>
      </w:r>
      <w:r w:rsidRPr="00DD41E8">
        <w:rPr>
          <w:rFonts w:ascii="Times New Roman" w:hAnsi="Times New Roman" w:cs="David"/>
          <w:rtl/>
        </w:rPr>
        <w:t xml:space="preserve"> </w:t>
      </w:r>
      <w:r w:rsidRPr="00DD41E8">
        <w:rPr>
          <w:rFonts w:ascii="Times New Roman" w:hAnsi="Times New Roman" w:cs="David" w:hint="cs"/>
          <w:rtl/>
        </w:rPr>
        <w:t xml:space="preserve">לדוגמא, </w:t>
      </w:r>
      <w:r>
        <w:rPr>
          <w:rFonts w:ascii="Times New Roman" w:hAnsi="Times New Roman" w:cs="David" w:hint="cs"/>
          <w:rtl/>
        </w:rPr>
        <w:t xml:space="preserve">במסגרת "שמיים פתוחים", </w:t>
      </w:r>
      <w:r w:rsidRPr="00DD41E8">
        <w:rPr>
          <w:rFonts w:ascii="Times New Roman" w:hAnsi="Times New Roman" w:cs="David" w:hint="cs"/>
          <w:rtl/>
        </w:rPr>
        <w:t xml:space="preserve">הסכם התעופה שישראל הצטרפה אליו בשנת 2013, </w:t>
      </w:r>
      <w:r>
        <w:rPr>
          <w:rFonts w:ascii="Times New Roman" w:hAnsi="Times New Roman" w:cs="David" w:hint="cs"/>
          <w:rtl/>
        </w:rPr>
        <w:t>ה</w:t>
      </w:r>
      <w:r w:rsidRPr="00DD41E8">
        <w:rPr>
          <w:rFonts w:ascii="Times New Roman" w:hAnsi="Times New Roman" w:cs="David" w:hint="cs"/>
          <w:rtl/>
        </w:rPr>
        <w:t xml:space="preserve">מדינות מתחייבות </w:t>
      </w:r>
      <w:r>
        <w:rPr>
          <w:rFonts w:ascii="Times New Roman" w:hAnsi="Times New Roman" w:cs="David" w:hint="cs"/>
          <w:rtl/>
        </w:rPr>
        <w:t xml:space="preserve">להימנע מסבסוד </w:t>
      </w:r>
      <w:r w:rsidRPr="00DD41E8">
        <w:rPr>
          <w:rFonts w:ascii="Times New Roman" w:hAnsi="Times New Roman" w:cs="David" w:hint="cs"/>
          <w:rtl/>
        </w:rPr>
        <w:t xml:space="preserve">של חברות התעופה שלהן, </w:t>
      </w:r>
      <w:r>
        <w:rPr>
          <w:rFonts w:ascii="Times New Roman" w:hAnsi="Times New Roman" w:cs="David" w:hint="cs"/>
          <w:rtl/>
        </w:rPr>
        <w:t>ו</w:t>
      </w:r>
      <w:r w:rsidRPr="00DD41E8">
        <w:rPr>
          <w:rFonts w:ascii="Times New Roman" w:hAnsi="Times New Roman" w:cs="David" w:hint="cs"/>
          <w:rtl/>
        </w:rPr>
        <w:t>לכן הוטלו מגבלות על סבסוד עלויות האבטחה של חברות ישראליות.</w:t>
      </w:r>
    </w:p>
  </w:footnote>
  <w:footnote w:id="4">
    <w:p w:rsidR="007C102D" w:rsidRPr="00DD41E8" w:rsidRDefault="007C102D" w:rsidP="00E87236">
      <w:pPr>
        <w:pStyle w:val="a3"/>
        <w:jc w:val="both"/>
        <w:rPr>
          <w:rFonts w:ascii="Times New Roman" w:hAnsi="Times New Roman" w:cs="David"/>
          <w:rtl/>
        </w:rPr>
      </w:pPr>
      <w:r w:rsidRPr="00DD41E8">
        <w:rPr>
          <w:rStyle w:val="a5"/>
          <w:rFonts w:ascii="Times New Roman" w:hAnsi="Times New Roman" w:cs="David"/>
        </w:rPr>
        <w:footnoteRef/>
      </w:r>
      <w:r w:rsidRPr="00DD41E8">
        <w:rPr>
          <w:rFonts w:ascii="Times New Roman" w:hAnsi="Times New Roman" w:cs="David"/>
          <w:rtl/>
        </w:rPr>
        <w:t xml:space="preserve"> </w:t>
      </w:r>
      <w:r w:rsidRPr="00DD41E8">
        <w:rPr>
          <w:rFonts w:ascii="Times New Roman" w:hAnsi="Times New Roman" w:cs="David" w:hint="cs"/>
          <w:rtl/>
        </w:rPr>
        <w:t xml:space="preserve">ענפי היצוא הבולטים בתעשייה הם </w:t>
      </w:r>
      <w:r>
        <w:rPr>
          <w:rFonts w:ascii="Times New Roman" w:hAnsi="Times New Roman" w:cs="David" w:hint="cs"/>
          <w:rtl/>
        </w:rPr>
        <w:t xml:space="preserve">(1) </w:t>
      </w:r>
      <w:r w:rsidRPr="00DD41E8">
        <w:rPr>
          <w:rFonts w:ascii="Times New Roman" w:hAnsi="Times New Roman" w:cs="David" w:hint="cs"/>
          <w:rtl/>
        </w:rPr>
        <w:t xml:space="preserve">תעשיית </w:t>
      </w:r>
      <w:r>
        <w:rPr>
          <w:rFonts w:ascii="Times New Roman" w:hAnsi="Times New Roman" w:cs="David" w:hint="cs"/>
          <w:rtl/>
        </w:rPr>
        <w:t>ה</w:t>
      </w:r>
      <w:r w:rsidRPr="00DD41E8">
        <w:rPr>
          <w:rFonts w:ascii="Times New Roman" w:hAnsi="Times New Roman" w:cs="David" w:hint="cs"/>
          <w:rtl/>
        </w:rPr>
        <w:t xml:space="preserve">רכיבים </w:t>
      </w:r>
      <w:r>
        <w:rPr>
          <w:rFonts w:ascii="Times New Roman" w:hAnsi="Times New Roman" w:cs="David" w:hint="cs"/>
          <w:rtl/>
        </w:rPr>
        <w:t>ה</w:t>
      </w:r>
      <w:r w:rsidRPr="00DD41E8">
        <w:rPr>
          <w:rFonts w:ascii="Times New Roman" w:hAnsi="Times New Roman" w:cs="David" w:hint="cs"/>
          <w:rtl/>
        </w:rPr>
        <w:t xml:space="preserve">אלקטרוניים, </w:t>
      </w:r>
      <w:r>
        <w:rPr>
          <w:rFonts w:ascii="Times New Roman" w:hAnsi="Times New Roman" w:cs="David" w:hint="cs"/>
          <w:rtl/>
        </w:rPr>
        <w:t xml:space="preserve">(2) </w:t>
      </w:r>
      <w:r w:rsidRPr="00DD41E8">
        <w:rPr>
          <w:rFonts w:ascii="Times New Roman" w:hAnsi="Times New Roman" w:cs="David" w:hint="cs"/>
          <w:rtl/>
        </w:rPr>
        <w:t xml:space="preserve">תעשיית ציוד </w:t>
      </w:r>
      <w:r>
        <w:rPr>
          <w:rFonts w:ascii="Times New Roman" w:hAnsi="Times New Roman" w:cs="David" w:hint="cs"/>
          <w:rtl/>
        </w:rPr>
        <w:t>ה</w:t>
      </w:r>
      <w:r w:rsidRPr="00DD41E8">
        <w:rPr>
          <w:rFonts w:ascii="Times New Roman" w:hAnsi="Times New Roman" w:cs="David" w:hint="cs"/>
          <w:rtl/>
        </w:rPr>
        <w:t xml:space="preserve">תקשורת </w:t>
      </w:r>
      <w:r>
        <w:rPr>
          <w:rFonts w:ascii="Times New Roman" w:hAnsi="Times New Roman" w:cs="David" w:hint="cs"/>
          <w:rtl/>
        </w:rPr>
        <w:t>ה</w:t>
      </w:r>
      <w:r w:rsidRPr="00DD41E8">
        <w:rPr>
          <w:rFonts w:ascii="Times New Roman" w:hAnsi="Times New Roman" w:cs="David" w:hint="cs"/>
          <w:rtl/>
        </w:rPr>
        <w:t>אלקטרוני</w:t>
      </w:r>
      <w:r>
        <w:rPr>
          <w:rFonts w:ascii="Times New Roman" w:hAnsi="Times New Roman" w:cs="David" w:hint="cs"/>
          <w:rtl/>
        </w:rPr>
        <w:t>, (3)</w:t>
      </w:r>
      <w:r w:rsidRPr="00DD41E8">
        <w:rPr>
          <w:rFonts w:ascii="Times New Roman" w:hAnsi="Times New Roman" w:cs="David" w:hint="cs"/>
          <w:rtl/>
        </w:rPr>
        <w:t xml:space="preserve"> תעשיית </w:t>
      </w:r>
      <w:r>
        <w:rPr>
          <w:rFonts w:ascii="Times New Roman" w:hAnsi="Times New Roman" w:cs="David" w:hint="cs"/>
          <w:rtl/>
        </w:rPr>
        <w:t>ה</w:t>
      </w:r>
      <w:r w:rsidRPr="00DD41E8">
        <w:rPr>
          <w:rFonts w:ascii="Times New Roman" w:hAnsi="Times New Roman" w:cs="David" w:hint="cs"/>
          <w:rtl/>
        </w:rPr>
        <w:t xml:space="preserve">ציוד </w:t>
      </w:r>
      <w:r>
        <w:rPr>
          <w:rFonts w:ascii="Times New Roman" w:hAnsi="Times New Roman" w:cs="David" w:hint="cs"/>
          <w:rtl/>
        </w:rPr>
        <w:t>ה</w:t>
      </w:r>
      <w:r w:rsidRPr="00DD41E8">
        <w:rPr>
          <w:rFonts w:ascii="Times New Roman" w:hAnsi="Times New Roman" w:cs="David" w:hint="cs"/>
          <w:rtl/>
        </w:rPr>
        <w:t xml:space="preserve">תעשייתי לבקרה ולפיקוח </w:t>
      </w:r>
      <w:r>
        <w:rPr>
          <w:rFonts w:ascii="Times New Roman" w:hAnsi="Times New Roman" w:cs="David" w:hint="cs"/>
          <w:rtl/>
        </w:rPr>
        <w:t>וה</w:t>
      </w:r>
      <w:r w:rsidRPr="00DD41E8">
        <w:rPr>
          <w:rFonts w:ascii="Times New Roman" w:hAnsi="Times New Roman" w:cs="David" w:hint="cs"/>
          <w:rtl/>
        </w:rPr>
        <w:t xml:space="preserve">ציוד </w:t>
      </w:r>
      <w:r>
        <w:rPr>
          <w:rFonts w:ascii="Times New Roman" w:hAnsi="Times New Roman" w:cs="David" w:hint="cs"/>
          <w:rtl/>
        </w:rPr>
        <w:t>ה</w:t>
      </w:r>
      <w:r w:rsidRPr="00DD41E8">
        <w:rPr>
          <w:rFonts w:ascii="Times New Roman" w:hAnsi="Times New Roman" w:cs="David" w:hint="cs"/>
          <w:rtl/>
        </w:rPr>
        <w:t>רפואי ו</w:t>
      </w:r>
      <w:r>
        <w:rPr>
          <w:rFonts w:ascii="Times New Roman" w:hAnsi="Times New Roman" w:cs="David" w:hint="cs"/>
          <w:rtl/>
        </w:rPr>
        <w:t>ה</w:t>
      </w:r>
      <w:r w:rsidRPr="00DD41E8">
        <w:rPr>
          <w:rFonts w:ascii="Times New Roman" w:hAnsi="Times New Roman" w:cs="David" w:hint="cs"/>
          <w:rtl/>
        </w:rPr>
        <w:t>מדעי</w:t>
      </w:r>
      <w:r>
        <w:rPr>
          <w:rFonts w:ascii="Times New Roman" w:hAnsi="Times New Roman" w:cs="David" w:hint="cs"/>
          <w:rtl/>
        </w:rPr>
        <w:t>,</w:t>
      </w:r>
      <w:r w:rsidRPr="00DD41E8">
        <w:rPr>
          <w:rFonts w:ascii="Times New Roman" w:hAnsi="Times New Roman" w:cs="David" w:hint="cs"/>
          <w:rtl/>
        </w:rPr>
        <w:t xml:space="preserve"> ו</w:t>
      </w:r>
      <w:r>
        <w:rPr>
          <w:rFonts w:ascii="Times New Roman" w:hAnsi="Times New Roman" w:cs="David" w:hint="cs"/>
          <w:rtl/>
        </w:rPr>
        <w:t xml:space="preserve">-(4) </w:t>
      </w:r>
      <w:r w:rsidRPr="00DD41E8">
        <w:rPr>
          <w:rFonts w:ascii="Times New Roman" w:hAnsi="Times New Roman" w:cs="David" w:hint="cs"/>
          <w:rtl/>
        </w:rPr>
        <w:t>ענף הכימיקלים, כולל תרופות; ענפי היצוא הבולטים בשירותים הם שירותי מחשוב ומחקר ופיתוח.</w:t>
      </w:r>
    </w:p>
  </w:footnote>
  <w:footnote w:id="5">
    <w:p w:rsidR="007C102D" w:rsidRPr="0036789F" w:rsidRDefault="007C102D" w:rsidP="00E87236">
      <w:pPr>
        <w:pStyle w:val="a3"/>
        <w:jc w:val="both"/>
        <w:rPr>
          <w:rtl/>
        </w:rPr>
      </w:pPr>
      <w:r>
        <w:rPr>
          <w:rStyle w:val="a5"/>
        </w:rPr>
        <w:footnoteRef/>
      </w:r>
      <w:r>
        <w:rPr>
          <w:rtl/>
        </w:rPr>
        <w:t xml:space="preserve"> </w:t>
      </w:r>
      <w:r w:rsidRPr="00B31A03">
        <w:rPr>
          <w:rFonts w:ascii="Times New Roman" w:hAnsi="Times New Roman" w:cs="David" w:hint="cs"/>
          <w:rtl/>
        </w:rPr>
        <w:t>גם לתעשיית הטכנולוגיה המסורתית והמעורבת, ענפים עתירי עבודה, יש נתח בלתי מבוטל ביצוא של המשק, אך מכיוון שמרבית תפוקתם מופנית לצריכה המקומית, הם הוגדרו לצורכי הניתוח כענפים שעיקר פעילותם בשוק המקומי.</w:t>
      </w:r>
      <w:r>
        <w:rPr>
          <w:rFonts w:ascii="Times New Roman" w:hAnsi="Times New Roman" w:cs="David" w:hint="cs"/>
          <w:rtl/>
        </w:rPr>
        <w:t xml:space="preserve"> </w:t>
      </w:r>
    </w:p>
  </w:footnote>
  <w:footnote w:id="6">
    <w:p w:rsidR="007C102D" w:rsidRPr="00DD41E8" w:rsidRDefault="007C102D" w:rsidP="00E87236">
      <w:pPr>
        <w:spacing w:after="0" w:line="240" w:lineRule="auto"/>
        <w:contextualSpacing/>
        <w:jc w:val="both"/>
        <w:rPr>
          <w:rFonts w:ascii="Times New Roman" w:hAnsi="Times New Roman" w:cs="David"/>
          <w:rtl/>
        </w:rPr>
      </w:pPr>
      <w:r w:rsidRPr="00DD41E8">
        <w:rPr>
          <w:rStyle w:val="a5"/>
          <w:rFonts w:ascii="Times New Roman" w:hAnsi="Times New Roman" w:cs="David"/>
        </w:rPr>
        <w:footnoteRef/>
      </w:r>
      <w:r w:rsidRPr="00DD41E8">
        <w:rPr>
          <w:rFonts w:ascii="Times New Roman" w:hAnsi="Times New Roman" w:cs="David"/>
          <w:rtl/>
        </w:rPr>
        <w:t xml:space="preserve"> </w:t>
      </w:r>
      <w:r w:rsidRPr="00DD41E8">
        <w:rPr>
          <w:rFonts w:ascii="Times New Roman" w:hAnsi="Times New Roman" w:cs="David" w:hint="cs"/>
          <w:sz w:val="20"/>
          <w:szCs w:val="20"/>
          <w:rtl/>
        </w:rPr>
        <w:t>כדי לנכות מגמות ארוכות טווח</w:t>
      </w:r>
      <w:r>
        <w:rPr>
          <w:rFonts w:ascii="Times New Roman" w:hAnsi="Times New Roman" w:cs="David" w:hint="cs"/>
          <w:sz w:val="20"/>
          <w:szCs w:val="20"/>
          <w:rtl/>
        </w:rPr>
        <w:t>,</w:t>
      </w:r>
      <w:r w:rsidRPr="00DD41E8">
        <w:rPr>
          <w:rFonts w:ascii="Times New Roman" w:hAnsi="Times New Roman" w:cs="David" w:hint="cs"/>
          <w:sz w:val="20"/>
          <w:szCs w:val="20"/>
          <w:rtl/>
        </w:rPr>
        <w:t xml:space="preserve"> ולבודד את הרכיב המחזורי</w:t>
      </w:r>
      <w:r>
        <w:rPr>
          <w:rFonts w:ascii="Times New Roman" w:hAnsi="Times New Roman" w:cs="David" w:hint="cs"/>
          <w:sz w:val="20"/>
          <w:szCs w:val="20"/>
          <w:rtl/>
        </w:rPr>
        <w:t>,</w:t>
      </w:r>
      <w:r w:rsidRPr="00DD41E8">
        <w:rPr>
          <w:rFonts w:ascii="Times New Roman" w:hAnsi="Times New Roman" w:cs="David" w:hint="cs"/>
          <w:sz w:val="20"/>
          <w:szCs w:val="20"/>
          <w:rtl/>
        </w:rPr>
        <w:t xml:space="preserve"> אנו משתמשים ב-</w:t>
      </w:r>
      <w:proofErr w:type="spellStart"/>
      <w:r w:rsidRPr="00DD41E8">
        <w:rPr>
          <w:rFonts w:ascii="Times New Roman" w:hAnsi="Times New Roman" w:cs="David"/>
          <w:sz w:val="20"/>
          <w:szCs w:val="20"/>
        </w:rPr>
        <w:t>Hodrick</w:t>
      </w:r>
      <w:proofErr w:type="spellEnd"/>
      <w:r w:rsidRPr="00DD41E8">
        <w:rPr>
          <w:rFonts w:ascii="Times New Roman" w:hAnsi="Times New Roman" w:cs="David"/>
          <w:sz w:val="20"/>
          <w:szCs w:val="20"/>
        </w:rPr>
        <w:t>-Prescott filter</w:t>
      </w:r>
      <w:r w:rsidRPr="00DD41E8">
        <w:rPr>
          <w:rFonts w:ascii="Times New Roman" w:hAnsi="Times New Roman" w:cs="David" w:hint="cs"/>
          <w:sz w:val="20"/>
          <w:szCs w:val="20"/>
          <w:rtl/>
        </w:rPr>
        <w:t>.</w:t>
      </w:r>
    </w:p>
  </w:footnote>
  <w:footnote w:id="7">
    <w:p w:rsidR="007C102D" w:rsidRPr="00DD41E8" w:rsidRDefault="007C102D" w:rsidP="00E87236">
      <w:pPr>
        <w:pStyle w:val="a3"/>
        <w:jc w:val="both"/>
        <w:rPr>
          <w:rFonts w:ascii="Times New Roman" w:hAnsi="Times New Roman" w:cs="David"/>
        </w:rPr>
      </w:pPr>
      <w:r w:rsidRPr="00DD41E8">
        <w:rPr>
          <w:rStyle w:val="a5"/>
          <w:rFonts w:ascii="Times New Roman" w:hAnsi="Times New Roman"/>
        </w:rPr>
        <w:footnoteRef/>
      </w:r>
      <w:r w:rsidRPr="00DD41E8">
        <w:rPr>
          <w:rFonts w:ascii="Times New Roman" w:hAnsi="Times New Roman"/>
          <w:rtl/>
        </w:rPr>
        <w:t xml:space="preserve"> </w:t>
      </w:r>
      <w:r>
        <w:rPr>
          <w:rFonts w:ascii="Times New Roman" w:hAnsi="Times New Roman" w:cs="David" w:hint="cs"/>
          <w:rtl/>
        </w:rPr>
        <w:t>מאחר ש</w:t>
      </w:r>
      <w:r w:rsidRPr="00DD41E8">
        <w:rPr>
          <w:rFonts w:ascii="Times New Roman" w:hAnsi="Times New Roman" w:cs="David" w:hint="cs"/>
          <w:rtl/>
        </w:rPr>
        <w:t xml:space="preserve">כמות התצפיות </w:t>
      </w:r>
      <w:r>
        <w:rPr>
          <w:rFonts w:ascii="Times New Roman" w:hAnsi="Times New Roman" w:cs="David" w:hint="cs"/>
          <w:rtl/>
        </w:rPr>
        <w:t xml:space="preserve">בניתוח </w:t>
      </w:r>
      <w:r w:rsidRPr="00DD41E8">
        <w:rPr>
          <w:rFonts w:ascii="Times New Roman" w:hAnsi="Times New Roman" w:cs="David" w:hint="cs"/>
          <w:rtl/>
        </w:rPr>
        <w:t>מצומצמת יחסית</w:t>
      </w:r>
      <w:r>
        <w:rPr>
          <w:rFonts w:ascii="Times New Roman" w:hAnsi="Times New Roman" w:cs="David" w:hint="cs"/>
          <w:rtl/>
        </w:rPr>
        <w:t>,</w:t>
      </w:r>
      <w:r w:rsidRPr="00DD41E8">
        <w:rPr>
          <w:rFonts w:ascii="Times New Roman" w:hAnsi="Times New Roman" w:cs="David" w:hint="cs"/>
          <w:rtl/>
        </w:rPr>
        <w:t xml:space="preserve"> איחדנו את ענפי התעשייה והשירותים המייצאים.</w:t>
      </w:r>
    </w:p>
  </w:footnote>
  <w:footnote w:id="8">
    <w:p w:rsidR="007C102D" w:rsidRPr="00DD41E8" w:rsidRDefault="007C102D" w:rsidP="00E87236">
      <w:pPr>
        <w:pStyle w:val="a3"/>
        <w:jc w:val="both"/>
        <w:rPr>
          <w:rFonts w:ascii="Times New Roman" w:hAnsi="Times New Roman" w:cs="David"/>
          <w:rtl/>
        </w:rPr>
      </w:pPr>
      <w:r w:rsidRPr="00DD41E8">
        <w:rPr>
          <w:rStyle w:val="a5"/>
          <w:rFonts w:ascii="Times New Roman" w:hAnsi="Times New Roman" w:cs="David"/>
        </w:rPr>
        <w:footnoteRef/>
      </w:r>
      <w:r w:rsidRPr="00DD41E8">
        <w:rPr>
          <w:rFonts w:ascii="Times New Roman" w:hAnsi="Times New Roman" w:cs="David"/>
          <w:rtl/>
        </w:rPr>
        <w:t xml:space="preserve"> </w:t>
      </w:r>
      <w:r w:rsidRPr="00DD41E8">
        <w:rPr>
          <w:rFonts w:ascii="Times New Roman" w:hAnsi="Times New Roman" w:cs="David" w:hint="cs"/>
          <w:rtl/>
        </w:rPr>
        <w:t xml:space="preserve">לשם כך אנו בוחנים את ההסתברויות לעבור </w:t>
      </w:r>
      <w:r>
        <w:rPr>
          <w:rFonts w:ascii="Times New Roman" w:hAnsi="Times New Roman" w:cs="David" w:hint="cs"/>
          <w:rtl/>
        </w:rPr>
        <w:t>מ</w:t>
      </w:r>
      <w:r w:rsidRPr="00DD41E8">
        <w:rPr>
          <w:rFonts w:ascii="Times New Roman" w:hAnsi="Times New Roman" w:cs="David" w:hint="cs"/>
          <w:rtl/>
        </w:rPr>
        <w:t xml:space="preserve">תעסוקה </w:t>
      </w:r>
      <w:r>
        <w:rPr>
          <w:rFonts w:ascii="Times New Roman" w:hAnsi="Times New Roman" w:cs="David" w:hint="cs"/>
          <w:rtl/>
        </w:rPr>
        <w:t>לתעסוקה/ ל</w:t>
      </w:r>
      <w:r w:rsidRPr="00DD41E8">
        <w:rPr>
          <w:rFonts w:ascii="Times New Roman" w:hAnsi="Times New Roman" w:cs="David" w:hint="cs"/>
          <w:rtl/>
        </w:rPr>
        <w:t xml:space="preserve">אבטלה, בהתבסס על </w:t>
      </w:r>
      <w:r w:rsidRPr="002C2A41">
        <w:rPr>
          <w:rFonts w:ascii="Times New Roman" w:hAnsi="Times New Roman" w:cs="David" w:hint="cs"/>
          <w:rtl/>
        </w:rPr>
        <w:t>פנל</w:t>
      </w:r>
      <w:r w:rsidRPr="002C2A41">
        <w:rPr>
          <w:rFonts w:ascii="Times New Roman" w:hAnsi="Times New Roman" w:cs="David"/>
          <w:rtl/>
        </w:rPr>
        <w:t xml:space="preserve"> </w:t>
      </w:r>
      <w:r w:rsidRPr="002C2A41">
        <w:rPr>
          <w:rFonts w:ascii="Times New Roman" w:hAnsi="Times New Roman" w:cs="David" w:hint="cs"/>
          <w:rtl/>
        </w:rPr>
        <w:t>של</w:t>
      </w:r>
      <w:r w:rsidRPr="002C2A41">
        <w:rPr>
          <w:rFonts w:ascii="Times New Roman" w:hAnsi="Times New Roman" w:cs="David"/>
          <w:rtl/>
        </w:rPr>
        <w:t xml:space="preserve"> </w:t>
      </w:r>
      <w:r w:rsidRPr="002C2A41">
        <w:rPr>
          <w:rFonts w:ascii="Times New Roman" w:hAnsi="Times New Roman" w:cs="David" w:hint="cs"/>
          <w:rtl/>
        </w:rPr>
        <w:t>סקרי</w:t>
      </w:r>
      <w:r w:rsidRPr="002C2A41">
        <w:rPr>
          <w:rFonts w:ascii="Times New Roman" w:hAnsi="Times New Roman" w:cs="David"/>
          <w:rtl/>
        </w:rPr>
        <w:t xml:space="preserve"> כוח אדם </w:t>
      </w:r>
      <w:r w:rsidRPr="00DD41E8">
        <w:rPr>
          <w:rFonts w:ascii="Times New Roman" w:hAnsi="Times New Roman" w:cs="David" w:hint="cs"/>
          <w:rtl/>
        </w:rPr>
        <w:t>לשנים 1996</w:t>
      </w:r>
      <w:r w:rsidRPr="00DD41E8">
        <w:rPr>
          <w:rFonts w:ascii="Times New Roman" w:hAnsi="Times New Roman" w:cs="David"/>
          <w:rtl/>
        </w:rPr>
        <w:t>—</w:t>
      </w:r>
      <w:r w:rsidRPr="00DD41E8">
        <w:rPr>
          <w:rFonts w:ascii="Times New Roman" w:hAnsi="Times New Roman" w:cs="David" w:hint="cs"/>
          <w:rtl/>
        </w:rPr>
        <w:t xml:space="preserve">2011. אנו מנצלים את העובדה </w:t>
      </w:r>
      <w:r>
        <w:rPr>
          <w:rFonts w:ascii="Times New Roman" w:hAnsi="Times New Roman" w:cs="David" w:hint="cs"/>
          <w:rtl/>
        </w:rPr>
        <w:t>ש</w:t>
      </w:r>
      <w:r w:rsidRPr="00DD41E8">
        <w:rPr>
          <w:rFonts w:ascii="Times New Roman" w:hAnsi="Times New Roman" w:cs="David" w:hint="cs"/>
          <w:rtl/>
        </w:rPr>
        <w:t xml:space="preserve">פרטים מופיעים בסקר בשני </w:t>
      </w:r>
      <w:r>
        <w:rPr>
          <w:rFonts w:ascii="Times New Roman" w:hAnsi="Times New Roman" w:cs="David" w:hint="cs"/>
          <w:rtl/>
        </w:rPr>
        <w:t>רבעונים</w:t>
      </w:r>
      <w:r w:rsidRPr="00DD41E8">
        <w:rPr>
          <w:rFonts w:ascii="Times New Roman" w:hAnsi="Times New Roman" w:cs="David" w:hint="cs"/>
          <w:rtl/>
        </w:rPr>
        <w:t xml:space="preserve"> עוקבים. </w:t>
      </w:r>
      <w:r>
        <w:rPr>
          <w:rFonts w:ascii="Times New Roman" w:hAnsi="Times New Roman" w:cs="David" w:hint="cs"/>
          <w:rtl/>
        </w:rPr>
        <w:t>ה</w:t>
      </w:r>
      <w:r w:rsidRPr="00DD41E8">
        <w:rPr>
          <w:rFonts w:ascii="Times New Roman" w:hAnsi="Times New Roman" w:cs="David" w:hint="cs"/>
          <w:rtl/>
        </w:rPr>
        <w:t>השתייכות לענף הכלכלי נבדקת בפקידה הראשונה. כדי לנטרל השפעות של קבוצות שוליות בשוק העבודה מיקדנו את הניתוח בבני 25</w:t>
      </w:r>
      <w:r w:rsidRPr="00DD41E8">
        <w:rPr>
          <w:rFonts w:ascii="Times New Roman" w:hAnsi="Times New Roman" w:cs="David"/>
          <w:rtl/>
        </w:rPr>
        <w:t>—</w:t>
      </w:r>
      <w:r w:rsidRPr="00DD41E8">
        <w:rPr>
          <w:rFonts w:ascii="Times New Roman" w:hAnsi="Times New Roman" w:cs="David" w:hint="cs"/>
          <w:rtl/>
        </w:rPr>
        <w:t>64.</w:t>
      </w:r>
    </w:p>
  </w:footnote>
  <w:footnote w:id="9">
    <w:p w:rsidR="007C102D" w:rsidRPr="00A57F1E" w:rsidRDefault="007C102D" w:rsidP="00E87236">
      <w:pPr>
        <w:pStyle w:val="a3"/>
        <w:jc w:val="both"/>
        <w:rPr>
          <w:rFonts w:cs="David"/>
          <w:rtl/>
        </w:rPr>
      </w:pPr>
      <w:r>
        <w:rPr>
          <w:rStyle w:val="a5"/>
        </w:rPr>
        <w:footnoteRef/>
      </w:r>
      <w:r>
        <w:rPr>
          <w:rtl/>
        </w:rPr>
        <w:t xml:space="preserve"> </w:t>
      </w:r>
      <w:r w:rsidRPr="00A57F1E">
        <w:rPr>
          <w:rFonts w:cs="David" w:hint="cs"/>
          <w:rtl/>
        </w:rPr>
        <w:t>באופן</w:t>
      </w:r>
      <w:r w:rsidRPr="00A57F1E">
        <w:rPr>
          <w:rFonts w:cs="David"/>
          <w:rtl/>
        </w:rPr>
        <w:t xml:space="preserve"> </w:t>
      </w:r>
      <w:r w:rsidRPr="00A57F1E">
        <w:rPr>
          <w:rFonts w:cs="David" w:hint="cs"/>
          <w:rtl/>
        </w:rPr>
        <w:t>כללי</w:t>
      </w:r>
      <w:r w:rsidRPr="00A57F1E">
        <w:rPr>
          <w:rFonts w:cs="David"/>
          <w:rtl/>
        </w:rPr>
        <w:t xml:space="preserve">, </w:t>
      </w:r>
      <w:r w:rsidRPr="00A57F1E">
        <w:rPr>
          <w:rFonts w:cs="David" w:hint="cs"/>
          <w:rtl/>
        </w:rPr>
        <w:t>שיעור</w:t>
      </w:r>
      <w:r w:rsidRPr="00A57F1E">
        <w:rPr>
          <w:rFonts w:cs="David"/>
          <w:rtl/>
        </w:rPr>
        <w:t xml:space="preserve"> </w:t>
      </w:r>
      <w:r w:rsidRPr="00A57F1E">
        <w:rPr>
          <w:rFonts w:cs="David" w:hint="cs"/>
          <w:rtl/>
        </w:rPr>
        <w:t>האבטלה</w:t>
      </w:r>
      <w:r w:rsidRPr="00A57F1E">
        <w:rPr>
          <w:rFonts w:cs="David"/>
          <w:rtl/>
        </w:rPr>
        <w:t xml:space="preserve"> </w:t>
      </w:r>
      <w:r w:rsidRPr="00A57F1E">
        <w:rPr>
          <w:rFonts w:cs="David" w:hint="cs"/>
          <w:rtl/>
        </w:rPr>
        <w:t>יורד</w:t>
      </w:r>
      <w:r w:rsidRPr="00A57F1E">
        <w:rPr>
          <w:rFonts w:cs="David"/>
          <w:rtl/>
        </w:rPr>
        <w:t xml:space="preserve"> </w:t>
      </w:r>
      <w:r w:rsidRPr="00A57F1E">
        <w:rPr>
          <w:rFonts w:cs="David" w:hint="cs"/>
          <w:rtl/>
        </w:rPr>
        <w:t>עם</w:t>
      </w:r>
      <w:r w:rsidRPr="00A57F1E">
        <w:rPr>
          <w:rFonts w:cs="David"/>
          <w:rtl/>
        </w:rPr>
        <w:t xml:space="preserve"> </w:t>
      </w:r>
      <w:r w:rsidRPr="00A57F1E">
        <w:rPr>
          <w:rFonts w:cs="David" w:hint="cs"/>
          <w:rtl/>
        </w:rPr>
        <w:t>עלייה</w:t>
      </w:r>
      <w:r w:rsidRPr="00A57F1E">
        <w:rPr>
          <w:rFonts w:cs="David"/>
          <w:rtl/>
        </w:rPr>
        <w:t xml:space="preserve"> </w:t>
      </w:r>
      <w:r w:rsidRPr="00A57F1E">
        <w:rPr>
          <w:rFonts w:cs="David" w:hint="cs"/>
          <w:rtl/>
        </w:rPr>
        <w:t>ברמת</w:t>
      </w:r>
      <w:r w:rsidRPr="00A57F1E">
        <w:rPr>
          <w:rFonts w:cs="David"/>
          <w:rtl/>
        </w:rPr>
        <w:t xml:space="preserve"> </w:t>
      </w:r>
      <w:r w:rsidRPr="00A57F1E">
        <w:rPr>
          <w:rFonts w:cs="David" w:hint="cs"/>
          <w:rtl/>
        </w:rPr>
        <w:t>ההשכלה</w:t>
      </w:r>
      <w:r>
        <w:rPr>
          <w:rFonts w:cs="David" w:hint="cs"/>
          <w:rtl/>
        </w:rPr>
        <w:t>,</w:t>
      </w:r>
      <w:r w:rsidRPr="00A57F1E">
        <w:rPr>
          <w:rFonts w:cs="David"/>
          <w:rtl/>
        </w:rPr>
        <w:t xml:space="preserve"> </w:t>
      </w:r>
      <w:r>
        <w:rPr>
          <w:rFonts w:cs="David" w:hint="cs"/>
          <w:rtl/>
        </w:rPr>
        <w:t>ובדרך כלל</w:t>
      </w:r>
      <w:r w:rsidRPr="00A57F1E">
        <w:rPr>
          <w:rFonts w:cs="David"/>
          <w:rtl/>
        </w:rPr>
        <w:t xml:space="preserve"> </w:t>
      </w:r>
      <w:r w:rsidRPr="00A57F1E">
        <w:rPr>
          <w:rFonts w:cs="David" w:hint="cs"/>
          <w:rtl/>
        </w:rPr>
        <w:t>שיעור</w:t>
      </w:r>
      <w:r w:rsidRPr="00A57F1E">
        <w:rPr>
          <w:rFonts w:cs="David"/>
          <w:rtl/>
        </w:rPr>
        <w:t xml:space="preserve"> </w:t>
      </w:r>
      <w:r w:rsidRPr="00A57F1E">
        <w:rPr>
          <w:rFonts w:cs="David" w:hint="cs"/>
          <w:rtl/>
        </w:rPr>
        <w:t>האבטלה</w:t>
      </w:r>
      <w:r w:rsidRPr="00A57F1E">
        <w:rPr>
          <w:rFonts w:cs="David"/>
          <w:rtl/>
        </w:rPr>
        <w:t xml:space="preserve"> </w:t>
      </w:r>
      <w:r w:rsidRPr="00A57F1E">
        <w:rPr>
          <w:rFonts w:cs="David" w:hint="cs"/>
          <w:rtl/>
        </w:rPr>
        <w:t>בקרב</w:t>
      </w:r>
      <w:r w:rsidRPr="00A57F1E">
        <w:rPr>
          <w:rFonts w:cs="David"/>
          <w:rtl/>
        </w:rPr>
        <w:t xml:space="preserve"> </w:t>
      </w:r>
      <w:r w:rsidRPr="00A57F1E">
        <w:rPr>
          <w:rFonts w:cs="David" w:hint="cs"/>
          <w:rtl/>
        </w:rPr>
        <w:t>המשכילים</w:t>
      </w:r>
      <w:r w:rsidRPr="00A57F1E">
        <w:rPr>
          <w:rFonts w:cs="David"/>
          <w:rtl/>
        </w:rPr>
        <w:t xml:space="preserve"> </w:t>
      </w:r>
      <w:r w:rsidRPr="00A57F1E">
        <w:rPr>
          <w:rFonts w:cs="David" w:hint="cs"/>
          <w:rtl/>
        </w:rPr>
        <w:t>נמוך</w:t>
      </w:r>
      <w:r w:rsidRPr="00A57F1E">
        <w:rPr>
          <w:rFonts w:cs="David"/>
          <w:rtl/>
        </w:rPr>
        <w:t xml:space="preserve"> </w:t>
      </w:r>
      <w:r>
        <w:rPr>
          <w:rFonts w:cs="David" w:hint="cs"/>
          <w:rtl/>
        </w:rPr>
        <w:t>מהשיעור בקרב</w:t>
      </w:r>
      <w:r w:rsidRPr="00A57F1E">
        <w:rPr>
          <w:rFonts w:cs="David"/>
          <w:rtl/>
        </w:rPr>
        <w:t xml:space="preserve"> </w:t>
      </w:r>
      <w:r w:rsidRPr="00A57F1E">
        <w:rPr>
          <w:rFonts w:cs="David" w:hint="cs"/>
          <w:rtl/>
        </w:rPr>
        <w:t>הלא</w:t>
      </w:r>
      <w:r w:rsidRPr="00A57F1E">
        <w:rPr>
          <w:rFonts w:cs="David"/>
          <w:rtl/>
        </w:rPr>
        <w:t xml:space="preserve"> </w:t>
      </w:r>
      <w:r w:rsidRPr="00A57F1E">
        <w:rPr>
          <w:rFonts w:cs="David" w:hint="cs"/>
          <w:rtl/>
        </w:rPr>
        <w:t>משכילים</w:t>
      </w:r>
      <w:r w:rsidRPr="00A57F1E">
        <w:rPr>
          <w:rFonts w:cs="David"/>
          <w:rtl/>
        </w:rPr>
        <w:t xml:space="preserve">. </w:t>
      </w:r>
      <w:r w:rsidRPr="00A57F1E">
        <w:rPr>
          <w:rFonts w:cs="David" w:hint="cs"/>
          <w:rtl/>
        </w:rPr>
        <w:t>שיעור</w:t>
      </w:r>
      <w:r w:rsidRPr="00A57F1E">
        <w:rPr>
          <w:rFonts w:cs="David"/>
          <w:rtl/>
        </w:rPr>
        <w:t xml:space="preserve"> </w:t>
      </w:r>
      <w:r w:rsidRPr="00A57F1E">
        <w:rPr>
          <w:rFonts w:cs="David" w:hint="cs"/>
          <w:rtl/>
        </w:rPr>
        <w:t>האבטלה</w:t>
      </w:r>
      <w:r w:rsidRPr="00A57F1E">
        <w:rPr>
          <w:rFonts w:cs="David"/>
          <w:rtl/>
        </w:rPr>
        <w:t xml:space="preserve"> </w:t>
      </w:r>
      <w:r w:rsidRPr="00A57F1E">
        <w:rPr>
          <w:rFonts w:cs="David" w:hint="cs"/>
          <w:rtl/>
        </w:rPr>
        <w:t>של</w:t>
      </w:r>
      <w:r w:rsidRPr="00A57F1E">
        <w:rPr>
          <w:rFonts w:cs="David"/>
          <w:rtl/>
        </w:rPr>
        <w:t xml:space="preserve"> </w:t>
      </w:r>
      <w:r w:rsidRPr="00A57F1E">
        <w:rPr>
          <w:rFonts w:cs="David" w:hint="cs"/>
          <w:rtl/>
        </w:rPr>
        <w:t>בעלי</w:t>
      </w:r>
      <w:r w:rsidRPr="00A57F1E">
        <w:rPr>
          <w:rFonts w:cs="David"/>
          <w:rtl/>
        </w:rPr>
        <w:t xml:space="preserve"> 16 </w:t>
      </w:r>
      <w:r w:rsidRPr="00A57F1E">
        <w:rPr>
          <w:rFonts w:cs="David" w:hint="cs"/>
          <w:rtl/>
        </w:rPr>
        <w:t>שנות</w:t>
      </w:r>
      <w:r w:rsidRPr="00A57F1E">
        <w:rPr>
          <w:rFonts w:cs="David"/>
          <w:rtl/>
        </w:rPr>
        <w:t xml:space="preserve"> </w:t>
      </w:r>
      <w:r w:rsidRPr="00A57F1E">
        <w:rPr>
          <w:rFonts w:cs="David" w:hint="cs"/>
          <w:rtl/>
        </w:rPr>
        <w:t>לימוד</w:t>
      </w:r>
      <w:r w:rsidRPr="00A57F1E">
        <w:rPr>
          <w:rFonts w:cs="David"/>
          <w:rtl/>
        </w:rPr>
        <w:t xml:space="preserve"> </w:t>
      </w:r>
      <w:r>
        <w:rPr>
          <w:rFonts w:cs="David" w:hint="cs"/>
          <w:rtl/>
        </w:rPr>
        <w:t>ומעלה עמד ב-2013 על</w:t>
      </w:r>
      <w:r w:rsidRPr="00A57F1E">
        <w:rPr>
          <w:rFonts w:cs="David"/>
          <w:rtl/>
        </w:rPr>
        <w:t xml:space="preserve"> 4.2% </w:t>
      </w:r>
      <w:r w:rsidRPr="00A57F1E">
        <w:rPr>
          <w:rFonts w:cs="David" w:hint="cs"/>
          <w:rtl/>
        </w:rPr>
        <w:t>בלבד</w:t>
      </w:r>
      <w:r>
        <w:rPr>
          <w:rFonts w:cs="David" w:hint="cs"/>
          <w:rtl/>
        </w:rPr>
        <w:t>,</w:t>
      </w:r>
      <w:r w:rsidRPr="00A57F1E">
        <w:rPr>
          <w:rFonts w:cs="David"/>
          <w:rtl/>
        </w:rPr>
        <w:t xml:space="preserve"> </w:t>
      </w:r>
      <w:r>
        <w:rPr>
          <w:rFonts w:cs="David" w:hint="cs"/>
          <w:rtl/>
        </w:rPr>
        <w:t>בשעה</w:t>
      </w:r>
      <w:r w:rsidRPr="00A57F1E">
        <w:rPr>
          <w:rFonts w:cs="David"/>
          <w:rtl/>
        </w:rPr>
        <w:t xml:space="preserve"> </w:t>
      </w:r>
      <w:r w:rsidRPr="00A57F1E">
        <w:rPr>
          <w:rFonts w:cs="David" w:hint="cs"/>
          <w:rtl/>
        </w:rPr>
        <w:t>ששיעור</w:t>
      </w:r>
      <w:r w:rsidRPr="00A57F1E">
        <w:rPr>
          <w:rFonts w:cs="David"/>
          <w:rtl/>
        </w:rPr>
        <w:t xml:space="preserve"> </w:t>
      </w:r>
      <w:r w:rsidRPr="00A57F1E">
        <w:rPr>
          <w:rFonts w:cs="David" w:hint="cs"/>
          <w:rtl/>
        </w:rPr>
        <w:t>האבטלה</w:t>
      </w:r>
      <w:r w:rsidRPr="00A57F1E">
        <w:rPr>
          <w:rFonts w:cs="David"/>
          <w:rtl/>
        </w:rPr>
        <w:t xml:space="preserve"> </w:t>
      </w:r>
      <w:r w:rsidRPr="00A57F1E">
        <w:rPr>
          <w:rFonts w:cs="David" w:hint="cs"/>
          <w:rtl/>
        </w:rPr>
        <w:t>של</w:t>
      </w:r>
      <w:r w:rsidRPr="00A57F1E">
        <w:rPr>
          <w:rFonts w:cs="David"/>
          <w:rtl/>
        </w:rPr>
        <w:t xml:space="preserve"> </w:t>
      </w:r>
      <w:r w:rsidRPr="00A57F1E">
        <w:rPr>
          <w:rFonts w:cs="David" w:hint="cs"/>
          <w:rtl/>
        </w:rPr>
        <w:t>בעלי</w:t>
      </w:r>
      <w:r w:rsidRPr="00A57F1E">
        <w:rPr>
          <w:rFonts w:cs="David"/>
          <w:rtl/>
        </w:rPr>
        <w:t xml:space="preserve"> 11—12 </w:t>
      </w:r>
      <w:r w:rsidRPr="00A57F1E">
        <w:rPr>
          <w:rFonts w:cs="David" w:hint="cs"/>
          <w:rtl/>
        </w:rPr>
        <w:t>שנות</w:t>
      </w:r>
      <w:r w:rsidRPr="00A57F1E">
        <w:rPr>
          <w:rFonts w:cs="David"/>
          <w:rtl/>
        </w:rPr>
        <w:t xml:space="preserve"> </w:t>
      </w:r>
      <w:r w:rsidRPr="00A57F1E">
        <w:rPr>
          <w:rFonts w:cs="David" w:hint="cs"/>
          <w:rtl/>
        </w:rPr>
        <w:t>לימוד</w:t>
      </w:r>
      <w:r w:rsidRPr="00A57F1E">
        <w:rPr>
          <w:rFonts w:cs="David"/>
          <w:rtl/>
        </w:rPr>
        <w:t xml:space="preserve"> </w:t>
      </w:r>
      <w:r>
        <w:rPr>
          <w:rFonts w:cs="David" w:hint="cs"/>
          <w:rtl/>
        </w:rPr>
        <w:t>עמד על</w:t>
      </w:r>
      <w:r w:rsidRPr="00A57F1E">
        <w:rPr>
          <w:rFonts w:cs="David"/>
          <w:rtl/>
        </w:rPr>
        <w:t xml:space="preserve"> 7.4%.</w:t>
      </w:r>
    </w:p>
  </w:footnote>
  <w:footnote w:id="10">
    <w:p w:rsidR="007C102D" w:rsidRPr="00DD41E8" w:rsidRDefault="007C102D" w:rsidP="00E87236">
      <w:pPr>
        <w:pStyle w:val="a3"/>
        <w:jc w:val="both"/>
        <w:rPr>
          <w:rFonts w:ascii="Times New Roman" w:hAnsi="Times New Roman" w:cs="David"/>
          <w:rtl/>
        </w:rPr>
      </w:pPr>
      <w:r w:rsidRPr="00DD41E8">
        <w:rPr>
          <w:rStyle w:val="a5"/>
          <w:rFonts w:ascii="Times New Roman" w:hAnsi="Times New Roman"/>
        </w:rPr>
        <w:footnoteRef/>
      </w:r>
      <w:r w:rsidRPr="00DD41E8">
        <w:rPr>
          <w:rFonts w:ascii="Times New Roman" w:hAnsi="Times New Roman"/>
          <w:rtl/>
        </w:rPr>
        <w:t xml:space="preserve"> </w:t>
      </w:r>
      <w:r w:rsidRPr="00DD41E8">
        <w:rPr>
          <w:rFonts w:ascii="Times New Roman" w:hAnsi="Times New Roman" w:cs="David" w:hint="cs"/>
          <w:rtl/>
        </w:rPr>
        <w:t>נוסף על כך הרגרסיות כוללות משתני דמי לשנים וכן אינטראקציות של שנות המשבר האחרון, 2008 ו-2009, עם תעסוקה בענפי היצוא.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2E27"/>
    <w:multiLevelType w:val="hybridMultilevel"/>
    <w:tmpl w:val="6B0E8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2D"/>
    <w:rsid w:val="000969CE"/>
    <w:rsid w:val="00182754"/>
    <w:rsid w:val="002C06C2"/>
    <w:rsid w:val="00384854"/>
    <w:rsid w:val="007433D6"/>
    <w:rsid w:val="007C102D"/>
    <w:rsid w:val="007D66DA"/>
    <w:rsid w:val="00822857"/>
    <w:rsid w:val="0090160A"/>
    <w:rsid w:val="009E5DB2"/>
    <w:rsid w:val="00A67123"/>
    <w:rsid w:val="00AB5B01"/>
    <w:rsid w:val="00AD21A2"/>
    <w:rsid w:val="00AD505A"/>
    <w:rsid w:val="00B27EF6"/>
    <w:rsid w:val="00B36EF2"/>
    <w:rsid w:val="00CA6B66"/>
    <w:rsid w:val="00D67E9F"/>
    <w:rsid w:val="00D85DDA"/>
    <w:rsid w:val="00E25CF5"/>
    <w:rsid w:val="00E32ADB"/>
    <w:rsid w:val="00E87236"/>
    <w:rsid w:val="00FB486D"/>
    <w:rsid w:val="00FC5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C102D"/>
    <w:pPr>
      <w:spacing w:after="0" w:line="240" w:lineRule="auto"/>
    </w:pPr>
    <w:rPr>
      <w:sz w:val="20"/>
      <w:szCs w:val="20"/>
    </w:rPr>
  </w:style>
  <w:style w:type="character" w:customStyle="1" w:styleId="a4">
    <w:name w:val="טקסט הערת שוליים תו"/>
    <w:basedOn w:val="a0"/>
    <w:link w:val="a3"/>
    <w:uiPriority w:val="99"/>
    <w:semiHidden/>
    <w:rsid w:val="007C102D"/>
    <w:rPr>
      <w:sz w:val="20"/>
      <w:szCs w:val="20"/>
    </w:rPr>
  </w:style>
  <w:style w:type="character" w:styleId="a5">
    <w:name w:val="footnote reference"/>
    <w:basedOn w:val="a0"/>
    <w:semiHidden/>
    <w:unhideWhenUsed/>
    <w:rsid w:val="007C102D"/>
    <w:rPr>
      <w:vertAlign w:val="superscript"/>
    </w:rPr>
  </w:style>
  <w:style w:type="table" w:styleId="a6">
    <w:name w:val="Table Grid"/>
    <w:basedOn w:val="a1"/>
    <w:uiPriority w:val="59"/>
    <w:rsid w:val="007C1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102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C102D"/>
    <w:rPr>
      <w:rFonts w:ascii="Tahoma" w:hAnsi="Tahoma" w:cs="Tahoma"/>
      <w:sz w:val="16"/>
      <w:szCs w:val="16"/>
    </w:rPr>
  </w:style>
  <w:style w:type="character" w:styleId="a9">
    <w:name w:val="annotation reference"/>
    <w:basedOn w:val="a0"/>
    <w:uiPriority w:val="99"/>
    <w:semiHidden/>
    <w:unhideWhenUsed/>
    <w:rsid w:val="00E32ADB"/>
    <w:rPr>
      <w:sz w:val="16"/>
      <w:szCs w:val="16"/>
    </w:rPr>
  </w:style>
  <w:style w:type="paragraph" w:styleId="aa">
    <w:name w:val="annotation text"/>
    <w:basedOn w:val="a"/>
    <w:link w:val="ab"/>
    <w:uiPriority w:val="99"/>
    <w:semiHidden/>
    <w:unhideWhenUsed/>
    <w:rsid w:val="00E32ADB"/>
    <w:pPr>
      <w:spacing w:line="240" w:lineRule="auto"/>
    </w:pPr>
    <w:rPr>
      <w:sz w:val="20"/>
      <w:szCs w:val="20"/>
    </w:rPr>
  </w:style>
  <w:style w:type="character" w:customStyle="1" w:styleId="ab">
    <w:name w:val="טקסט הערה תו"/>
    <w:basedOn w:val="a0"/>
    <w:link w:val="aa"/>
    <w:uiPriority w:val="99"/>
    <w:semiHidden/>
    <w:rsid w:val="00E32ADB"/>
    <w:rPr>
      <w:sz w:val="20"/>
      <w:szCs w:val="20"/>
    </w:rPr>
  </w:style>
  <w:style w:type="paragraph" w:styleId="ac">
    <w:name w:val="annotation subject"/>
    <w:basedOn w:val="aa"/>
    <w:next w:val="aa"/>
    <w:link w:val="ad"/>
    <w:uiPriority w:val="99"/>
    <w:semiHidden/>
    <w:unhideWhenUsed/>
    <w:rsid w:val="00E32ADB"/>
    <w:rPr>
      <w:b/>
      <w:bCs/>
    </w:rPr>
  </w:style>
  <w:style w:type="character" w:customStyle="1" w:styleId="ad">
    <w:name w:val="נושא הערה תו"/>
    <w:basedOn w:val="ab"/>
    <w:link w:val="ac"/>
    <w:uiPriority w:val="99"/>
    <w:semiHidden/>
    <w:rsid w:val="00E32ADB"/>
    <w:rPr>
      <w:b/>
      <w:bCs/>
      <w:sz w:val="20"/>
      <w:szCs w:val="20"/>
    </w:rPr>
  </w:style>
  <w:style w:type="paragraph" w:styleId="ae">
    <w:name w:val="header"/>
    <w:basedOn w:val="a"/>
    <w:link w:val="af"/>
    <w:uiPriority w:val="99"/>
    <w:unhideWhenUsed/>
    <w:rsid w:val="00AD21A2"/>
    <w:pPr>
      <w:tabs>
        <w:tab w:val="center" w:pos="4153"/>
        <w:tab w:val="right" w:pos="8306"/>
      </w:tabs>
      <w:spacing w:after="0" w:line="240" w:lineRule="auto"/>
    </w:pPr>
  </w:style>
  <w:style w:type="character" w:customStyle="1" w:styleId="af">
    <w:name w:val="כותרת עליונה תו"/>
    <w:basedOn w:val="a0"/>
    <w:link w:val="ae"/>
    <w:uiPriority w:val="99"/>
    <w:rsid w:val="00AD21A2"/>
  </w:style>
  <w:style w:type="paragraph" w:styleId="af0">
    <w:name w:val="footer"/>
    <w:basedOn w:val="a"/>
    <w:link w:val="af1"/>
    <w:uiPriority w:val="99"/>
    <w:unhideWhenUsed/>
    <w:rsid w:val="00AD21A2"/>
    <w:pPr>
      <w:tabs>
        <w:tab w:val="center" w:pos="4153"/>
        <w:tab w:val="right" w:pos="8306"/>
      </w:tabs>
      <w:spacing w:after="0" w:line="240" w:lineRule="auto"/>
    </w:pPr>
  </w:style>
  <w:style w:type="character" w:customStyle="1" w:styleId="af1">
    <w:name w:val="כותרת תחתונה תו"/>
    <w:basedOn w:val="a0"/>
    <w:link w:val="af0"/>
    <w:uiPriority w:val="99"/>
    <w:rsid w:val="00AD2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C102D"/>
    <w:pPr>
      <w:spacing w:after="0" w:line="240" w:lineRule="auto"/>
    </w:pPr>
    <w:rPr>
      <w:sz w:val="20"/>
      <w:szCs w:val="20"/>
    </w:rPr>
  </w:style>
  <w:style w:type="character" w:customStyle="1" w:styleId="a4">
    <w:name w:val="טקסט הערת שוליים תו"/>
    <w:basedOn w:val="a0"/>
    <w:link w:val="a3"/>
    <w:uiPriority w:val="99"/>
    <w:semiHidden/>
    <w:rsid w:val="007C102D"/>
    <w:rPr>
      <w:sz w:val="20"/>
      <w:szCs w:val="20"/>
    </w:rPr>
  </w:style>
  <w:style w:type="character" w:styleId="a5">
    <w:name w:val="footnote reference"/>
    <w:basedOn w:val="a0"/>
    <w:semiHidden/>
    <w:unhideWhenUsed/>
    <w:rsid w:val="007C102D"/>
    <w:rPr>
      <w:vertAlign w:val="superscript"/>
    </w:rPr>
  </w:style>
  <w:style w:type="table" w:styleId="a6">
    <w:name w:val="Table Grid"/>
    <w:basedOn w:val="a1"/>
    <w:uiPriority w:val="59"/>
    <w:rsid w:val="007C1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102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C102D"/>
    <w:rPr>
      <w:rFonts w:ascii="Tahoma" w:hAnsi="Tahoma" w:cs="Tahoma"/>
      <w:sz w:val="16"/>
      <w:szCs w:val="16"/>
    </w:rPr>
  </w:style>
  <w:style w:type="character" w:styleId="a9">
    <w:name w:val="annotation reference"/>
    <w:basedOn w:val="a0"/>
    <w:uiPriority w:val="99"/>
    <w:semiHidden/>
    <w:unhideWhenUsed/>
    <w:rsid w:val="00E32ADB"/>
    <w:rPr>
      <w:sz w:val="16"/>
      <w:szCs w:val="16"/>
    </w:rPr>
  </w:style>
  <w:style w:type="paragraph" w:styleId="aa">
    <w:name w:val="annotation text"/>
    <w:basedOn w:val="a"/>
    <w:link w:val="ab"/>
    <w:uiPriority w:val="99"/>
    <w:semiHidden/>
    <w:unhideWhenUsed/>
    <w:rsid w:val="00E32ADB"/>
    <w:pPr>
      <w:spacing w:line="240" w:lineRule="auto"/>
    </w:pPr>
    <w:rPr>
      <w:sz w:val="20"/>
      <w:szCs w:val="20"/>
    </w:rPr>
  </w:style>
  <w:style w:type="character" w:customStyle="1" w:styleId="ab">
    <w:name w:val="טקסט הערה תו"/>
    <w:basedOn w:val="a0"/>
    <w:link w:val="aa"/>
    <w:uiPriority w:val="99"/>
    <w:semiHidden/>
    <w:rsid w:val="00E32ADB"/>
    <w:rPr>
      <w:sz w:val="20"/>
      <w:szCs w:val="20"/>
    </w:rPr>
  </w:style>
  <w:style w:type="paragraph" w:styleId="ac">
    <w:name w:val="annotation subject"/>
    <w:basedOn w:val="aa"/>
    <w:next w:val="aa"/>
    <w:link w:val="ad"/>
    <w:uiPriority w:val="99"/>
    <w:semiHidden/>
    <w:unhideWhenUsed/>
    <w:rsid w:val="00E32ADB"/>
    <w:rPr>
      <w:b/>
      <w:bCs/>
    </w:rPr>
  </w:style>
  <w:style w:type="character" w:customStyle="1" w:styleId="ad">
    <w:name w:val="נושא הערה תו"/>
    <w:basedOn w:val="ab"/>
    <w:link w:val="ac"/>
    <w:uiPriority w:val="99"/>
    <w:semiHidden/>
    <w:rsid w:val="00E32ADB"/>
    <w:rPr>
      <w:b/>
      <w:bCs/>
      <w:sz w:val="20"/>
      <w:szCs w:val="20"/>
    </w:rPr>
  </w:style>
  <w:style w:type="paragraph" w:styleId="ae">
    <w:name w:val="header"/>
    <w:basedOn w:val="a"/>
    <w:link w:val="af"/>
    <w:uiPriority w:val="99"/>
    <w:unhideWhenUsed/>
    <w:rsid w:val="00AD21A2"/>
    <w:pPr>
      <w:tabs>
        <w:tab w:val="center" w:pos="4153"/>
        <w:tab w:val="right" w:pos="8306"/>
      </w:tabs>
      <w:spacing w:after="0" w:line="240" w:lineRule="auto"/>
    </w:pPr>
  </w:style>
  <w:style w:type="character" w:customStyle="1" w:styleId="af">
    <w:name w:val="כותרת עליונה תו"/>
    <w:basedOn w:val="a0"/>
    <w:link w:val="ae"/>
    <w:uiPriority w:val="99"/>
    <w:rsid w:val="00AD21A2"/>
  </w:style>
  <w:style w:type="paragraph" w:styleId="af0">
    <w:name w:val="footer"/>
    <w:basedOn w:val="a"/>
    <w:link w:val="af1"/>
    <w:uiPriority w:val="99"/>
    <w:unhideWhenUsed/>
    <w:rsid w:val="00AD21A2"/>
    <w:pPr>
      <w:tabs>
        <w:tab w:val="center" w:pos="4153"/>
        <w:tab w:val="right" w:pos="8306"/>
      </w:tabs>
      <w:spacing w:after="0" w:line="240" w:lineRule="auto"/>
    </w:pPr>
  </w:style>
  <w:style w:type="character" w:customStyle="1" w:styleId="af1">
    <w:name w:val="כותרת תחתונה תו"/>
    <w:basedOn w:val="a0"/>
    <w:link w:val="af0"/>
    <w:uiPriority w:val="99"/>
    <w:rsid w:val="00AD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08EE5F0-3712-4547-B962-0455B3D273BB}"/>
</file>

<file path=customXml/itemProps2.xml><?xml version="1.0" encoding="utf-8"?>
<ds:datastoreItem xmlns:ds="http://schemas.openxmlformats.org/officeDocument/2006/customXml" ds:itemID="{F4062CFE-2EAD-43B6-87D3-78587BCEA921}"/>
</file>

<file path=customXml/itemProps3.xml><?xml version="1.0" encoding="utf-8"?>
<ds:datastoreItem xmlns:ds="http://schemas.openxmlformats.org/officeDocument/2006/customXml" ds:itemID="{E0F503DB-30DF-4FC1-82B2-4C6CB2B8AAA6}"/>
</file>

<file path=customXml/itemProps4.xml><?xml version="1.0" encoding="utf-8"?>
<ds:datastoreItem xmlns:ds="http://schemas.openxmlformats.org/officeDocument/2006/customXml" ds:itemID="{C51CCC46-C2D1-494A-8CF3-207D55E6CE65}"/>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6242</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2014-03-04T13:05:00Z</dcterms:created>
  <dcterms:modified xsi:type="dcterms:W3CDTF">2014-03-04T13:08:00Z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