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231483" w:rsidRPr="00DB1CBC" w:rsidTr="00802E8E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83" w:rsidRDefault="00231483" w:rsidP="00802E8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231483" w:rsidRDefault="00231483" w:rsidP="00802E8E">
            <w:pPr>
              <w:bidi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31483" w:rsidRDefault="00231483" w:rsidP="00802E8E">
            <w:pPr>
              <w:bidi/>
              <w:jc w:val="center"/>
            </w:pPr>
            <w:r>
              <w:rPr>
                <w:noProof/>
              </w:rPr>
              <w:drawing>
                <wp:inline distT="0" distB="0" distL="0" distR="0" wp14:anchorId="76E6DB45" wp14:editId="1176F089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483" w:rsidRDefault="00231483" w:rsidP="00802E8E">
            <w:pPr>
              <w:bidi/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>
              <w:rPr>
                <w:rFonts w:hint="cs"/>
                <w:rtl/>
              </w:rPr>
              <w:t>ירושלים, כ"ד באדר ב'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תשע"</w:t>
            </w:r>
            <w:r>
              <w:rPr>
                <w:rFonts w:hint="cs"/>
                <w:rtl/>
              </w:rPr>
              <w:t>ד</w:t>
            </w:r>
          </w:p>
          <w:p w:rsidR="00231483" w:rsidRPr="00DF107C" w:rsidRDefault="00231483" w:rsidP="00802E8E">
            <w:pPr>
              <w:bidi/>
              <w:spacing w:line="480" w:lineRule="auto"/>
              <w:jc w:val="right"/>
            </w:pPr>
            <w:r>
              <w:rPr>
                <w:rFonts w:hint="eastAsia"/>
                <w:rtl/>
              </w:rPr>
              <w:t>‏‏</w:t>
            </w:r>
            <w:r>
              <w:rPr>
                <w:rFonts w:hint="cs"/>
                <w:rtl/>
              </w:rPr>
              <w:t>26 במרץ 2014</w:t>
            </w:r>
          </w:p>
        </w:tc>
      </w:tr>
    </w:tbl>
    <w:p w:rsidR="00231483" w:rsidRDefault="00231483" w:rsidP="00231483">
      <w:pPr>
        <w:bidi/>
        <w:rPr>
          <w:rtl/>
        </w:rPr>
      </w:pPr>
    </w:p>
    <w:p w:rsidR="00231483" w:rsidRDefault="00231483" w:rsidP="00231483">
      <w:pPr>
        <w:bidi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3349B5" w:rsidRDefault="003349B5" w:rsidP="00F86D1F">
      <w:pPr>
        <w:bidi/>
        <w:jc w:val="left"/>
        <w:rPr>
          <w:rFonts w:ascii="Times New Roman" w:hAnsi="Times New Roman" w:hint="cs"/>
          <w:rtl/>
        </w:rPr>
      </w:pPr>
    </w:p>
    <w:p w:rsidR="00CB0B46" w:rsidRPr="003349B5" w:rsidRDefault="003349B5" w:rsidP="003349B5">
      <w:pPr>
        <w:bidi/>
        <w:jc w:val="left"/>
        <w:rPr>
          <w:rtl/>
        </w:rPr>
      </w:pPr>
      <w:r w:rsidRPr="003349B5">
        <w:rPr>
          <w:rFonts w:ascii="Times New Roman" w:hAnsi="Times New Roman" w:hint="cs"/>
          <w:rtl/>
        </w:rPr>
        <w:t>קטע מדוח בנק ישראל שיתפרסם בקרוב:</w:t>
      </w:r>
    </w:p>
    <w:p w:rsidR="00231483" w:rsidRPr="003349B5" w:rsidRDefault="00CB0B46" w:rsidP="00F86D1F">
      <w:pPr>
        <w:bidi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r w:rsidRPr="003349B5">
        <w:rPr>
          <w:rFonts w:ascii="Times New Roman" w:hAnsi="Times New Roman" w:hint="cs"/>
          <w:b/>
          <w:bCs/>
          <w:sz w:val="26"/>
          <w:szCs w:val="26"/>
          <w:rtl/>
        </w:rPr>
        <w:t xml:space="preserve">הפריון לעובד בענפים המוֹכרים לשוק המקומי ובענפים המייצאים: </w:t>
      </w:r>
    </w:p>
    <w:p w:rsidR="00CB0B46" w:rsidRPr="00231483" w:rsidRDefault="00CB0B46" w:rsidP="00231483">
      <w:pPr>
        <w:bidi/>
        <w:spacing w:after="240"/>
        <w:jc w:val="center"/>
        <w:rPr>
          <w:rFonts w:ascii="Times New Roman" w:hAnsi="Times New Roman"/>
          <w:b/>
          <w:bCs/>
          <w:u w:val="single"/>
          <w:rtl/>
        </w:rPr>
      </w:pPr>
      <w:r w:rsidRPr="003349B5">
        <w:rPr>
          <w:rFonts w:ascii="Times New Roman" w:hAnsi="Times New Roman" w:hint="cs"/>
          <w:b/>
          <w:bCs/>
          <w:sz w:val="26"/>
          <w:szCs w:val="26"/>
          <w:u w:val="single"/>
          <w:rtl/>
        </w:rPr>
        <w:t>ניתוח מנקודת מבט בין-לאומית</w:t>
      </w:r>
    </w:p>
    <w:p w:rsidR="00CB0B46" w:rsidRPr="002611D0" w:rsidRDefault="00CB0B46" w:rsidP="003349B5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 xml:space="preserve">הפריון לעובד </w:t>
      </w:r>
      <w:r w:rsidRPr="002611D0">
        <w:rPr>
          <w:rFonts w:ascii="Times New Roman" w:hAnsi="Times New Roman"/>
          <w:rtl/>
        </w:rPr>
        <w:t>–</w:t>
      </w:r>
      <w:r w:rsidRPr="002611D0">
        <w:rPr>
          <w:rFonts w:ascii="Times New Roman" w:hAnsi="Times New Roman" w:hint="cs"/>
          <w:rtl/>
        </w:rPr>
        <w:t xml:space="preserve"> היחס בין התוצר למספר העובדים </w:t>
      </w:r>
      <w:r w:rsidRPr="002611D0">
        <w:rPr>
          <w:rFonts w:ascii="Times New Roman" w:hAnsi="Times New Roman"/>
          <w:rtl/>
        </w:rPr>
        <w:t>–</w:t>
      </w:r>
      <w:r w:rsidRPr="002611D0">
        <w:rPr>
          <w:rFonts w:ascii="Times New Roman" w:hAnsi="Times New Roman" w:hint="cs"/>
          <w:rtl/>
        </w:rPr>
        <w:t xml:space="preserve"> מודד את כושר הייצור של המשק</w:t>
      </w:r>
      <w:r>
        <w:rPr>
          <w:rFonts w:ascii="Times New Roman" w:hAnsi="Times New Roman" w:hint="cs"/>
          <w:rtl/>
        </w:rPr>
        <w:t xml:space="preserve"> לאורך זמן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בהתחשב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>מספר העובדים שלרשותו. תיבה ב'-1 בדוח בנק ישראל לשנת 2012 מצאה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כי ב-2011 היה </w:t>
      </w:r>
      <w:r w:rsidRPr="002611D0">
        <w:rPr>
          <w:rFonts w:ascii="Times New Roman" w:hAnsi="Times New Roman" w:hint="cs"/>
          <w:rtl/>
        </w:rPr>
        <w:t>הפריון לעובד בישראל נמוך ב-14</w:t>
      </w:r>
      <w:r>
        <w:rPr>
          <w:rFonts w:ascii="Times New Roman" w:hAnsi="Times New Roman" w:hint="cs"/>
          <w:rtl/>
        </w:rPr>
        <w:t>%</w:t>
      </w:r>
      <w:r w:rsidRPr="002611D0">
        <w:rPr>
          <w:rFonts w:ascii="Times New Roman" w:hAnsi="Times New Roman" w:hint="cs"/>
          <w:rtl/>
        </w:rPr>
        <w:t xml:space="preserve"> מהממוצע</w:t>
      </w:r>
      <w:r>
        <w:rPr>
          <w:rFonts w:ascii="Times New Roman" w:hAnsi="Times New Roman" w:hint="cs"/>
          <w:rtl/>
        </w:rPr>
        <w:t xml:space="preserve"> ב</w:t>
      </w:r>
      <w:r w:rsidRPr="002611D0">
        <w:rPr>
          <w:rFonts w:ascii="Times New Roman" w:hAnsi="Times New Roman" w:hint="cs"/>
          <w:rtl/>
        </w:rPr>
        <w:t>-</w:t>
      </w:r>
      <w:r w:rsidRPr="002611D0">
        <w:rPr>
          <w:rFonts w:ascii="Times New Roman" w:hAnsi="Times New Roman"/>
        </w:rPr>
        <w:t>OECD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וכי </w:t>
      </w:r>
      <w:r w:rsidRPr="002611D0">
        <w:rPr>
          <w:rFonts w:ascii="Times New Roman" w:hAnsi="Times New Roman" w:hint="cs"/>
          <w:rtl/>
        </w:rPr>
        <w:t>הפריון לשעת עבודה היה נמוך ב-24</w:t>
      </w:r>
      <w:r>
        <w:rPr>
          <w:rFonts w:ascii="Times New Roman" w:hAnsi="Times New Roman" w:hint="cs"/>
          <w:rtl/>
        </w:rPr>
        <w:t>%</w:t>
      </w:r>
      <w:r w:rsidRPr="002611D0">
        <w:rPr>
          <w:rFonts w:ascii="Times New Roman" w:hAnsi="Times New Roman" w:hint="cs"/>
          <w:rtl/>
        </w:rPr>
        <w:t xml:space="preserve">. התיבה </w:t>
      </w:r>
      <w:r>
        <w:rPr>
          <w:rFonts w:ascii="Times New Roman" w:hAnsi="Times New Roman" w:hint="cs"/>
          <w:rtl/>
        </w:rPr>
        <w:t>הזכירה</w:t>
      </w:r>
      <w:r w:rsidRPr="002611D0">
        <w:rPr>
          <w:rFonts w:ascii="Times New Roman" w:hAnsi="Times New Roman" w:hint="cs"/>
          <w:rtl/>
        </w:rPr>
        <w:t xml:space="preserve"> מספר גורמים שיכולים להסביר את הפיגור. </w:t>
      </w:r>
      <w:r w:rsidRPr="00D32338">
        <w:rPr>
          <w:rFonts w:ascii="Times New Roman" w:hAnsi="Times New Roman" w:hint="cs"/>
          <w:rtl/>
        </w:rPr>
        <w:t>ברנד</w:t>
      </w:r>
      <w:r>
        <w:rPr>
          <w:rStyle w:val="a7"/>
          <w:rFonts w:ascii="Times New Roman" w:hAnsi="Times New Roman"/>
          <w:rtl/>
        </w:rPr>
        <w:footnoteReference w:id="1"/>
      </w:r>
      <w:r w:rsidRPr="00D32338"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 xml:space="preserve">מצא </w:t>
      </w:r>
      <w:r>
        <w:rPr>
          <w:rFonts w:ascii="Times New Roman" w:hAnsi="Times New Roman" w:hint="cs"/>
          <w:rtl/>
        </w:rPr>
        <w:t xml:space="preserve">כי </w:t>
      </w:r>
      <w:r w:rsidRPr="002611D0">
        <w:rPr>
          <w:rFonts w:ascii="Times New Roman" w:hAnsi="Times New Roman" w:hint="cs"/>
          <w:rtl/>
        </w:rPr>
        <w:t xml:space="preserve">הפריון בענפים שמוכרים לשוק המקומי נמוך מהפריון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 xml:space="preserve">ענפים מייצאים. כאן אנו </w:t>
      </w:r>
      <w:r>
        <w:rPr>
          <w:rFonts w:ascii="Times New Roman" w:hAnsi="Times New Roman" w:hint="cs"/>
          <w:rtl/>
        </w:rPr>
        <w:t xml:space="preserve">בוחנים </w:t>
      </w:r>
      <w:r w:rsidRPr="002611D0">
        <w:rPr>
          <w:rFonts w:ascii="Times New Roman" w:hAnsi="Times New Roman" w:hint="cs"/>
          <w:rtl/>
        </w:rPr>
        <w:t>האם נחיתות</w:t>
      </w:r>
      <w:r>
        <w:rPr>
          <w:rFonts w:ascii="Times New Roman" w:hAnsi="Times New Roman" w:hint="cs"/>
          <w:rtl/>
        </w:rPr>
        <w:t>ם של</w:t>
      </w:r>
      <w:r w:rsidRPr="002611D0">
        <w:rPr>
          <w:rFonts w:ascii="Times New Roman" w:hAnsi="Times New Roman" w:hint="cs"/>
          <w:rtl/>
        </w:rPr>
        <w:t xml:space="preserve"> ענפים</w:t>
      </w:r>
      <w:r>
        <w:rPr>
          <w:rFonts w:ascii="Times New Roman" w:hAnsi="Times New Roman" w:hint="cs"/>
          <w:rtl/>
        </w:rPr>
        <w:t xml:space="preserve"> אלה</w:t>
      </w:r>
      <w:r w:rsidRPr="002611D0">
        <w:rPr>
          <w:rFonts w:ascii="Times New Roman" w:hAnsi="Times New Roman" w:hint="cs"/>
          <w:rtl/>
        </w:rPr>
        <w:t xml:space="preserve"> משמעותית יותר בישראל </w:t>
      </w:r>
      <w:r>
        <w:rPr>
          <w:rFonts w:ascii="Times New Roman" w:hAnsi="Times New Roman" w:hint="cs"/>
          <w:rtl/>
        </w:rPr>
        <w:t>מאשר בשאר החברות ב</w:t>
      </w:r>
      <w:r w:rsidRPr="002611D0">
        <w:rPr>
          <w:rFonts w:ascii="Times New Roman" w:hAnsi="Times New Roman" w:hint="cs"/>
          <w:rtl/>
        </w:rPr>
        <w:t>-</w:t>
      </w:r>
      <w:r w:rsidRPr="002611D0">
        <w:rPr>
          <w:rFonts w:ascii="Times New Roman" w:hAnsi="Times New Roman"/>
        </w:rPr>
        <w:t>OECD</w:t>
      </w:r>
      <w:r>
        <w:rPr>
          <w:rFonts w:ascii="Times New Roman" w:hAnsi="Times New Roman" w:hint="cs"/>
          <w:rtl/>
        </w:rPr>
        <w:t>, והאם הדבר מ</w:t>
      </w:r>
      <w:r w:rsidRPr="002611D0">
        <w:rPr>
          <w:rFonts w:ascii="Times New Roman" w:hAnsi="Times New Roman" w:hint="cs"/>
          <w:rtl/>
        </w:rPr>
        <w:t>סביר את פיגור הפריון בסך המגזר העסקי.</w:t>
      </w:r>
    </w:p>
    <w:p w:rsidR="00CB0B46" w:rsidRDefault="00CB0B46" w:rsidP="00231483">
      <w:pPr>
        <w:bidi/>
        <w:spacing w:after="240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כפי שמראה </w:t>
      </w:r>
      <w:r w:rsidRPr="002611D0">
        <w:rPr>
          <w:rFonts w:ascii="Times New Roman" w:hAnsi="Times New Roman" w:hint="cs"/>
          <w:rtl/>
        </w:rPr>
        <w:t>איור 1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פערי הפריון לעובד</w:t>
      </w:r>
      <w:r w:rsidRPr="002611D0">
        <w:rPr>
          <w:rStyle w:val="a7"/>
          <w:rFonts w:ascii="Times New Roman" w:hAnsi="Times New Roman"/>
          <w:rtl/>
        </w:rPr>
        <w:footnoteReference w:id="2"/>
      </w:r>
      <w:r w:rsidRPr="002611D0">
        <w:rPr>
          <w:rFonts w:ascii="Times New Roman" w:hAnsi="Times New Roman" w:hint="cs"/>
          <w:rtl/>
        </w:rPr>
        <w:t xml:space="preserve"> נעים בין</w:t>
      </w:r>
      <w:r>
        <w:rPr>
          <w:rFonts w:ascii="Times New Roman" w:hAnsi="Times New Roman" w:hint="cs"/>
          <w:rtl/>
        </w:rPr>
        <w:t xml:space="preserve"> 50%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ו-30%</w:t>
      </w:r>
      <w:r w:rsidRPr="002611D0">
        <w:rPr>
          <w:rFonts w:ascii="Times New Roman" w:hAnsi="Times New Roman" w:hint="cs"/>
          <w:rtl/>
        </w:rPr>
        <w:t xml:space="preserve"> לרעת ישראל בענ</w:t>
      </w:r>
      <w:r>
        <w:rPr>
          <w:rFonts w:ascii="Times New Roman" w:hAnsi="Times New Roman" w:hint="cs"/>
          <w:rtl/>
        </w:rPr>
        <w:t>פי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ההלבשה ו</w:t>
      </w:r>
      <w:r w:rsidRPr="002611D0">
        <w:rPr>
          <w:rFonts w:ascii="Times New Roman" w:hAnsi="Times New Roman" w:hint="cs"/>
          <w:rtl/>
        </w:rPr>
        <w:t>הבנייה</w:t>
      </w:r>
      <w:r>
        <w:rPr>
          <w:rFonts w:ascii="Times New Roman" w:hAnsi="Times New Roman" w:hint="cs"/>
          <w:rtl/>
        </w:rPr>
        <w:t>, בהתאמה</w:t>
      </w:r>
      <w:r w:rsidRPr="002611D0">
        <w:rPr>
          <w:rFonts w:ascii="Times New Roman" w:hAnsi="Times New Roman" w:hint="cs"/>
          <w:rtl/>
        </w:rPr>
        <w:t xml:space="preserve">, לבין </w:t>
      </w:r>
      <w:r>
        <w:rPr>
          <w:rFonts w:ascii="Times New Roman" w:hAnsi="Times New Roman" w:hint="cs"/>
          <w:rtl/>
        </w:rPr>
        <w:t xml:space="preserve">למעלה מ-40% </w:t>
      </w:r>
      <w:r w:rsidRPr="002611D0">
        <w:rPr>
          <w:rFonts w:ascii="Times New Roman" w:hAnsi="Times New Roman" w:hint="cs"/>
          <w:rtl/>
        </w:rPr>
        <w:t xml:space="preserve">לטובת ישראל בענף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 xml:space="preserve">ציוד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 xml:space="preserve">רפואי,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 xml:space="preserve">אופטי וציוד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>מדידה</w:t>
      </w:r>
      <w:r>
        <w:rPr>
          <w:rFonts w:ascii="Times New Roman" w:hAnsi="Times New Roman" w:hint="cs"/>
          <w:rtl/>
        </w:rPr>
        <w:t xml:space="preserve">; גם </w:t>
      </w:r>
      <w:r w:rsidRPr="002611D0">
        <w:rPr>
          <w:rFonts w:ascii="Times New Roman" w:hAnsi="Times New Roman" w:hint="cs"/>
          <w:rtl/>
        </w:rPr>
        <w:t xml:space="preserve">בענפי האלקטרוניקה </w:t>
      </w:r>
      <w:r>
        <w:rPr>
          <w:rFonts w:ascii="Times New Roman" w:hAnsi="Times New Roman" w:hint="cs"/>
          <w:rtl/>
        </w:rPr>
        <w:t>ו</w:t>
      </w:r>
      <w:r w:rsidRPr="002611D0">
        <w:rPr>
          <w:rFonts w:ascii="Times New Roman" w:hAnsi="Times New Roman" w:hint="cs"/>
          <w:rtl/>
        </w:rPr>
        <w:t xml:space="preserve">הכימיה </w:t>
      </w:r>
      <w:r>
        <w:rPr>
          <w:rFonts w:ascii="Times New Roman" w:hAnsi="Times New Roman" w:hint="cs"/>
          <w:rtl/>
        </w:rPr>
        <w:t xml:space="preserve">קיים פער לטובת ישראל. האיור </w:t>
      </w:r>
      <w:r w:rsidRPr="002611D0">
        <w:rPr>
          <w:rFonts w:ascii="Times New Roman" w:hAnsi="Times New Roman" w:hint="cs"/>
          <w:rtl/>
        </w:rPr>
        <w:t xml:space="preserve">מלמד </w:t>
      </w:r>
      <w:r>
        <w:rPr>
          <w:rFonts w:ascii="Times New Roman" w:hAnsi="Times New Roman" w:hint="cs"/>
          <w:rtl/>
        </w:rPr>
        <w:t>כי קיים</w:t>
      </w:r>
      <w:r w:rsidRPr="002611D0">
        <w:rPr>
          <w:rFonts w:ascii="Times New Roman" w:hAnsi="Times New Roman" w:hint="cs"/>
          <w:rtl/>
        </w:rPr>
        <w:t xml:space="preserve"> מתאם חיובי</w:t>
      </w:r>
      <w:r w:rsidRPr="002611D0">
        <w:rPr>
          <w:rFonts w:ascii="Times New Roman" w:hAnsi="Times New Roman"/>
          <w:vertAlign w:val="superscript"/>
          <w:rtl/>
        </w:rPr>
        <w:footnoteReference w:id="3"/>
      </w:r>
      <w:r w:rsidRPr="002611D0">
        <w:rPr>
          <w:rFonts w:ascii="Times New Roman" w:hAnsi="Times New Roman" w:hint="cs"/>
          <w:rtl/>
        </w:rPr>
        <w:t xml:space="preserve"> בין שיעור היצוא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>תפוק</w:t>
      </w:r>
      <w:r>
        <w:rPr>
          <w:rFonts w:ascii="Times New Roman" w:hAnsi="Times New Roman" w:hint="cs"/>
          <w:rtl/>
        </w:rPr>
        <w:t>ת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>ענף לבין פערי הפריון (כשהם לטובת ישראל)</w:t>
      </w:r>
      <w:r>
        <w:rPr>
          <w:rFonts w:ascii="Times New Roman" w:hAnsi="Times New Roman" w:hint="cs"/>
          <w:rtl/>
        </w:rPr>
        <w:t xml:space="preserve">. </w:t>
      </w:r>
      <w:r w:rsidRPr="002611D0">
        <w:rPr>
          <w:rFonts w:ascii="Times New Roman" w:hAnsi="Times New Roman" w:hint="cs"/>
          <w:rtl/>
        </w:rPr>
        <w:t>מבדיקה עולה כי מתאם זה די ייחודי לישראל, ו</w:t>
      </w:r>
      <w:r>
        <w:rPr>
          <w:rFonts w:ascii="Times New Roman" w:hAnsi="Times New Roman" w:hint="cs"/>
          <w:rtl/>
        </w:rPr>
        <w:t xml:space="preserve">נוסף עליה </w:t>
      </w:r>
      <w:r w:rsidRPr="002611D0">
        <w:rPr>
          <w:rFonts w:ascii="Times New Roman" w:hAnsi="Times New Roman" w:hint="cs"/>
          <w:rtl/>
        </w:rPr>
        <w:t>הוא בולט רק בגרמניה ובדנמרק.</w:t>
      </w:r>
    </w:p>
    <w:p w:rsidR="00CC65F7" w:rsidRPr="002611D0" w:rsidRDefault="00CC65F7" w:rsidP="00CC65F7">
      <w:pPr>
        <w:bidi/>
        <w:spacing w:after="240"/>
        <w:jc w:val="center"/>
        <w:rPr>
          <w:rFonts w:ascii="Times New Roman" w:hAnsi="Times New Roman"/>
          <w:rtl/>
        </w:rPr>
      </w:pPr>
      <w:bookmarkStart w:id="0" w:name="_GoBack"/>
      <w:r w:rsidRPr="00CC65F7">
        <w:rPr>
          <w:noProof/>
          <w:rtl/>
        </w:rPr>
        <w:lastRenderedPageBreak/>
        <w:drawing>
          <wp:inline distT="0" distB="0" distL="0" distR="0">
            <wp:extent cx="5031571" cy="34480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15" cy="3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B46" w:rsidRDefault="00CB0B46" w:rsidP="00231483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 xml:space="preserve">סיבה אפשרית </w:t>
      </w:r>
      <w:r>
        <w:rPr>
          <w:rFonts w:ascii="Times New Roman" w:hAnsi="Times New Roman" w:hint="cs"/>
          <w:rtl/>
        </w:rPr>
        <w:t xml:space="preserve">לתופעה </w:t>
      </w:r>
      <w:r w:rsidRPr="002611D0">
        <w:rPr>
          <w:rFonts w:ascii="Times New Roman" w:hAnsi="Times New Roman" w:hint="cs"/>
          <w:rtl/>
        </w:rPr>
        <w:t xml:space="preserve">היא שענפי היצוא </w:t>
      </w:r>
      <w:r>
        <w:rPr>
          <w:rFonts w:ascii="Times New Roman" w:hAnsi="Times New Roman" w:hint="cs"/>
          <w:rtl/>
        </w:rPr>
        <w:t xml:space="preserve">מתמודדים עם </w:t>
      </w:r>
      <w:r w:rsidRPr="002611D0">
        <w:rPr>
          <w:rFonts w:ascii="Times New Roman" w:hAnsi="Times New Roman" w:hint="cs"/>
          <w:rtl/>
        </w:rPr>
        <w:t>תחרות</w:t>
      </w:r>
      <w:r>
        <w:rPr>
          <w:rFonts w:ascii="Times New Roman" w:hAnsi="Times New Roman" w:hint="cs"/>
          <w:rtl/>
        </w:rPr>
        <w:t xml:space="preserve"> עזה</w:t>
      </w:r>
      <w:r w:rsidRPr="002611D0">
        <w:rPr>
          <w:rFonts w:ascii="Times New Roman" w:hAnsi="Times New Roman" w:hint="cs"/>
          <w:rtl/>
        </w:rPr>
        <w:t xml:space="preserve"> יותר </w:t>
      </w:r>
      <w:r>
        <w:rPr>
          <w:rFonts w:ascii="Times New Roman" w:hAnsi="Times New Roman" w:hint="cs"/>
          <w:rtl/>
        </w:rPr>
        <w:t xml:space="preserve">מאשר </w:t>
      </w:r>
      <w:r w:rsidRPr="002611D0">
        <w:rPr>
          <w:rFonts w:ascii="Times New Roman" w:hAnsi="Times New Roman" w:hint="cs"/>
          <w:rtl/>
        </w:rPr>
        <w:t xml:space="preserve">חלק מהענפים המוכרים לשוק המקומי. </w:t>
      </w:r>
      <w:r>
        <w:rPr>
          <w:rFonts w:ascii="Times New Roman" w:hAnsi="Times New Roman" w:hint="cs"/>
          <w:rtl/>
        </w:rPr>
        <w:t xml:space="preserve">לכן יש לאחרונים פחות </w:t>
      </w:r>
      <w:r w:rsidRPr="002611D0">
        <w:rPr>
          <w:rFonts w:ascii="Times New Roman" w:hAnsi="Times New Roman" w:hint="cs"/>
          <w:rtl/>
        </w:rPr>
        <w:t>תמריץ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 xml:space="preserve">להתייעל, במיוחד אם היבוא המתחרה נמוך יחסית להיקף התפוקה המקומית. </w:t>
      </w:r>
      <w:r>
        <w:rPr>
          <w:rFonts w:ascii="Times New Roman" w:hAnsi="Times New Roman" w:hint="cs"/>
          <w:rtl/>
        </w:rPr>
        <w:t xml:space="preserve">אולם כפי שמראה </w:t>
      </w:r>
      <w:r w:rsidRPr="002611D0">
        <w:rPr>
          <w:rFonts w:ascii="Times New Roman" w:hAnsi="Times New Roman" w:hint="cs"/>
          <w:rtl/>
        </w:rPr>
        <w:t>איור 2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אין עדות לקשר </w:t>
      </w:r>
      <w:r>
        <w:rPr>
          <w:rFonts w:ascii="Times New Roman" w:hAnsi="Times New Roman" w:hint="cs"/>
          <w:rtl/>
        </w:rPr>
        <w:t>כ</w:t>
      </w:r>
      <w:r w:rsidRPr="002611D0">
        <w:rPr>
          <w:rFonts w:ascii="Times New Roman" w:hAnsi="Times New Roman" w:hint="cs"/>
          <w:rtl/>
        </w:rPr>
        <w:t>זה</w:t>
      </w:r>
      <w:r>
        <w:rPr>
          <w:rFonts w:ascii="Times New Roman" w:hAnsi="Times New Roman" w:hint="cs"/>
          <w:rtl/>
        </w:rPr>
        <w:t>:</w:t>
      </w:r>
      <w:r w:rsidRPr="002611D0">
        <w:rPr>
          <w:rFonts w:ascii="Times New Roman" w:hAnsi="Times New Roman" w:hint="cs"/>
          <w:rtl/>
        </w:rPr>
        <w:t xml:space="preserve"> לא נמצא מתאם בין פער הפריון לבין שיעור היבוא המתחרה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>סך התפוקה. הפער בפריון אמנם שלילי למשל בענף המזון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תחום </w:t>
      </w:r>
      <w:r w:rsidRPr="002611D0">
        <w:rPr>
          <w:rFonts w:ascii="Times New Roman" w:hAnsi="Times New Roman" w:hint="cs"/>
          <w:rtl/>
        </w:rPr>
        <w:t xml:space="preserve">שבו </w:t>
      </w:r>
      <w:r>
        <w:rPr>
          <w:rFonts w:ascii="Times New Roman" w:hAnsi="Times New Roman" w:hint="cs"/>
          <w:rtl/>
        </w:rPr>
        <w:t xml:space="preserve">יש </w:t>
      </w:r>
      <w:r w:rsidRPr="002611D0">
        <w:rPr>
          <w:rFonts w:ascii="Times New Roman" w:hAnsi="Times New Roman" w:hint="cs"/>
          <w:rtl/>
        </w:rPr>
        <w:t xml:space="preserve">שיעור </w:t>
      </w:r>
      <w:r>
        <w:rPr>
          <w:rFonts w:ascii="Times New Roman" w:hAnsi="Times New Roman" w:hint="cs"/>
          <w:rtl/>
        </w:rPr>
        <w:t xml:space="preserve">נמוך של </w:t>
      </w:r>
      <w:r w:rsidRPr="002611D0">
        <w:rPr>
          <w:rFonts w:ascii="Times New Roman" w:hAnsi="Times New Roman" w:hint="cs"/>
          <w:rtl/>
        </w:rPr>
        <w:t xml:space="preserve">יבוא מתחרה, אך הוא </w:t>
      </w:r>
      <w:r>
        <w:rPr>
          <w:rFonts w:ascii="Times New Roman" w:hAnsi="Times New Roman" w:hint="cs"/>
          <w:rtl/>
        </w:rPr>
        <w:t>שלילי</w:t>
      </w:r>
      <w:r w:rsidRPr="002611D0">
        <w:rPr>
          <w:rFonts w:ascii="Times New Roman" w:hAnsi="Times New Roman" w:hint="cs"/>
          <w:rtl/>
        </w:rPr>
        <w:t xml:space="preserve"> גם בענפים שבהם היבוא המתחרה מהווה יותר מחצי מהתפוקה הנמכרת בישראל, </w:t>
      </w:r>
      <w:r>
        <w:rPr>
          <w:rFonts w:ascii="Times New Roman" w:hAnsi="Times New Roman" w:hint="cs"/>
          <w:rtl/>
        </w:rPr>
        <w:t>למשל</w:t>
      </w:r>
      <w:r w:rsidRPr="002611D0">
        <w:rPr>
          <w:rFonts w:ascii="Times New Roman" w:hAnsi="Times New Roman" w:hint="cs"/>
          <w:rtl/>
        </w:rPr>
        <w:t xml:space="preserve"> ענ</w:t>
      </w:r>
      <w:r>
        <w:rPr>
          <w:rFonts w:ascii="Times New Roman" w:hAnsi="Times New Roman" w:hint="cs"/>
          <w:rtl/>
        </w:rPr>
        <w:t>פי</w:t>
      </w:r>
      <w:r w:rsidRPr="002611D0">
        <w:rPr>
          <w:rFonts w:ascii="Times New Roman" w:hAnsi="Times New Roman" w:hint="cs"/>
          <w:rtl/>
        </w:rPr>
        <w:t xml:space="preserve"> ההלבשה, העור, העץ, הנ</w:t>
      </w:r>
      <w:r>
        <w:rPr>
          <w:rFonts w:ascii="Times New Roman" w:hAnsi="Times New Roman" w:hint="cs"/>
          <w:rtl/>
        </w:rPr>
        <w:t>י</w:t>
      </w:r>
      <w:r w:rsidRPr="002611D0">
        <w:rPr>
          <w:rFonts w:ascii="Times New Roman" w:hAnsi="Times New Roman" w:hint="cs"/>
          <w:rtl/>
        </w:rPr>
        <w:t xml:space="preserve">יר, </w:t>
      </w:r>
      <w:r>
        <w:rPr>
          <w:rFonts w:ascii="Times New Roman" w:hAnsi="Times New Roman" w:hint="cs"/>
          <w:rtl/>
        </w:rPr>
        <w:t>ו</w:t>
      </w:r>
      <w:r w:rsidRPr="002611D0">
        <w:rPr>
          <w:rFonts w:ascii="Times New Roman" w:hAnsi="Times New Roman" w:hint="cs"/>
          <w:rtl/>
        </w:rPr>
        <w:t xml:space="preserve">הדפוס וההוצאה לאור. </w:t>
      </w:r>
      <w:r>
        <w:rPr>
          <w:rFonts w:ascii="Times New Roman" w:hAnsi="Times New Roman" w:hint="cs"/>
          <w:rtl/>
        </w:rPr>
        <w:t>י</w:t>
      </w:r>
      <w:r w:rsidRPr="002611D0">
        <w:rPr>
          <w:rFonts w:ascii="Times New Roman" w:hAnsi="Times New Roman" w:hint="cs"/>
          <w:rtl/>
        </w:rPr>
        <w:t>יתכן</w:t>
      </w:r>
      <w:r>
        <w:rPr>
          <w:rFonts w:ascii="Times New Roman" w:hAnsi="Times New Roman" w:hint="cs"/>
          <w:rtl/>
        </w:rPr>
        <w:t xml:space="preserve"> שאין </w:t>
      </w:r>
      <w:r w:rsidRPr="002611D0">
        <w:rPr>
          <w:rFonts w:ascii="Times New Roman" w:hAnsi="Times New Roman" w:hint="cs"/>
          <w:rtl/>
        </w:rPr>
        <w:t>קשר</w:t>
      </w:r>
      <w:r>
        <w:rPr>
          <w:rFonts w:ascii="Times New Roman" w:hAnsi="Times New Roman" w:hint="cs"/>
          <w:rtl/>
        </w:rPr>
        <w:t xml:space="preserve"> חיובי</w:t>
      </w:r>
      <w:r w:rsidRPr="002611D0">
        <w:rPr>
          <w:rFonts w:ascii="Times New Roman" w:hAnsi="Times New Roman" w:hint="cs"/>
          <w:rtl/>
        </w:rPr>
        <w:t xml:space="preserve"> בין שני המשתנים </w:t>
      </w:r>
      <w:r>
        <w:rPr>
          <w:rFonts w:ascii="Times New Roman" w:hAnsi="Times New Roman" w:hint="cs"/>
          <w:rtl/>
        </w:rPr>
        <w:t>משום</w:t>
      </w:r>
      <w:r w:rsidRPr="002611D0">
        <w:rPr>
          <w:rFonts w:ascii="Times New Roman" w:hAnsi="Times New Roman" w:hint="cs"/>
          <w:rtl/>
        </w:rPr>
        <w:t xml:space="preserve"> ש</w:t>
      </w:r>
      <w:r>
        <w:rPr>
          <w:rFonts w:ascii="Times New Roman" w:hAnsi="Times New Roman" w:hint="cs"/>
          <w:rtl/>
        </w:rPr>
        <w:t xml:space="preserve">גם בענפים אלה יש למעשה מעט </w:t>
      </w:r>
      <w:r w:rsidRPr="002611D0">
        <w:rPr>
          <w:rFonts w:ascii="Times New Roman" w:hAnsi="Times New Roman" w:hint="cs"/>
          <w:rtl/>
        </w:rPr>
        <w:t xml:space="preserve">תחרות בגלל בלעדיות של היבואן, או </w:t>
      </w:r>
      <w:r>
        <w:rPr>
          <w:rFonts w:ascii="Times New Roman" w:hAnsi="Times New Roman" w:hint="cs"/>
          <w:rtl/>
        </w:rPr>
        <w:t xml:space="preserve">משום שפריון גבוה של </w:t>
      </w:r>
      <w:r w:rsidRPr="002611D0">
        <w:rPr>
          <w:rFonts w:ascii="Times New Roman" w:hAnsi="Times New Roman" w:hint="cs"/>
          <w:rtl/>
        </w:rPr>
        <w:t>הייצור המקומי</w:t>
      </w:r>
      <w:r>
        <w:rPr>
          <w:rFonts w:ascii="Times New Roman" w:hAnsi="Times New Roman" w:hint="cs"/>
          <w:rtl/>
        </w:rPr>
        <w:t xml:space="preserve"> אינו מצדיק כניסה של יבואן מתחרה</w:t>
      </w:r>
      <w:r w:rsidRPr="002611D0">
        <w:rPr>
          <w:rFonts w:ascii="Times New Roman" w:hAnsi="Times New Roman" w:hint="cs"/>
          <w:rtl/>
        </w:rPr>
        <w:t>.</w:t>
      </w:r>
    </w:p>
    <w:p w:rsidR="00CC65F7" w:rsidRPr="002611D0" w:rsidRDefault="00CC65F7" w:rsidP="00CC65F7">
      <w:pPr>
        <w:bidi/>
        <w:spacing w:after="240"/>
        <w:jc w:val="center"/>
        <w:rPr>
          <w:rFonts w:ascii="Times New Roman" w:hAnsi="Times New Roman"/>
          <w:rtl/>
        </w:rPr>
      </w:pPr>
      <w:r w:rsidRPr="00CC65F7">
        <w:rPr>
          <w:noProof/>
          <w:rtl/>
        </w:rPr>
        <w:lastRenderedPageBreak/>
        <w:drawing>
          <wp:inline distT="0" distB="0" distL="0" distR="0" wp14:anchorId="3F7FACDB" wp14:editId="20172228">
            <wp:extent cx="5272371" cy="3429000"/>
            <wp:effectExtent l="0" t="0" r="508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19" cy="343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46" w:rsidRPr="002611D0" w:rsidRDefault="00CB0B46" w:rsidP="00231483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>סיבה אפשרית שני</w:t>
      </w:r>
      <w:r>
        <w:rPr>
          <w:rFonts w:ascii="Times New Roman" w:hAnsi="Times New Roman" w:hint="cs"/>
          <w:rtl/>
        </w:rPr>
        <w:t>י</w:t>
      </w:r>
      <w:r w:rsidRPr="002611D0">
        <w:rPr>
          <w:rFonts w:ascii="Times New Roman" w:hAnsi="Times New Roman" w:hint="cs"/>
          <w:rtl/>
        </w:rPr>
        <w:t xml:space="preserve">ה </w:t>
      </w:r>
      <w:r>
        <w:rPr>
          <w:rFonts w:ascii="Times New Roman" w:hAnsi="Times New Roman" w:hint="cs"/>
          <w:rtl/>
        </w:rPr>
        <w:t xml:space="preserve">לכך שנמצא </w:t>
      </w:r>
      <w:r w:rsidRPr="002611D0">
        <w:rPr>
          <w:rFonts w:ascii="Times New Roman" w:hAnsi="Times New Roman" w:hint="cs"/>
          <w:rtl/>
        </w:rPr>
        <w:t xml:space="preserve">קשר חיובי בין שיעור היצוא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>תפוק</w:t>
      </w:r>
      <w:r>
        <w:rPr>
          <w:rFonts w:ascii="Times New Roman" w:hAnsi="Times New Roman" w:hint="cs"/>
          <w:rtl/>
        </w:rPr>
        <w:t>ת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>ענף לבין פערי הפריון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 xml:space="preserve">ענפי היצוא הבולטים מנצלים את היתרון היחסי של ישראל בתחום ההון האנושי והחדשנות. כפי </w:t>
      </w:r>
      <w:r>
        <w:rPr>
          <w:rFonts w:ascii="Times New Roman" w:hAnsi="Times New Roman" w:hint="cs"/>
          <w:rtl/>
        </w:rPr>
        <w:t>ש</w:t>
      </w:r>
      <w:r w:rsidRPr="002611D0">
        <w:rPr>
          <w:rFonts w:ascii="Times New Roman" w:hAnsi="Times New Roman" w:hint="cs"/>
          <w:rtl/>
        </w:rPr>
        <w:t xml:space="preserve">נכתב בדוח זה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 xml:space="preserve">עבר, המשק הישראלי מתאפיין </w:t>
      </w:r>
      <w:r>
        <w:rPr>
          <w:rFonts w:ascii="Times New Roman" w:hAnsi="Times New Roman" w:hint="cs"/>
          <w:rtl/>
        </w:rPr>
        <w:t>בשניוּת (</w:t>
      </w:r>
      <w:r w:rsidRPr="002611D0">
        <w:rPr>
          <w:rFonts w:ascii="Times New Roman" w:hAnsi="Times New Roman" w:hint="cs"/>
          <w:rtl/>
        </w:rPr>
        <w:t>דואליות</w:t>
      </w:r>
      <w:r>
        <w:rPr>
          <w:rFonts w:ascii="Times New Roman" w:hAnsi="Times New Roman" w:hint="cs"/>
          <w:rtl/>
        </w:rPr>
        <w:t>):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מצד אחד קיימים בו</w:t>
      </w:r>
      <w:r w:rsidRPr="002611D0">
        <w:rPr>
          <w:rFonts w:ascii="Times New Roman" w:hAnsi="Times New Roman" w:hint="cs"/>
          <w:rtl/>
        </w:rPr>
        <w:t xml:space="preserve"> ענפי יצוא עתירי הון אנושי וחדשנות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ומצד שני </w:t>
      </w:r>
      <w:r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>ענפים</w:t>
      </w:r>
      <w:r>
        <w:rPr>
          <w:rFonts w:ascii="Times New Roman" w:hAnsi="Times New Roman" w:hint="cs"/>
          <w:rtl/>
        </w:rPr>
        <w:t xml:space="preserve"> שסובלים מנחיתות</w:t>
      </w:r>
      <w:r w:rsidRPr="002611D0">
        <w:rPr>
          <w:rFonts w:ascii="Times New Roman" w:hAnsi="Times New Roman" w:hint="cs"/>
          <w:rtl/>
        </w:rPr>
        <w:t xml:space="preserve">. נשאלת השאלה האם הדואליות הזו יוצאת דופן </w:t>
      </w:r>
      <w:r>
        <w:rPr>
          <w:rFonts w:ascii="Times New Roman" w:hAnsi="Times New Roman" w:hint="cs"/>
          <w:rtl/>
        </w:rPr>
        <w:t>בעולם</w:t>
      </w:r>
      <w:r w:rsidRPr="002611D0">
        <w:rPr>
          <w:rFonts w:ascii="Times New Roman" w:hAnsi="Times New Roman" w:hint="cs"/>
          <w:rtl/>
        </w:rPr>
        <w:t>.</w:t>
      </w:r>
    </w:p>
    <w:p w:rsidR="00CB0B46" w:rsidRDefault="00CB0B46" w:rsidP="00231483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 xml:space="preserve">לוח 1 מוצא סימנים ברורים לכך. </w:t>
      </w:r>
      <w:r>
        <w:rPr>
          <w:rFonts w:ascii="Times New Roman" w:hAnsi="Times New Roman" w:hint="cs"/>
          <w:rtl/>
        </w:rPr>
        <w:t>יחסית לממוצע ב-</w:t>
      </w:r>
      <w:r w:rsidRPr="00231483">
        <w:rPr>
          <w:rFonts w:ascii="Times New Roman" w:hAnsi="Times New Roman"/>
          <w:sz w:val="22"/>
          <w:szCs w:val="22"/>
        </w:rPr>
        <w:t>OECD</w:t>
      </w:r>
      <w:r>
        <w:rPr>
          <w:rFonts w:ascii="Times New Roman" w:hAnsi="Times New Roman" w:hint="cs"/>
          <w:rtl/>
        </w:rPr>
        <w:t xml:space="preserve"> יש בישראל </w:t>
      </w:r>
      <w:r w:rsidRPr="002611D0">
        <w:rPr>
          <w:rFonts w:ascii="Times New Roman" w:hAnsi="Times New Roman" w:hint="cs"/>
          <w:rtl/>
        </w:rPr>
        <w:t>שיעור</w:t>
      </w:r>
      <w:r>
        <w:rPr>
          <w:rFonts w:ascii="Times New Roman" w:hAnsi="Times New Roman" w:hint="cs"/>
          <w:rtl/>
        </w:rPr>
        <w:t xml:space="preserve"> גבוה של </w:t>
      </w:r>
      <w:r w:rsidRPr="002611D0">
        <w:rPr>
          <w:rFonts w:ascii="Times New Roman" w:hAnsi="Times New Roman" w:hint="cs"/>
          <w:rtl/>
        </w:rPr>
        <w:t xml:space="preserve">בעלי השכלה גבוהה </w:t>
      </w:r>
      <w:r w:rsidRPr="00FC0DED">
        <w:rPr>
          <w:rFonts w:ascii="Times New Roman" w:hAnsi="Times New Roman" w:hint="cs"/>
          <w:rtl/>
        </w:rPr>
        <w:t xml:space="preserve">בקבוצת ענפי </w:t>
      </w:r>
      <w:r>
        <w:rPr>
          <w:rFonts w:ascii="Times New Roman" w:hAnsi="Times New Roman" w:hint="cs"/>
          <w:rtl/>
        </w:rPr>
        <w:t>ה</w:t>
      </w:r>
      <w:r w:rsidRPr="00FC0DED">
        <w:rPr>
          <w:rFonts w:ascii="Times New Roman" w:hAnsi="Times New Roman" w:hint="cs"/>
          <w:rtl/>
        </w:rPr>
        <w:t>תעשייה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>שמייצאים את מרבית תוצרתם, בענף הפיננסים והביטוח, ובענף השירותים המקצועיים, הטכניים והמדעיים. הפריון בענפים אלה אינו נופל מהפריון</w:t>
      </w:r>
      <w:r>
        <w:rPr>
          <w:rFonts w:ascii="Times New Roman" w:hAnsi="Times New Roman" w:hint="cs"/>
          <w:rtl/>
        </w:rPr>
        <w:t xml:space="preserve"> הממוצע </w:t>
      </w:r>
      <w:r w:rsidRPr="002611D0">
        <w:rPr>
          <w:rFonts w:ascii="Times New Roman" w:hAnsi="Times New Roman" w:hint="cs"/>
          <w:rtl/>
        </w:rPr>
        <w:t>במדינות ה-</w:t>
      </w:r>
      <w:r w:rsidRPr="00231483">
        <w:rPr>
          <w:rFonts w:ascii="Times New Roman" w:hAnsi="Times New Roman"/>
          <w:sz w:val="22"/>
          <w:szCs w:val="22"/>
        </w:rPr>
        <w:t>OECD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ובחלק מהם </w:t>
      </w:r>
      <w:r w:rsidRPr="002611D0">
        <w:rPr>
          <w:rFonts w:ascii="Times New Roman" w:hAnsi="Times New Roman" w:hint="cs"/>
          <w:rtl/>
        </w:rPr>
        <w:t xml:space="preserve">הוא </w:t>
      </w:r>
      <w:r>
        <w:rPr>
          <w:rFonts w:ascii="Times New Roman" w:hAnsi="Times New Roman" w:hint="cs"/>
          <w:rtl/>
        </w:rPr>
        <w:t xml:space="preserve">אף </w:t>
      </w:r>
      <w:r w:rsidRPr="002611D0">
        <w:rPr>
          <w:rFonts w:ascii="Times New Roman" w:hAnsi="Times New Roman" w:hint="cs"/>
          <w:rtl/>
        </w:rPr>
        <w:t>גבוה ממנו</w:t>
      </w:r>
      <w:r w:rsidRPr="002611D0">
        <w:rPr>
          <w:rStyle w:val="a7"/>
          <w:rFonts w:ascii="Times New Roman" w:hAnsi="Times New Roman"/>
          <w:rtl/>
        </w:rPr>
        <w:footnoteReference w:id="4"/>
      </w:r>
      <w:r w:rsidRPr="002611D0">
        <w:rPr>
          <w:rFonts w:ascii="Times New Roman" w:hAnsi="Times New Roman" w:hint="cs"/>
          <w:rtl/>
        </w:rPr>
        <w:t xml:space="preserve">. לעומת זאת, </w:t>
      </w:r>
      <w:r>
        <w:rPr>
          <w:rFonts w:hint="cs"/>
          <w:rtl/>
        </w:rPr>
        <w:t xml:space="preserve">בענפים </w:t>
      </w:r>
      <w:r w:rsidRPr="00A42663">
        <w:rPr>
          <w:rFonts w:hint="cs"/>
          <w:rtl/>
        </w:rPr>
        <w:t>ש</w:t>
      </w:r>
      <w:r w:rsidRPr="005B6F35">
        <w:rPr>
          <w:rFonts w:hint="cs"/>
          <w:rtl/>
        </w:rPr>
        <w:t>בהם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דומה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שיעור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ההשכלה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לשיעורה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במדינות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אחרות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קיים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פער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בפריון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לרעת</w:t>
      </w:r>
      <w:r w:rsidRPr="005B6F35">
        <w:rPr>
          <w:rtl/>
        </w:rPr>
        <w:t xml:space="preserve"> </w:t>
      </w:r>
      <w:r w:rsidRPr="005B6F35">
        <w:rPr>
          <w:rFonts w:hint="cs"/>
          <w:rtl/>
        </w:rPr>
        <w:t>ישראל</w:t>
      </w:r>
      <w:r>
        <w:rPr>
          <w:rFonts w:hint="cs"/>
          <w:rtl/>
        </w:rPr>
        <w:t>.</w:t>
      </w:r>
    </w:p>
    <w:p w:rsidR="00CC65F7" w:rsidRPr="002611D0" w:rsidRDefault="00CC65F7" w:rsidP="00CC65F7">
      <w:pPr>
        <w:bidi/>
        <w:spacing w:after="240"/>
        <w:jc w:val="center"/>
        <w:rPr>
          <w:rFonts w:ascii="Times New Roman" w:hAnsi="Times New Roman"/>
          <w:rtl/>
        </w:rPr>
      </w:pPr>
      <w:r w:rsidRPr="00CC65F7">
        <w:rPr>
          <w:noProof/>
          <w:rtl/>
        </w:rPr>
        <w:lastRenderedPageBreak/>
        <w:drawing>
          <wp:inline distT="0" distB="0" distL="0" distR="0" wp14:anchorId="2A4B9B5E" wp14:editId="3194382C">
            <wp:extent cx="5090224" cy="3705225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62" cy="36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46" w:rsidRPr="002611D0" w:rsidRDefault="00CB0B46" w:rsidP="00231483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 xml:space="preserve">ממצאים </w:t>
      </w:r>
      <w:r>
        <w:rPr>
          <w:rFonts w:ascii="Times New Roman" w:hAnsi="Times New Roman" w:hint="cs"/>
          <w:rtl/>
        </w:rPr>
        <w:t>אלה לבדם מסבירים רק את הצלחת הענפים המצטיינים, הם אינם</w:t>
      </w:r>
      <w:r w:rsidRPr="002611D0">
        <w:rPr>
          <w:rFonts w:ascii="Times New Roman" w:hAnsi="Times New Roman" w:hint="cs"/>
          <w:rtl/>
        </w:rPr>
        <w:t xml:space="preserve"> יכולים להסביר</w:t>
      </w:r>
      <w:r>
        <w:rPr>
          <w:rFonts w:ascii="Times New Roman" w:hAnsi="Times New Roman" w:hint="cs"/>
          <w:rtl/>
        </w:rPr>
        <w:t xml:space="preserve"> את הפיגור ב</w:t>
      </w:r>
      <w:r w:rsidRPr="002611D0">
        <w:rPr>
          <w:rFonts w:ascii="Times New Roman" w:hAnsi="Times New Roman" w:hint="cs"/>
          <w:rtl/>
        </w:rPr>
        <w:t xml:space="preserve">ענפים </w:t>
      </w:r>
      <w:r>
        <w:rPr>
          <w:rFonts w:ascii="Times New Roman" w:hAnsi="Times New Roman" w:hint="cs"/>
          <w:rtl/>
        </w:rPr>
        <w:t>האחרים</w:t>
      </w:r>
      <w:r w:rsidRPr="002611D0">
        <w:rPr>
          <w:rFonts w:ascii="Times New Roman" w:hAnsi="Times New Roman" w:hint="cs"/>
          <w:rtl/>
        </w:rPr>
        <w:t xml:space="preserve">. </w:t>
      </w:r>
      <w:r>
        <w:rPr>
          <w:rFonts w:ascii="Times New Roman" w:hAnsi="Times New Roman" w:hint="cs"/>
          <w:rtl/>
        </w:rPr>
        <w:t xml:space="preserve">כדי להשלים את הניתוח נשווה </w:t>
      </w:r>
      <w:r w:rsidRPr="002611D0">
        <w:rPr>
          <w:rFonts w:ascii="Times New Roman" w:hAnsi="Times New Roman" w:hint="cs"/>
          <w:rtl/>
        </w:rPr>
        <w:t xml:space="preserve">בין שיעור </w:t>
      </w:r>
      <w:r>
        <w:rPr>
          <w:rFonts w:ascii="Times New Roman" w:hAnsi="Times New Roman" w:hint="cs"/>
          <w:rtl/>
        </w:rPr>
        <w:t>העובדים במשלחי יד אקדמיים</w:t>
      </w:r>
      <w:r>
        <w:rPr>
          <w:rStyle w:val="a7"/>
          <w:rtl/>
        </w:rPr>
        <w:footnoteReference w:id="5"/>
      </w:r>
      <w:r w:rsidRPr="002611D0">
        <w:rPr>
          <w:rFonts w:ascii="Times New Roman" w:hAnsi="Times New Roman" w:hint="cs"/>
          <w:rtl/>
        </w:rPr>
        <w:t xml:space="preserve"> בישראל ל</w:t>
      </w:r>
      <w:r>
        <w:rPr>
          <w:rFonts w:ascii="Times New Roman" w:hAnsi="Times New Roman" w:hint="cs"/>
          <w:rtl/>
        </w:rPr>
        <w:t xml:space="preserve">בין </w:t>
      </w:r>
      <w:r w:rsidRPr="002611D0">
        <w:rPr>
          <w:rFonts w:ascii="Times New Roman" w:hAnsi="Times New Roman" w:hint="cs"/>
          <w:rtl/>
        </w:rPr>
        <w:t>שיעור</w:t>
      </w:r>
      <w:r>
        <w:rPr>
          <w:rFonts w:ascii="Times New Roman" w:hAnsi="Times New Roman" w:hint="cs"/>
          <w:rtl/>
        </w:rPr>
        <w:t>ם</w:t>
      </w:r>
      <w:r w:rsidRPr="002611D0">
        <w:rPr>
          <w:rFonts w:ascii="Times New Roman" w:hAnsi="Times New Roman" w:hint="cs"/>
          <w:rtl/>
        </w:rPr>
        <w:t xml:space="preserve"> ב-</w:t>
      </w:r>
      <w:r w:rsidRPr="00231483">
        <w:rPr>
          <w:rFonts w:ascii="Times New Roman" w:hAnsi="Times New Roman"/>
          <w:sz w:val="22"/>
          <w:szCs w:val="22"/>
        </w:rPr>
        <w:t>OECD</w:t>
      </w:r>
      <w:r w:rsidRPr="002611D0">
        <w:rPr>
          <w:rFonts w:ascii="Times New Roman" w:hAnsi="Times New Roman" w:hint="cs"/>
          <w:rtl/>
        </w:rPr>
        <w:t xml:space="preserve">: כמעט בכל הענפים שבהם הפריון נמוך, גם שיעור </w:t>
      </w:r>
      <w:r>
        <w:rPr>
          <w:rFonts w:ascii="Times New Roman" w:hAnsi="Times New Roman" w:hint="cs"/>
          <w:rtl/>
        </w:rPr>
        <w:t>העובדים במשלחי יד אקדמיים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 xml:space="preserve">ובמיוחד </w:t>
      </w:r>
      <w:r>
        <w:rPr>
          <w:rFonts w:ascii="Times New Roman" w:hAnsi="Times New Roman" w:hint="cs"/>
          <w:rtl/>
        </w:rPr>
        <w:t xml:space="preserve">משרות של </w:t>
      </w:r>
      <w:r w:rsidRPr="002611D0">
        <w:rPr>
          <w:rFonts w:ascii="Times New Roman" w:hAnsi="Times New Roman" w:hint="cs"/>
          <w:rtl/>
        </w:rPr>
        <w:t xml:space="preserve">מהנדסים ומדענים </w:t>
      </w:r>
      <w:r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 xml:space="preserve">נמוך מהשיעור המקביל </w:t>
      </w:r>
      <w:r>
        <w:rPr>
          <w:rFonts w:ascii="Times New Roman" w:hAnsi="Times New Roman" w:hint="cs"/>
          <w:rtl/>
        </w:rPr>
        <w:t>ב</w:t>
      </w:r>
      <w:r w:rsidRPr="002611D0">
        <w:rPr>
          <w:rFonts w:ascii="Times New Roman" w:hAnsi="Times New Roman" w:hint="cs"/>
          <w:rtl/>
        </w:rPr>
        <w:t>-</w:t>
      </w:r>
      <w:r w:rsidRPr="002611D0">
        <w:rPr>
          <w:rStyle w:val="a7"/>
          <w:rFonts w:ascii="Times New Roman" w:hAnsi="Times New Roman"/>
        </w:rPr>
        <w:footnoteReference w:id="6"/>
      </w:r>
      <w:r w:rsidRPr="00231483">
        <w:rPr>
          <w:rFonts w:ascii="Times New Roman" w:hAnsi="Times New Roman"/>
          <w:sz w:val="22"/>
          <w:szCs w:val="22"/>
        </w:rPr>
        <w:t>OECD</w:t>
      </w:r>
      <w:r w:rsidRPr="002611D0">
        <w:rPr>
          <w:rFonts w:ascii="Times New Roman" w:hAnsi="Times New Roman" w:hint="cs"/>
          <w:rtl/>
        </w:rPr>
        <w:t xml:space="preserve">. </w:t>
      </w:r>
      <w:r>
        <w:rPr>
          <w:rFonts w:ascii="Times New Roman" w:hAnsi="Times New Roman" w:hint="cs"/>
          <w:rtl/>
        </w:rPr>
        <w:t xml:space="preserve">זהו </w:t>
      </w:r>
      <w:r w:rsidRPr="002611D0">
        <w:rPr>
          <w:rFonts w:ascii="Times New Roman" w:hAnsi="Times New Roman" w:hint="cs"/>
          <w:rtl/>
        </w:rPr>
        <w:t xml:space="preserve">למשל </w:t>
      </w:r>
      <w:r>
        <w:rPr>
          <w:rFonts w:ascii="Times New Roman" w:hAnsi="Times New Roman" w:hint="cs"/>
          <w:rtl/>
        </w:rPr>
        <w:t>המצב ב</w:t>
      </w:r>
      <w:r w:rsidRPr="002611D0">
        <w:rPr>
          <w:rFonts w:ascii="Times New Roman" w:hAnsi="Times New Roman" w:hint="cs"/>
          <w:rtl/>
        </w:rPr>
        <w:t xml:space="preserve">ענפי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>תעשייה שמייצאים מעט יחסית, ו</w:t>
      </w:r>
      <w:r>
        <w:rPr>
          <w:rFonts w:ascii="Times New Roman" w:hAnsi="Times New Roman" w:hint="cs"/>
          <w:rtl/>
        </w:rPr>
        <w:t xml:space="preserve">כן </w:t>
      </w:r>
      <w:r w:rsidRPr="002611D0">
        <w:rPr>
          <w:rFonts w:ascii="Times New Roman" w:hAnsi="Times New Roman" w:hint="cs"/>
          <w:rtl/>
        </w:rPr>
        <w:t xml:space="preserve">בענפי הבנייה והמסחר </w:t>
      </w:r>
      <w:r>
        <w:rPr>
          <w:rFonts w:ascii="Times New Roman" w:hAnsi="Times New Roman" w:hint="cs"/>
          <w:rtl/>
        </w:rPr>
        <w:t xml:space="preserve">שמעצם טבעם </w:t>
      </w:r>
      <w:r w:rsidRPr="002611D0">
        <w:rPr>
          <w:rFonts w:ascii="Times New Roman" w:hAnsi="Times New Roman" w:hint="cs"/>
          <w:rtl/>
        </w:rPr>
        <w:t>מוכרים</w:t>
      </w:r>
      <w:r>
        <w:rPr>
          <w:rFonts w:ascii="Times New Roman" w:hAnsi="Times New Roman" w:hint="cs"/>
          <w:rtl/>
        </w:rPr>
        <w:t xml:space="preserve"> </w:t>
      </w:r>
      <w:r w:rsidRPr="002611D0">
        <w:rPr>
          <w:rFonts w:ascii="Times New Roman" w:hAnsi="Times New Roman" w:hint="cs"/>
          <w:rtl/>
        </w:rPr>
        <w:t xml:space="preserve">לשוק המקומי. המסקנה המתבקשת היא שהמשכילים בענפים אלה </w:t>
      </w:r>
      <w:r>
        <w:rPr>
          <w:rFonts w:ascii="Times New Roman" w:hAnsi="Times New Roman" w:hint="cs"/>
          <w:rtl/>
        </w:rPr>
        <w:t>רכשו השכלה שאינה רלוונטית ל</w:t>
      </w:r>
      <w:r w:rsidRPr="002611D0">
        <w:rPr>
          <w:rFonts w:ascii="Times New Roman" w:hAnsi="Times New Roman" w:hint="cs"/>
          <w:rtl/>
        </w:rPr>
        <w:t xml:space="preserve">משרה </w:t>
      </w:r>
      <w:r>
        <w:rPr>
          <w:rFonts w:ascii="Times New Roman" w:hAnsi="Times New Roman" w:hint="cs"/>
          <w:rtl/>
        </w:rPr>
        <w:t>שהם מאיישים</w:t>
      </w:r>
      <w:r w:rsidRPr="002611D0">
        <w:rPr>
          <w:rFonts w:ascii="Times New Roman" w:hAnsi="Times New Roman" w:hint="cs"/>
          <w:rtl/>
        </w:rPr>
        <w:t>. ממצא זה עולה בקנה אחד עם ממצא חשוב של ברנד</w:t>
      </w:r>
      <w:r>
        <w:rPr>
          <w:rFonts w:ascii="Times New Roman" w:hAnsi="Times New Roman" w:hint="cs"/>
          <w:rtl/>
        </w:rPr>
        <w:t>, היינו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שבישראל יש </w:t>
      </w:r>
      <w:r w:rsidRPr="002611D0">
        <w:rPr>
          <w:rFonts w:ascii="Times New Roman" w:hAnsi="Times New Roman" w:hint="cs"/>
          <w:rtl/>
        </w:rPr>
        <w:t xml:space="preserve">תשואה </w:t>
      </w:r>
      <w:r>
        <w:rPr>
          <w:rFonts w:ascii="Times New Roman" w:hAnsi="Times New Roman" w:hint="cs"/>
          <w:rtl/>
        </w:rPr>
        <w:t xml:space="preserve">נמוכה מאוד </w:t>
      </w:r>
      <w:r w:rsidRPr="002611D0">
        <w:rPr>
          <w:rFonts w:ascii="Times New Roman" w:hAnsi="Times New Roman" w:hint="cs"/>
          <w:rtl/>
        </w:rPr>
        <w:t>להשכלה בענפים שמוכרים בעיקר לשוק המקומי. המסקנה שה</w:t>
      </w:r>
      <w:r>
        <w:rPr>
          <w:rFonts w:ascii="Times New Roman" w:hAnsi="Times New Roman" w:hint="cs"/>
          <w:rtl/>
        </w:rPr>
        <w:t>סקנו</w:t>
      </w:r>
      <w:r w:rsidRPr="002611D0">
        <w:rPr>
          <w:rFonts w:ascii="Times New Roman" w:hAnsi="Times New Roman" w:hint="cs"/>
          <w:rtl/>
        </w:rPr>
        <w:t xml:space="preserve"> מסייעת להסביר </w:t>
      </w:r>
      <w:r>
        <w:rPr>
          <w:rFonts w:ascii="Times New Roman" w:hAnsi="Times New Roman" w:hint="cs"/>
          <w:rtl/>
        </w:rPr>
        <w:t xml:space="preserve">הן </w:t>
      </w:r>
      <w:r w:rsidRPr="002611D0">
        <w:rPr>
          <w:rFonts w:ascii="Times New Roman" w:hAnsi="Times New Roman" w:hint="cs"/>
          <w:rtl/>
        </w:rPr>
        <w:t xml:space="preserve">את הפריון הנמוך בענפים אלו </w:t>
      </w:r>
      <w:r>
        <w:rPr>
          <w:rFonts w:ascii="Times New Roman" w:hAnsi="Times New Roman" w:hint="cs"/>
          <w:rtl/>
        </w:rPr>
        <w:t>והן</w:t>
      </w:r>
      <w:r w:rsidRPr="002611D0">
        <w:rPr>
          <w:rFonts w:ascii="Times New Roman" w:hAnsi="Times New Roman" w:hint="cs"/>
          <w:rtl/>
        </w:rPr>
        <w:t xml:space="preserve"> את התשואה הנמוכה להשכלה של עובדיהם.</w:t>
      </w:r>
      <w:r>
        <w:rPr>
          <w:rFonts w:ascii="Times New Roman" w:hAnsi="Times New Roman" w:hint="cs"/>
          <w:rtl/>
        </w:rPr>
        <w:t xml:space="preserve">  </w:t>
      </w:r>
    </w:p>
    <w:p w:rsidR="00CB0B46" w:rsidRDefault="00CB0B46" w:rsidP="00231483">
      <w:pPr>
        <w:bidi/>
        <w:spacing w:after="240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>נתונים מישראל על התפתחות מלאי ההון</w:t>
      </w:r>
      <w:r w:rsidRPr="002611D0">
        <w:rPr>
          <w:rStyle w:val="a7"/>
          <w:rFonts w:ascii="Times New Roman" w:hAnsi="Times New Roman"/>
          <w:rtl/>
        </w:rPr>
        <w:footnoteReference w:id="7"/>
      </w:r>
      <w:r w:rsidRPr="002611D0">
        <w:rPr>
          <w:rFonts w:ascii="Times New Roman" w:hAnsi="Times New Roman" w:hint="cs"/>
          <w:rtl/>
        </w:rPr>
        <w:t xml:space="preserve"> לעובד עקביים עם פיגור הפריון בענפים המוכרים בעיקר לשוק המקומי. כפי שעולה מאיור 3, </w:t>
      </w:r>
      <w:r>
        <w:rPr>
          <w:rFonts w:ascii="Times New Roman" w:hAnsi="Times New Roman" w:hint="cs"/>
          <w:rtl/>
        </w:rPr>
        <w:t xml:space="preserve">בין 1995 ל-2011 חל גידול מהיר ועקבי במלאי ההון לעובד </w:t>
      </w:r>
      <w:r w:rsidRPr="002611D0">
        <w:rPr>
          <w:rFonts w:ascii="Times New Roman" w:hAnsi="Times New Roman" w:hint="cs"/>
          <w:rtl/>
        </w:rPr>
        <w:t>בענפי התעשייה המייצאים</w:t>
      </w:r>
      <w:r w:rsidRPr="002611D0">
        <w:rPr>
          <w:rStyle w:val="a7"/>
          <w:rFonts w:ascii="Times New Roman" w:hAnsi="Times New Roman"/>
          <w:rtl/>
        </w:rPr>
        <w:footnoteReference w:id="8"/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בשעה ש</w:t>
      </w:r>
      <w:r w:rsidRPr="002611D0">
        <w:rPr>
          <w:rFonts w:ascii="Times New Roman" w:hAnsi="Times New Roman" w:hint="cs"/>
          <w:rtl/>
        </w:rPr>
        <w:t xml:space="preserve">בענפים האחרים </w:t>
      </w:r>
      <w:r>
        <w:rPr>
          <w:rFonts w:ascii="Times New Roman" w:hAnsi="Times New Roman" w:hint="cs"/>
          <w:rtl/>
        </w:rPr>
        <w:t xml:space="preserve">גידולו היה </w:t>
      </w:r>
      <w:r w:rsidRPr="002611D0">
        <w:rPr>
          <w:rFonts w:ascii="Times New Roman" w:hAnsi="Times New Roman" w:hint="cs"/>
          <w:rtl/>
        </w:rPr>
        <w:t>מתון בהרבה</w:t>
      </w:r>
      <w:r>
        <w:rPr>
          <w:rFonts w:ascii="Times New Roman" w:hAnsi="Times New Roman" w:hint="cs"/>
          <w:rtl/>
        </w:rPr>
        <w:t xml:space="preserve">, ובסוף </w:t>
      </w:r>
      <w:r>
        <w:rPr>
          <w:rFonts w:ascii="Times New Roman" w:hAnsi="Times New Roman" w:hint="cs"/>
          <w:rtl/>
        </w:rPr>
        <w:lastRenderedPageBreak/>
        <w:t>התקופה הוא אף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היה </w:t>
      </w:r>
      <w:r w:rsidRPr="002611D0">
        <w:rPr>
          <w:rFonts w:ascii="Times New Roman" w:hAnsi="Times New Roman" w:hint="cs"/>
          <w:rtl/>
        </w:rPr>
        <w:t>אפסי</w:t>
      </w:r>
      <w:r w:rsidRPr="002611D0">
        <w:rPr>
          <w:rStyle w:val="a7"/>
          <w:rFonts w:ascii="Times New Roman" w:hAnsi="Times New Roman"/>
          <w:rtl/>
        </w:rPr>
        <w:footnoteReference w:id="9"/>
      </w:r>
      <w:r w:rsidRPr="002611D0">
        <w:rPr>
          <w:rFonts w:ascii="Times New Roman" w:hAnsi="Times New Roman" w:hint="cs"/>
          <w:rtl/>
        </w:rPr>
        <w:t xml:space="preserve">. מתינות העלייה </w:t>
      </w:r>
      <w:r>
        <w:rPr>
          <w:rFonts w:ascii="Times New Roman" w:hAnsi="Times New Roman" w:hint="cs"/>
          <w:rtl/>
        </w:rPr>
        <w:t xml:space="preserve">בענפים אחרים אלה </w:t>
      </w:r>
      <w:r w:rsidRPr="002611D0">
        <w:rPr>
          <w:rFonts w:ascii="Times New Roman" w:hAnsi="Times New Roman" w:hint="cs"/>
          <w:rtl/>
        </w:rPr>
        <w:t xml:space="preserve">יכולה לנבוע מכך שהתפוקה השולית של ההון נמוכה </w:t>
      </w:r>
      <w:r>
        <w:rPr>
          <w:rFonts w:ascii="Times New Roman" w:hAnsi="Times New Roman" w:hint="cs"/>
          <w:rtl/>
        </w:rPr>
        <w:t>בהם</w:t>
      </w:r>
      <w:r w:rsidRPr="002611D0">
        <w:rPr>
          <w:rFonts w:ascii="Times New Roman" w:hAnsi="Times New Roman" w:hint="cs"/>
          <w:rtl/>
        </w:rPr>
        <w:t>, בין השאר בגלל חולשת ההון האנושי שמצאנו בהם. מתינות זו מתבטאת כמובן בגידול איטי של הפריון לעובד, אך היא עלולה גם לשקף איטי</w:t>
      </w:r>
      <w:r>
        <w:rPr>
          <w:rFonts w:ascii="Times New Roman" w:hAnsi="Times New Roman" w:hint="cs"/>
          <w:rtl/>
        </w:rPr>
        <w:t>ות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בהטמעה של </w:t>
      </w:r>
      <w:r w:rsidRPr="002611D0">
        <w:rPr>
          <w:rFonts w:ascii="Times New Roman" w:hAnsi="Times New Roman" w:hint="cs"/>
          <w:rtl/>
        </w:rPr>
        <w:t>חדשנות טכנולוגית</w:t>
      </w:r>
      <w:r>
        <w:rPr>
          <w:rFonts w:ascii="Times New Roman" w:hAnsi="Times New Roman" w:hint="cs"/>
          <w:rtl/>
        </w:rPr>
        <w:t>.</w:t>
      </w:r>
    </w:p>
    <w:p w:rsidR="00CC65F7" w:rsidRPr="002611D0" w:rsidRDefault="00CC65F7" w:rsidP="00CC65F7">
      <w:pPr>
        <w:bidi/>
        <w:spacing w:after="240"/>
        <w:jc w:val="center"/>
        <w:rPr>
          <w:rFonts w:ascii="Times New Roman" w:hAnsi="Times New Roman"/>
          <w:rtl/>
        </w:rPr>
      </w:pPr>
      <w:r w:rsidRPr="00CC65F7">
        <w:rPr>
          <w:noProof/>
          <w:rtl/>
        </w:rPr>
        <w:drawing>
          <wp:inline distT="0" distB="0" distL="0" distR="0">
            <wp:extent cx="4176117" cy="581025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96" cy="58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46" w:rsidRPr="002611D0" w:rsidRDefault="00CB0B46" w:rsidP="00231483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 xml:space="preserve">הממצאים שהבאנו מחדדים את 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>תמונ</w:t>
      </w:r>
      <w:r>
        <w:rPr>
          <w:rFonts w:ascii="Times New Roman" w:hAnsi="Times New Roman" w:hint="cs"/>
          <w:rtl/>
        </w:rPr>
        <w:t>ה</w:t>
      </w:r>
      <w:r w:rsidRPr="002611D0">
        <w:rPr>
          <w:rFonts w:ascii="Times New Roman" w:hAnsi="Times New Roman" w:hint="cs"/>
          <w:rtl/>
        </w:rPr>
        <w:t xml:space="preserve"> הדואלית </w:t>
      </w:r>
      <w:r>
        <w:rPr>
          <w:rFonts w:ascii="Times New Roman" w:hAnsi="Times New Roman" w:hint="cs"/>
          <w:rtl/>
        </w:rPr>
        <w:t>המצטיירת</w:t>
      </w:r>
      <w:r w:rsidRPr="002611D0">
        <w:rPr>
          <w:rFonts w:ascii="Times New Roman" w:hAnsi="Times New Roman" w:hint="cs"/>
          <w:rtl/>
        </w:rPr>
        <w:t xml:space="preserve"> במשק. </w:t>
      </w:r>
      <w:r>
        <w:rPr>
          <w:rFonts w:ascii="Times New Roman" w:hAnsi="Times New Roman" w:hint="cs"/>
          <w:rtl/>
        </w:rPr>
        <w:t>המגזר המייצא</w:t>
      </w:r>
      <w:r w:rsidRPr="002611D0">
        <w:rPr>
          <w:rFonts w:ascii="Times New Roman" w:hAnsi="Times New Roman" w:hint="cs"/>
          <w:rtl/>
        </w:rPr>
        <w:t xml:space="preserve"> וחלק מענפי השירותים </w:t>
      </w:r>
      <w:r>
        <w:rPr>
          <w:rFonts w:ascii="Times New Roman" w:hAnsi="Times New Roman" w:hint="cs"/>
          <w:rtl/>
        </w:rPr>
        <w:t>ניצלו</w:t>
      </w:r>
      <w:r w:rsidRPr="002611D0">
        <w:rPr>
          <w:rFonts w:ascii="Times New Roman" w:hAnsi="Times New Roman" w:hint="cs"/>
          <w:rtl/>
        </w:rPr>
        <w:t xml:space="preserve"> בהדרגה את היתרון היחסי של ישראל בתחום ההון האנושי והחדשנות</w:t>
      </w:r>
      <w:r>
        <w:rPr>
          <w:rFonts w:ascii="Times New Roman" w:hAnsi="Times New Roman" w:hint="cs"/>
          <w:rtl/>
        </w:rPr>
        <w:t>, והדבר</w:t>
      </w:r>
      <w:r w:rsidRPr="002611D0">
        <w:rPr>
          <w:rFonts w:ascii="Times New Roman" w:hAnsi="Times New Roman" w:hint="cs"/>
          <w:rtl/>
        </w:rPr>
        <w:t xml:space="preserve"> מניב פריון יחסי גבוה</w:t>
      </w:r>
      <w:r>
        <w:rPr>
          <w:rFonts w:ascii="Times New Roman" w:hAnsi="Times New Roman" w:hint="cs"/>
          <w:rtl/>
        </w:rPr>
        <w:t>;</w:t>
      </w:r>
      <w:r w:rsidRPr="002611D0">
        <w:rPr>
          <w:rFonts w:ascii="Times New Roman" w:hAnsi="Times New Roman" w:hint="cs"/>
          <w:rtl/>
        </w:rPr>
        <w:t xml:space="preserve"> החלק האחר</w:t>
      </w:r>
      <w:r>
        <w:rPr>
          <w:rFonts w:ascii="Times New Roman" w:hAnsi="Times New Roman" w:hint="cs"/>
          <w:rtl/>
        </w:rPr>
        <w:t xml:space="preserve"> של המשק, לעומת זאת,</w:t>
      </w:r>
      <w:r w:rsidRPr="002611D0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אינו</w:t>
      </w:r>
      <w:r w:rsidRPr="002611D0">
        <w:rPr>
          <w:rFonts w:ascii="Times New Roman" w:hAnsi="Times New Roman" w:hint="cs"/>
          <w:rtl/>
        </w:rPr>
        <w:t xml:space="preserve"> מנצל </w:t>
      </w:r>
      <w:r>
        <w:rPr>
          <w:rFonts w:ascii="Times New Roman" w:hAnsi="Times New Roman" w:hint="cs"/>
          <w:rtl/>
        </w:rPr>
        <w:t>כ</w:t>
      </w:r>
      <w:r w:rsidRPr="002611D0">
        <w:rPr>
          <w:rFonts w:ascii="Times New Roman" w:hAnsi="Times New Roman" w:hint="cs"/>
          <w:rtl/>
        </w:rPr>
        <w:t>הלכה את היתרון של ישראל בתחום זה</w:t>
      </w:r>
      <w:r w:rsidRPr="002611D0">
        <w:rPr>
          <w:rStyle w:val="a7"/>
          <w:rFonts w:ascii="Times New Roman" w:hAnsi="Times New Roman"/>
          <w:rtl/>
        </w:rPr>
        <w:footnoteReference w:id="10"/>
      </w:r>
      <w:r w:rsidRPr="002611D0">
        <w:rPr>
          <w:rFonts w:ascii="Times New Roman" w:hAnsi="Times New Roman" w:hint="cs"/>
          <w:rtl/>
        </w:rPr>
        <w:t>. הענפים שנותרו מאחור הם ענפים עתירי עבודה ש</w:t>
      </w:r>
      <w:r>
        <w:rPr>
          <w:rFonts w:ascii="Times New Roman" w:hAnsi="Times New Roman" w:hint="cs"/>
          <w:rtl/>
        </w:rPr>
        <w:t>מצליחים להתבסס</w:t>
      </w:r>
      <w:r w:rsidRPr="002611D0">
        <w:rPr>
          <w:rFonts w:ascii="Times New Roman" w:hAnsi="Times New Roman" w:hint="cs"/>
          <w:rtl/>
        </w:rPr>
        <w:t xml:space="preserve"> על </w:t>
      </w:r>
      <w:r w:rsidRPr="002611D0">
        <w:rPr>
          <w:rFonts w:ascii="Times New Roman" w:hAnsi="Times New Roman" w:hint="cs"/>
          <w:rtl/>
        </w:rPr>
        <w:lastRenderedPageBreak/>
        <w:t>כוח עבודה זול יחסית, הודות לריבוי הטבעי המהיר בישראל והודות לשימוש בעובדים זרים המשתכרים שכר נמוך.</w:t>
      </w:r>
    </w:p>
    <w:p w:rsidR="00CB0B46" w:rsidRPr="002611D0" w:rsidRDefault="00CB0B46" w:rsidP="00231483">
      <w:pPr>
        <w:bidi/>
        <w:spacing w:after="240"/>
        <w:rPr>
          <w:rFonts w:ascii="Times New Roman" w:hAnsi="Times New Roman"/>
          <w:rtl/>
        </w:rPr>
      </w:pPr>
      <w:r w:rsidRPr="002611D0">
        <w:rPr>
          <w:rFonts w:ascii="Times New Roman" w:hAnsi="Times New Roman" w:hint="cs"/>
          <w:rtl/>
        </w:rPr>
        <w:t>המועצה הלאומית לכלכלה מצאה שקיי</w:t>
      </w:r>
      <w:r>
        <w:rPr>
          <w:rFonts w:ascii="Times New Roman" w:hAnsi="Times New Roman" w:hint="cs"/>
          <w:rtl/>
        </w:rPr>
        <w:t>מי</w:t>
      </w:r>
      <w:r w:rsidRPr="002611D0">
        <w:rPr>
          <w:rFonts w:ascii="Times New Roman" w:hAnsi="Times New Roman" w:hint="cs"/>
          <w:rtl/>
        </w:rPr>
        <w:t xml:space="preserve">ם </w:t>
      </w:r>
      <w:r>
        <w:rPr>
          <w:rFonts w:ascii="Times New Roman" w:hAnsi="Times New Roman" w:hint="cs"/>
          <w:rtl/>
        </w:rPr>
        <w:t xml:space="preserve">במשק </w:t>
      </w:r>
      <w:r w:rsidRPr="002611D0">
        <w:rPr>
          <w:rFonts w:ascii="Times New Roman" w:hAnsi="Times New Roman" w:hint="cs"/>
          <w:rtl/>
        </w:rPr>
        <w:t>מחסור במהנדסים וחסמים להגדלת מספרם</w:t>
      </w:r>
      <w:r>
        <w:rPr>
          <w:rFonts w:ascii="Times New Roman" w:hAnsi="Times New Roman" w:hint="cs"/>
          <w:rtl/>
        </w:rPr>
        <w:t>,</w:t>
      </w:r>
      <w:r w:rsidRPr="002611D0">
        <w:rPr>
          <w:rFonts w:ascii="Times New Roman" w:hAnsi="Times New Roman" w:hint="cs"/>
          <w:rtl/>
        </w:rPr>
        <w:t xml:space="preserve"> וגורמים שונים פועלים לטיפול בבעיה. חשוב להמשיך ולטפח את ענפי היצוא עתירי ההון האנושי והחדשנות באמצעות הסרת חסמים להגדלה נוספת של היצע העובדים במקצועות ההנדסה הרלוונטיים לתחום הטכנולוגיה העילית. </w:t>
      </w:r>
      <w:r>
        <w:rPr>
          <w:rFonts w:ascii="Times New Roman" w:hAnsi="Times New Roman" w:hint="cs"/>
          <w:rtl/>
        </w:rPr>
        <w:t>מצד שני</w:t>
      </w:r>
      <w:r w:rsidRPr="002611D0">
        <w:rPr>
          <w:rFonts w:ascii="Times New Roman" w:hAnsi="Times New Roman" w:hint="cs"/>
          <w:rtl/>
        </w:rPr>
        <w:t xml:space="preserve">, </w:t>
      </w:r>
      <w:r>
        <w:rPr>
          <w:rFonts w:ascii="Times New Roman" w:hAnsi="Times New Roman" w:hint="cs"/>
          <w:rtl/>
        </w:rPr>
        <w:t>י</w:t>
      </w:r>
      <w:r w:rsidRPr="002611D0">
        <w:rPr>
          <w:rFonts w:ascii="Times New Roman" w:hAnsi="Times New Roman" w:hint="cs"/>
          <w:rtl/>
        </w:rPr>
        <w:t xml:space="preserve">יתכן שהפוטנציאל המשמעותי יותר לשיפור הפריון במשק טמון דווקא בענפי תעשייה </w:t>
      </w:r>
      <w:r>
        <w:rPr>
          <w:rFonts w:ascii="Times New Roman" w:hAnsi="Times New Roman" w:hint="cs"/>
          <w:rtl/>
        </w:rPr>
        <w:t>שאינם מייצאים הרבה</w:t>
      </w:r>
      <w:r w:rsidRPr="002611D0">
        <w:rPr>
          <w:rFonts w:ascii="Times New Roman" w:hAnsi="Times New Roman" w:hint="cs"/>
          <w:rtl/>
        </w:rPr>
        <w:t xml:space="preserve"> לעת עתה, ובוודאי בענפים בלתי סחירים כמו ענף הבנייה, ענף המסחר והחלק המסורתי יותר של ענפי השירותים שקיומם מחויב המציאות</w:t>
      </w:r>
      <w:r>
        <w:rPr>
          <w:rFonts w:ascii="Times New Roman" w:hAnsi="Times New Roman" w:hint="cs"/>
          <w:rtl/>
        </w:rPr>
        <w:t xml:space="preserve">. </w:t>
      </w:r>
      <w:r w:rsidRPr="002611D0">
        <w:rPr>
          <w:rFonts w:ascii="Times New Roman" w:hAnsi="Times New Roman" w:hint="cs"/>
          <w:rtl/>
        </w:rPr>
        <w:t xml:space="preserve">לשם מימוש הפוטנציאל בהם </w:t>
      </w:r>
      <w:r>
        <w:rPr>
          <w:rFonts w:ascii="Times New Roman" w:hAnsi="Times New Roman" w:hint="cs"/>
          <w:rtl/>
        </w:rPr>
        <w:t>יש לגבש וליישם</w:t>
      </w:r>
      <w:r w:rsidRPr="002611D0">
        <w:rPr>
          <w:rFonts w:ascii="Times New Roman" w:hAnsi="Times New Roman" w:hint="cs"/>
          <w:rtl/>
        </w:rPr>
        <w:t xml:space="preserve"> מדיניות שתגדיל את ההיצע של עובדים </w:t>
      </w:r>
      <w:r>
        <w:rPr>
          <w:rFonts w:ascii="Times New Roman" w:hAnsi="Times New Roman" w:hint="cs"/>
          <w:rtl/>
        </w:rPr>
        <w:t>בעלי</w:t>
      </w:r>
      <w:r w:rsidRPr="002611D0">
        <w:rPr>
          <w:rFonts w:ascii="Times New Roman" w:hAnsi="Times New Roman" w:hint="cs"/>
          <w:rtl/>
        </w:rPr>
        <w:t xml:space="preserve"> השכלה רלוונטית</w:t>
      </w:r>
      <w:r>
        <w:rPr>
          <w:rFonts w:ascii="Times New Roman" w:hAnsi="Times New Roman" w:hint="cs"/>
          <w:rtl/>
        </w:rPr>
        <w:t xml:space="preserve"> להם</w:t>
      </w:r>
      <w:r w:rsidRPr="002611D0">
        <w:rPr>
          <w:rFonts w:ascii="Times New Roman" w:hAnsi="Times New Roman" w:hint="cs"/>
          <w:rtl/>
        </w:rPr>
        <w:t xml:space="preserve">, תעודד </w:t>
      </w:r>
      <w:r>
        <w:rPr>
          <w:rFonts w:ascii="Times New Roman" w:hAnsi="Times New Roman" w:hint="cs"/>
          <w:rtl/>
        </w:rPr>
        <w:t xml:space="preserve">בהם הטמעה של </w:t>
      </w:r>
      <w:r w:rsidRPr="002611D0">
        <w:rPr>
          <w:rFonts w:ascii="Times New Roman" w:hAnsi="Times New Roman" w:hint="cs"/>
          <w:rtl/>
        </w:rPr>
        <w:t>החזית הטכנולוגי</w:t>
      </w:r>
      <w:r>
        <w:rPr>
          <w:rFonts w:ascii="Times New Roman" w:hAnsi="Times New Roman" w:hint="cs"/>
          <w:rtl/>
        </w:rPr>
        <w:t>ת</w:t>
      </w:r>
      <w:r w:rsidRPr="002611D0">
        <w:rPr>
          <w:rStyle w:val="a7"/>
          <w:rFonts w:ascii="Times New Roman" w:hAnsi="Times New Roman"/>
          <w:rtl/>
        </w:rPr>
        <w:footnoteReference w:id="11"/>
      </w:r>
      <w:r w:rsidRPr="002611D0">
        <w:rPr>
          <w:rFonts w:ascii="Times New Roman" w:hAnsi="Times New Roman" w:hint="cs"/>
          <w:rtl/>
        </w:rPr>
        <w:t>, ותגביר את הסתמכותם על עובדים בעלי מיומנ</w:t>
      </w:r>
      <w:r>
        <w:rPr>
          <w:rFonts w:ascii="Times New Roman" w:hAnsi="Times New Roman" w:hint="cs"/>
          <w:rtl/>
        </w:rPr>
        <w:t>ו</w:t>
      </w:r>
      <w:r w:rsidRPr="002611D0">
        <w:rPr>
          <w:rFonts w:ascii="Times New Roman" w:hAnsi="Times New Roman" w:hint="cs"/>
          <w:rtl/>
        </w:rPr>
        <w:t xml:space="preserve">יות והון אנושי. כך אולי יצטמצם </w:t>
      </w:r>
      <w:r>
        <w:rPr>
          <w:rFonts w:ascii="Times New Roman" w:hAnsi="Times New Roman" w:hint="cs"/>
          <w:rtl/>
        </w:rPr>
        <w:t xml:space="preserve">הפיגור </w:t>
      </w:r>
      <w:r w:rsidRPr="002611D0">
        <w:rPr>
          <w:rFonts w:ascii="Times New Roman" w:hAnsi="Times New Roman" w:hint="cs"/>
          <w:rtl/>
        </w:rPr>
        <w:t>בעתירות ההון האנושי של חלק מהענפים, תגדל בהם כדאיות ההשקעה בהון פי</w:t>
      </w:r>
      <w:r>
        <w:rPr>
          <w:rFonts w:ascii="Times New Roman" w:hAnsi="Times New Roman" w:hint="cs"/>
          <w:rtl/>
        </w:rPr>
        <w:t>ז</w:t>
      </w:r>
      <w:r w:rsidRPr="002611D0">
        <w:rPr>
          <w:rFonts w:ascii="Times New Roman" w:hAnsi="Times New Roman" w:hint="cs"/>
          <w:rtl/>
        </w:rPr>
        <w:t xml:space="preserve">י, ויקטן פיגור הפריון </w:t>
      </w:r>
      <w:r>
        <w:rPr>
          <w:rFonts w:ascii="Times New Roman" w:hAnsi="Times New Roman" w:hint="cs"/>
          <w:rtl/>
        </w:rPr>
        <w:t>בהם</w:t>
      </w:r>
      <w:r w:rsidRPr="002611D0">
        <w:rPr>
          <w:rFonts w:ascii="Times New Roman" w:hAnsi="Times New Roman" w:hint="cs"/>
          <w:rtl/>
        </w:rPr>
        <w:t xml:space="preserve"> ובכלל המשק.</w:t>
      </w:r>
    </w:p>
    <w:sectPr w:rsidR="00CB0B46" w:rsidRPr="002611D0" w:rsidSect="003349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23" w:rsidRDefault="003A4523" w:rsidP="00CB0B46">
      <w:pPr>
        <w:spacing w:line="240" w:lineRule="auto"/>
      </w:pPr>
      <w:r>
        <w:separator/>
      </w:r>
    </w:p>
  </w:endnote>
  <w:endnote w:type="continuationSeparator" w:id="0">
    <w:p w:rsidR="003A4523" w:rsidRDefault="003A4523" w:rsidP="00CB0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B" w:rsidRDefault="009D10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-2015447977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3349B5" w:rsidRPr="003349B5" w:rsidRDefault="003349B5" w:rsidP="003349B5">
            <w:pPr>
              <w:pStyle w:val="ac"/>
              <w:bidi/>
              <w:jc w:val="left"/>
              <w:rPr>
                <w:sz w:val="20"/>
                <w:szCs w:val="20"/>
                <w:cs/>
              </w:rPr>
            </w:pPr>
            <w:r w:rsidRPr="003349B5">
              <w:rPr>
                <w:rFonts w:hint="cs"/>
                <w:sz w:val="20"/>
                <w:szCs w:val="20"/>
                <w:rtl/>
                <w:cs/>
                <w:lang w:val="he-IL"/>
              </w:rPr>
              <w:t xml:space="preserve">בנק ישראל </w:t>
            </w:r>
            <w:r w:rsidRPr="003349B5">
              <w:rPr>
                <w:sz w:val="20"/>
                <w:szCs w:val="20"/>
                <w:rtl/>
                <w:lang w:val="he-IL"/>
              </w:rPr>
              <w:t>–</w:t>
            </w:r>
            <w:r w:rsidRPr="003349B5">
              <w:rPr>
                <w:rFonts w:hint="cs"/>
                <w:sz w:val="20"/>
                <w:szCs w:val="20"/>
                <w:rtl/>
                <w:cs/>
                <w:lang w:val="he-IL"/>
              </w:rPr>
              <w:t xml:space="preserve"> מתוך דוח בנק ישראל </w:t>
            </w:r>
            <w:r w:rsidRPr="003349B5">
              <w:rPr>
                <w:sz w:val="20"/>
                <w:szCs w:val="20"/>
                <w:rtl/>
                <w:lang w:val="he-IL"/>
              </w:rPr>
              <w:t>–</w:t>
            </w:r>
            <w:r w:rsidRPr="003349B5">
              <w:rPr>
                <w:rFonts w:hint="cs"/>
                <w:sz w:val="20"/>
                <w:szCs w:val="20"/>
                <w:rtl/>
                <w:cs/>
                <w:lang w:val="he-IL"/>
              </w:rPr>
              <w:t xml:space="preserve"> הפריון לעובד לפי ענפים</w:t>
            </w:r>
            <w:r w:rsidRPr="003349B5">
              <w:rPr>
                <w:rFonts w:hint="cs"/>
                <w:sz w:val="20"/>
                <w:szCs w:val="20"/>
                <w:rtl/>
                <w:cs/>
                <w:lang w:val="he-IL"/>
              </w:rPr>
              <w:tab/>
            </w:r>
            <w:r w:rsidRPr="003349B5">
              <w:rPr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3349B5">
              <w:rPr>
                <w:b/>
                <w:bCs/>
                <w:sz w:val="20"/>
                <w:szCs w:val="20"/>
              </w:rPr>
              <w:fldChar w:fldCharType="begin"/>
            </w:r>
            <w:r w:rsidRPr="003349B5">
              <w:rPr>
                <w:b/>
                <w:bCs/>
                <w:sz w:val="20"/>
                <w:szCs w:val="20"/>
                <w:cs/>
              </w:rPr>
              <w:instrText>PAGE</w:instrText>
            </w:r>
            <w:r w:rsidRPr="003349B5">
              <w:rPr>
                <w:b/>
                <w:bCs/>
                <w:sz w:val="20"/>
                <w:szCs w:val="20"/>
              </w:rPr>
              <w:fldChar w:fldCharType="separate"/>
            </w:r>
            <w:r w:rsidR="00502C4F">
              <w:rPr>
                <w:b/>
                <w:bCs/>
                <w:noProof/>
                <w:sz w:val="20"/>
                <w:szCs w:val="20"/>
                <w:rtl/>
              </w:rPr>
              <w:t>1</w:t>
            </w:r>
            <w:r w:rsidRPr="003349B5">
              <w:rPr>
                <w:b/>
                <w:bCs/>
                <w:sz w:val="20"/>
                <w:szCs w:val="20"/>
              </w:rPr>
              <w:fldChar w:fldCharType="end"/>
            </w:r>
            <w:r w:rsidRPr="003349B5">
              <w:rPr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3349B5">
              <w:rPr>
                <w:b/>
                <w:bCs/>
                <w:sz w:val="20"/>
                <w:szCs w:val="20"/>
              </w:rPr>
              <w:fldChar w:fldCharType="begin"/>
            </w:r>
            <w:r w:rsidRPr="003349B5">
              <w:rPr>
                <w:b/>
                <w:bCs/>
                <w:sz w:val="20"/>
                <w:szCs w:val="20"/>
                <w:cs/>
              </w:rPr>
              <w:instrText>NUMPAGES</w:instrText>
            </w:r>
            <w:r w:rsidRPr="003349B5">
              <w:rPr>
                <w:b/>
                <w:bCs/>
                <w:sz w:val="20"/>
                <w:szCs w:val="20"/>
              </w:rPr>
              <w:fldChar w:fldCharType="separate"/>
            </w:r>
            <w:r w:rsidR="00502C4F">
              <w:rPr>
                <w:b/>
                <w:bCs/>
                <w:noProof/>
                <w:sz w:val="20"/>
                <w:szCs w:val="20"/>
                <w:rtl/>
              </w:rPr>
              <w:t>6</w:t>
            </w:r>
            <w:r w:rsidRPr="003349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64FC9" w:rsidRDefault="00502C4F" w:rsidP="003349B5">
    <w:pPr>
      <w:pStyle w:val="ac"/>
      <w:bidi/>
      <w:rPr>
        <w:rFonts w:hint="cs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B" w:rsidRDefault="009D10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23" w:rsidRDefault="003A4523" w:rsidP="00CB0B46">
      <w:pPr>
        <w:spacing w:line="240" w:lineRule="auto"/>
      </w:pPr>
      <w:r>
        <w:separator/>
      </w:r>
    </w:p>
  </w:footnote>
  <w:footnote w:type="continuationSeparator" w:id="0">
    <w:p w:rsidR="003A4523" w:rsidRDefault="003A4523" w:rsidP="00CB0B46">
      <w:pPr>
        <w:spacing w:line="240" w:lineRule="auto"/>
      </w:pPr>
      <w:r>
        <w:continuationSeparator/>
      </w:r>
    </w:p>
  </w:footnote>
  <w:footnote w:id="1">
    <w:p w:rsidR="00CB0B46" w:rsidRDefault="00CB0B46" w:rsidP="00CB0B46">
      <w:pPr>
        <w:pStyle w:val="a5"/>
        <w:jc w:val="right"/>
      </w:pPr>
      <w:r>
        <w:rPr>
          <w:rStyle w:val="a7"/>
        </w:rPr>
        <w:footnoteRef/>
      </w:r>
      <w:r>
        <w:t xml:space="preserve"> </w:t>
      </w:r>
    </w:p>
    <w:p w:rsidR="00CB0B46" w:rsidRPr="00B70608" w:rsidRDefault="00CB0B46" w:rsidP="00CB0B46">
      <w:pPr>
        <w:pStyle w:val="a5"/>
        <w:rPr>
          <w:rFonts w:asciiTheme="majorBidi" w:hAnsiTheme="majorBidi" w:cstheme="majorBidi"/>
        </w:rPr>
      </w:pPr>
      <w:r w:rsidRPr="00B70608">
        <w:rPr>
          <w:rFonts w:asciiTheme="majorBidi" w:hAnsiTheme="majorBidi" w:cstheme="majorBidi"/>
        </w:rPr>
        <w:t xml:space="preserve">Brand </w:t>
      </w:r>
      <w:proofErr w:type="spellStart"/>
      <w:r w:rsidRPr="00B70608">
        <w:rPr>
          <w:rFonts w:asciiTheme="majorBidi" w:hAnsiTheme="majorBidi" w:cstheme="majorBidi"/>
        </w:rPr>
        <w:t>Gilad</w:t>
      </w:r>
      <w:proofErr w:type="spellEnd"/>
      <w:r w:rsidRPr="00B70608">
        <w:rPr>
          <w:rFonts w:asciiTheme="majorBidi" w:hAnsiTheme="majorBidi" w:cstheme="majorBidi"/>
        </w:rPr>
        <w:t xml:space="preserve">, </w:t>
      </w:r>
      <w:r w:rsidRPr="00B70608">
        <w:rPr>
          <w:rFonts w:asciiTheme="majorBidi" w:eastAsia="Times New Roman" w:hAnsiTheme="majorBidi" w:cstheme="majorBidi"/>
          <w:color w:val="121212"/>
        </w:rPr>
        <w:t>Israel's Growth Paradox: Declining Productivity and Returns to Human Capital</w:t>
      </w:r>
      <w:r w:rsidRPr="00B70608">
        <w:rPr>
          <w:rFonts w:asciiTheme="majorBidi" w:hAnsiTheme="majorBidi" w:cstheme="majorBidi"/>
        </w:rPr>
        <w:t xml:space="preserve">, </w:t>
      </w:r>
      <w:proofErr w:type="gramStart"/>
      <w:r w:rsidRPr="00B70608">
        <w:rPr>
          <w:rFonts w:asciiTheme="majorBidi" w:eastAsia="Times New Roman" w:hAnsiTheme="majorBidi" w:cstheme="majorBidi"/>
        </w:rPr>
        <w:t>The</w:t>
      </w:r>
      <w:proofErr w:type="gramEnd"/>
      <w:r w:rsidRPr="00B70608">
        <w:rPr>
          <w:rFonts w:asciiTheme="majorBidi" w:eastAsia="Times New Roman" w:hAnsiTheme="majorBidi" w:cstheme="majorBidi"/>
        </w:rPr>
        <w:t xml:space="preserve"> Milken Institute Fellows Program, 2014.</w:t>
      </w:r>
    </w:p>
  </w:footnote>
  <w:footnote w:id="2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הנתונים שיוצגו בהמשך התיבה </w:t>
      </w:r>
      <w:r>
        <w:rPr>
          <w:rFonts w:ascii="Times New Roman" w:hAnsi="Times New Roman" w:hint="cs"/>
          <w:rtl/>
        </w:rPr>
        <w:t>מתייחסים ל</w:t>
      </w:r>
      <w:r w:rsidRPr="00E1606E">
        <w:rPr>
          <w:rFonts w:ascii="Times New Roman" w:hAnsi="Times New Roman" w:hint="cs"/>
          <w:rtl/>
        </w:rPr>
        <w:t xml:space="preserve">פריון לעובד ולא </w:t>
      </w:r>
      <w:r>
        <w:rPr>
          <w:rFonts w:ascii="Times New Roman" w:hAnsi="Times New Roman" w:hint="cs"/>
          <w:rtl/>
        </w:rPr>
        <w:t>ל</w:t>
      </w:r>
      <w:r w:rsidRPr="00E1606E">
        <w:rPr>
          <w:rFonts w:ascii="Times New Roman" w:hAnsi="Times New Roman" w:hint="cs"/>
          <w:rtl/>
        </w:rPr>
        <w:t>פריון לשעת עבודה</w:t>
      </w:r>
      <w:r>
        <w:rPr>
          <w:rFonts w:ascii="Times New Roman" w:hAnsi="Times New Roman" w:hint="cs"/>
          <w:rtl/>
        </w:rPr>
        <w:t>, משום שב-</w:t>
      </w:r>
      <w:r>
        <w:rPr>
          <w:rFonts w:ascii="Times New Roman" w:hAnsi="Times New Roman"/>
        </w:rPr>
        <w:t>OECD</w:t>
      </w:r>
      <w:r>
        <w:rPr>
          <w:rFonts w:ascii="Times New Roman" w:hAnsi="Times New Roman" w:hint="cs"/>
          <w:rtl/>
        </w:rPr>
        <w:t xml:space="preserve"> יש רק נתונים חלקיים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על </w:t>
      </w:r>
      <w:r w:rsidRPr="00E1606E">
        <w:rPr>
          <w:rFonts w:ascii="Times New Roman" w:hAnsi="Times New Roman" w:hint="cs"/>
          <w:rtl/>
        </w:rPr>
        <w:t xml:space="preserve">שעות עבודה ברמת פירוט ענפית. </w:t>
      </w:r>
      <w:r>
        <w:rPr>
          <w:rFonts w:ascii="Times New Roman" w:hAnsi="Times New Roman" w:hint="cs"/>
          <w:rtl/>
        </w:rPr>
        <w:t xml:space="preserve">אך כשבדקנו את הנתונים </w:t>
      </w:r>
      <w:r w:rsidRPr="00E1606E">
        <w:rPr>
          <w:rFonts w:ascii="Times New Roman" w:hAnsi="Times New Roman" w:hint="cs"/>
          <w:rtl/>
        </w:rPr>
        <w:t xml:space="preserve">החלקיים מצאנו </w:t>
      </w:r>
      <w:r>
        <w:rPr>
          <w:rFonts w:ascii="Times New Roman" w:hAnsi="Times New Roman" w:hint="cs"/>
          <w:rtl/>
        </w:rPr>
        <w:t>שיחסית לממוצע ב-</w:t>
      </w:r>
      <w:r>
        <w:rPr>
          <w:rFonts w:ascii="Times New Roman" w:hAnsi="Times New Roman"/>
        </w:rPr>
        <w:t>OECD</w:t>
      </w:r>
      <w:r>
        <w:rPr>
          <w:rFonts w:ascii="Times New Roman" w:hAnsi="Times New Roman" w:hint="cs"/>
          <w:rtl/>
        </w:rPr>
        <w:t xml:space="preserve">, </w:t>
      </w:r>
      <w:r w:rsidRPr="00E1606E">
        <w:rPr>
          <w:rFonts w:ascii="Times New Roman" w:hAnsi="Times New Roman" w:hint="cs"/>
          <w:rtl/>
        </w:rPr>
        <w:t xml:space="preserve">מספר שעות העבודה בישראל </w:t>
      </w:r>
      <w:r>
        <w:rPr>
          <w:rFonts w:ascii="Times New Roman" w:hAnsi="Times New Roman" w:hint="cs"/>
          <w:rtl/>
        </w:rPr>
        <w:t xml:space="preserve">גבוה במידה </w:t>
      </w:r>
      <w:r w:rsidRPr="00E1606E">
        <w:rPr>
          <w:rFonts w:ascii="Times New Roman" w:hAnsi="Times New Roman" w:hint="cs"/>
          <w:rtl/>
        </w:rPr>
        <w:t>דומה בכל הענפים</w:t>
      </w:r>
      <w:r>
        <w:rPr>
          <w:rFonts w:ascii="Times New Roman" w:hAnsi="Times New Roman" w:hint="cs"/>
          <w:rtl/>
        </w:rPr>
        <w:t>.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לכן </w:t>
      </w:r>
      <w:r w:rsidRPr="00E1606E">
        <w:rPr>
          <w:rFonts w:ascii="Times New Roman" w:hAnsi="Times New Roman" w:hint="cs"/>
          <w:rtl/>
        </w:rPr>
        <w:t xml:space="preserve">המסקנות באשר לפערי הפריון הענפיים אינן רגישות </w:t>
      </w:r>
      <w:r>
        <w:rPr>
          <w:rFonts w:ascii="Times New Roman" w:hAnsi="Times New Roman" w:hint="cs"/>
          <w:rtl/>
        </w:rPr>
        <w:t xml:space="preserve">לכך שמשתמשים </w:t>
      </w:r>
      <w:r w:rsidRPr="00E1606E">
        <w:rPr>
          <w:rFonts w:ascii="Times New Roman" w:hAnsi="Times New Roman" w:hint="cs"/>
          <w:rtl/>
        </w:rPr>
        <w:t xml:space="preserve">בפריון לעובד </w:t>
      </w:r>
      <w:r>
        <w:rPr>
          <w:rFonts w:ascii="Times New Roman" w:hAnsi="Times New Roman" w:hint="cs"/>
          <w:rtl/>
        </w:rPr>
        <w:t xml:space="preserve">במקום </w:t>
      </w:r>
      <w:r w:rsidRPr="00E1606E">
        <w:rPr>
          <w:rFonts w:ascii="Times New Roman" w:hAnsi="Times New Roman" w:hint="cs"/>
          <w:rtl/>
        </w:rPr>
        <w:t>בפריון לשעת עבודה.</w:t>
      </w:r>
    </w:p>
  </w:footnote>
  <w:footnote w:id="3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הקשר בין המשתנים נמצא מובהק ברגרסיה. </w:t>
      </w:r>
    </w:p>
  </w:footnote>
  <w:footnote w:id="4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ענף זה </w:t>
      </w:r>
      <w:r w:rsidRPr="00E1606E">
        <w:rPr>
          <w:rFonts w:ascii="Times New Roman" w:hAnsi="Times New Roman" w:hint="cs"/>
          <w:rtl/>
        </w:rPr>
        <w:t xml:space="preserve">כולל בין השאר את ענפי המחשוב </w:t>
      </w:r>
      <w:r>
        <w:rPr>
          <w:rFonts w:ascii="Times New Roman" w:hAnsi="Times New Roman" w:hint="cs"/>
          <w:rtl/>
        </w:rPr>
        <w:t>והמו"פ</w:t>
      </w:r>
      <w:r w:rsidRPr="00E1606E">
        <w:rPr>
          <w:rFonts w:ascii="Times New Roman" w:hAnsi="Times New Roman" w:hint="cs"/>
          <w:rtl/>
        </w:rPr>
        <w:t>.</w:t>
      </w:r>
    </w:p>
  </w:footnote>
  <w:footnote w:id="5">
    <w:p w:rsidR="00CB0B46" w:rsidRDefault="00CB0B46" w:rsidP="00CB0B46">
      <w:pPr>
        <w:pStyle w:val="a5"/>
        <w:bidi/>
        <w:jc w:val="left"/>
      </w:pPr>
      <w:r>
        <w:rPr>
          <w:rStyle w:val="a7"/>
        </w:rPr>
        <w:footnoteRef/>
      </w:r>
      <w: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משלחי</w:t>
      </w:r>
      <w:r>
        <w:rPr>
          <w:rtl/>
        </w:rPr>
        <w:t xml:space="preserve"> </w:t>
      </w:r>
      <w:r>
        <w:rPr>
          <w:rFonts w:hint="cs"/>
          <w:rtl/>
        </w:rPr>
        <w:t>יד</w:t>
      </w:r>
      <w:r>
        <w:rPr>
          <w:rtl/>
        </w:rPr>
        <w:t xml:space="preserve"> </w:t>
      </w:r>
      <w:r>
        <w:rPr>
          <w:rFonts w:hint="cs"/>
          <w:rtl/>
        </w:rPr>
        <w:t>אקדמיים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>
        <w:rPr>
          <w:rtl/>
        </w:rPr>
        <w:t xml:space="preserve"> </w:t>
      </w:r>
      <w:r>
        <w:rPr>
          <w:rFonts w:hint="cs"/>
          <w:rtl/>
        </w:rPr>
        <w:t>סיווג</w:t>
      </w:r>
      <w:r>
        <w:rPr>
          <w:rtl/>
        </w:rPr>
        <w:t xml:space="preserve"> </w:t>
      </w:r>
      <w:r>
        <w:rPr>
          <w:rFonts w:hint="cs"/>
          <w:rtl/>
        </w:rPr>
        <w:t>משלחי</w:t>
      </w:r>
      <w:r>
        <w:rPr>
          <w:rtl/>
        </w:rPr>
        <w:t xml:space="preserve"> </w:t>
      </w:r>
      <w:r>
        <w:rPr>
          <w:rFonts w:hint="cs"/>
          <w:rtl/>
        </w:rPr>
        <w:t>היד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הלמ</w:t>
      </w:r>
      <w:r>
        <w:rPr>
          <w:rtl/>
        </w:rPr>
        <w:t>"</w:t>
      </w:r>
      <w:r>
        <w:rPr>
          <w:rFonts w:hint="cs"/>
          <w:rtl/>
        </w:rPr>
        <w:t>ס</w:t>
      </w:r>
      <w:r>
        <w:rPr>
          <w:rtl/>
        </w:rPr>
        <w:t xml:space="preserve"> </w:t>
      </w:r>
      <w:r>
        <w:rPr>
          <w:rFonts w:hint="cs"/>
          <w:rtl/>
        </w:rPr>
        <w:t>והסיווג</w:t>
      </w:r>
      <w:r>
        <w:rPr>
          <w:rtl/>
        </w:rPr>
        <w:t xml:space="preserve"> </w:t>
      </w:r>
      <w:r>
        <w:rPr>
          <w:rFonts w:hint="cs"/>
          <w:rtl/>
        </w:rPr>
        <w:t>הבינ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המקביל. הם כוללים למשל</w:t>
      </w:r>
      <w:r>
        <w:rPr>
          <w:rtl/>
        </w:rPr>
        <w:t xml:space="preserve"> </w:t>
      </w:r>
      <w:r>
        <w:rPr>
          <w:rFonts w:hint="cs"/>
          <w:rtl/>
        </w:rPr>
        <w:t>מהנדסים</w:t>
      </w:r>
      <w:r>
        <w:rPr>
          <w:rtl/>
        </w:rPr>
        <w:t xml:space="preserve">, </w:t>
      </w:r>
      <w:r>
        <w:rPr>
          <w:rFonts w:hint="cs"/>
          <w:rtl/>
        </w:rPr>
        <w:t>מדענים</w:t>
      </w:r>
      <w:r>
        <w:rPr>
          <w:rtl/>
        </w:rPr>
        <w:t xml:space="preserve">, </w:t>
      </w:r>
      <w:r>
        <w:rPr>
          <w:rFonts w:hint="cs"/>
          <w:rtl/>
        </w:rPr>
        <w:t>כלכלנים</w:t>
      </w:r>
      <w:r>
        <w:rPr>
          <w:rtl/>
        </w:rPr>
        <w:t xml:space="preserve">, </w:t>
      </w:r>
      <w:r>
        <w:rPr>
          <w:rFonts w:hint="cs"/>
          <w:rtl/>
        </w:rPr>
        <w:t>רואי</w:t>
      </w:r>
      <w:r>
        <w:rPr>
          <w:rtl/>
        </w:rPr>
        <w:t xml:space="preserve"> </w:t>
      </w:r>
      <w:r>
        <w:rPr>
          <w:rFonts w:hint="cs"/>
          <w:rtl/>
        </w:rPr>
        <w:t>חשבון,</w:t>
      </w:r>
      <w:r>
        <w:rPr>
          <w:rtl/>
        </w:rPr>
        <w:t xml:space="preserve"> </w:t>
      </w:r>
      <w:r>
        <w:rPr>
          <w:rFonts w:hint="cs"/>
          <w:rtl/>
        </w:rPr>
        <w:t>וכדומה</w:t>
      </w:r>
      <w:r>
        <w:rPr>
          <w:rtl/>
        </w:rPr>
        <w:t>.</w:t>
      </w:r>
    </w:p>
  </w:footnote>
  <w:footnote w:id="6">
    <w:p w:rsidR="00CB0B46" w:rsidRPr="00E1606E" w:rsidRDefault="00CB0B46" w:rsidP="00CB0B46">
      <w:pPr>
        <w:pStyle w:val="a5"/>
        <w:bidi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יוצאי דופן הם ענף החקלאות וענף החשמל והמים</w:t>
      </w:r>
      <w:r>
        <w:rPr>
          <w:rFonts w:ascii="Times New Roman" w:hAnsi="Times New Roman" w:hint="cs"/>
          <w:rtl/>
        </w:rPr>
        <w:t>, משום שבשניהם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יש </w:t>
      </w:r>
      <w:r w:rsidRPr="00E1606E">
        <w:rPr>
          <w:rFonts w:ascii="Times New Roman" w:hAnsi="Times New Roman" w:hint="cs"/>
          <w:rtl/>
        </w:rPr>
        <w:t xml:space="preserve">שיעור </w:t>
      </w:r>
      <w:r>
        <w:rPr>
          <w:rFonts w:ascii="Times New Roman" w:hAnsi="Times New Roman" w:hint="cs"/>
          <w:rtl/>
        </w:rPr>
        <w:t xml:space="preserve">גבוה יחסית של </w:t>
      </w:r>
      <w:r w:rsidRPr="00E1606E">
        <w:rPr>
          <w:rFonts w:ascii="Times New Roman" w:hAnsi="Times New Roman" w:hint="cs"/>
          <w:rtl/>
        </w:rPr>
        <w:t>משכילים</w:t>
      </w:r>
      <w:r>
        <w:rPr>
          <w:rFonts w:ascii="Times New Roman" w:hAnsi="Times New Roman" w:hint="cs"/>
          <w:rtl/>
        </w:rPr>
        <w:t xml:space="preserve"> ו</w:t>
      </w:r>
      <w:r w:rsidRPr="00E1606E">
        <w:rPr>
          <w:rFonts w:ascii="Times New Roman" w:hAnsi="Times New Roman" w:hint="cs"/>
          <w:rtl/>
        </w:rPr>
        <w:t xml:space="preserve">פריון נמוך. כנראה שגורמים אחרים, ייחודיים, </w:t>
      </w:r>
      <w:r>
        <w:rPr>
          <w:rFonts w:ascii="Times New Roman" w:hAnsi="Times New Roman" w:hint="cs"/>
          <w:rtl/>
        </w:rPr>
        <w:t>מביאים לכך שהפריון לעובד נמוך יחסית לעולם</w:t>
      </w:r>
      <w:r w:rsidRPr="00E1606E">
        <w:rPr>
          <w:rFonts w:ascii="Times New Roman" w:hAnsi="Times New Roman" w:hint="cs"/>
          <w:rtl/>
        </w:rPr>
        <w:t xml:space="preserve"> בענפים אלה (למשל הבדלי אקלים</w:t>
      </w:r>
      <w:r>
        <w:rPr>
          <w:rFonts w:ascii="Times New Roman" w:hAnsi="Times New Roman" w:hint="cs"/>
          <w:rtl/>
        </w:rPr>
        <w:t xml:space="preserve">, הבדל במחירי המים ובהרכב הגידולים </w:t>
      </w:r>
      <w:r w:rsidRPr="00E1606E">
        <w:rPr>
          <w:rFonts w:ascii="Times New Roman" w:hAnsi="Times New Roman" w:hint="cs"/>
          <w:rtl/>
        </w:rPr>
        <w:t>בענף החקלאות</w:t>
      </w:r>
      <w:r>
        <w:rPr>
          <w:rFonts w:ascii="Times New Roman" w:hAnsi="Times New Roman" w:hint="cs"/>
          <w:rtl/>
        </w:rPr>
        <w:t>, והבדלים ב</w:t>
      </w:r>
      <w:r w:rsidRPr="00E1606E">
        <w:rPr>
          <w:rFonts w:ascii="Times New Roman" w:hAnsi="Times New Roman" w:hint="cs"/>
          <w:rtl/>
        </w:rPr>
        <w:t>היבטים מבניים ותשתיתיים בענפי החשמל והמים).</w:t>
      </w:r>
      <w:r>
        <w:rPr>
          <w:rFonts w:ascii="Times New Roman" w:hAnsi="Times New Roman" w:hint="cs"/>
          <w:rtl/>
        </w:rPr>
        <w:t xml:space="preserve"> </w:t>
      </w:r>
    </w:p>
  </w:footnote>
  <w:footnote w:id="7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קשה לערוך השוואה בין-לאומית של מלאי ההון ברמת פירוט ענפית, משום שה</w:t>
      </w:r>
      <w:r w:rsidRPr="00E1606E">
        <w:rPr>
          <w:rFonts w:ascii="Times New Roman" w:hAnsi="Times New Roman" w:hint="cs"/>
          <w:rtl/>
        </w:rPr>
        <w:t>נתוני</w:t>
      </w:r>
      <w:r>
        <w:rPr>
          <w:rFonts w:ascii="Times New Roman" w:hAnsi="Times New Roman" w:hint="cs"/>
          <w:rtl/>
        </w:rPr>
        <w:t xml:space="preserve">ם </w:t>
      </w:r>
      <w:r w:rsidRPr="00E1606E">
        <w:rPr>
          <w:rFonts w:ascii="Times New Roman" w:hAnsi="Times New Roman" w:hint="cs"/>
          <w:rtl/>
        </w:rPr>
        <w:t>חלקיים מא</w:t>
      </w:r>
      <w:r>
        <w:rPr>
          <w:rFonts w:ascii="Times New Roman" w:hAnsi="Times New Roman" w:hint="cs"/>
          <w:rtl/>
        </w:rPr>
        <w:t>ו</w:t>
      </w:r>
      <w:r w:rsidRPr="00E1606E">
        <w:rPr>
          <w:rFonts w:ascii="Times New Roman" w:hAnsi="Times New Roman" w:hint="cs"/>
          <w:rtl/>
        </w:rPr>
        <w:t>ד ואמינותם מוגבלת.</w:t>
      </w:r>
    </w:p>
  </w:footnote>
  <w:footnote w:id="8">
    <w:p w:rsidR="00CB0B46" w:rsidRPr="00E1606E" w:rsidRDefault="00CB0B46" w:rsidP="00CB0B46">
      <w:pPr>
        <w:pStyle w:val="a5"/>
        <w:bidi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אנו מתמקדים בענפי התעשייה המייצאים כיוון ש</w:t>
      </w:r>
      <w:r>
        <w:rPr>
          <w:rFonts w:ascii="Times New Roman" w:hAnsi="Times New Roman" w:hint="cs"/>
          <w:rtl/>
        </w:rPr>
        <w:t>ה</w:t>
      </w:r>
      <w:r w:rsidRPr="00E1606E">
        <w:rPr>
          <w:rFonts w:ascii="Times New Roman" w:hAnsi="Times New Roman" w:hint="cs"/>
          <w:rtl/>
        </w:rPr>
        <w:t>נתונים על מלאי ההון של ענפי השירותים המייצאים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</w:t>
      </w:r>
      <w:r w:rsidRPr="00E1606E">
        <w:rPr>
          <w:rFonts w:ascii="Times New Roman" w:hAnsi="Times New Roman" w:hint="cs"/>
          <w:rtl/>
        </w:rPr>
        <w:t>כגון ענ</w:t>
      </w:r>
      <w:r>
        <w:rPr>
          <w:rFonts w:ascii="Times New Roman" w:hAnsi="Times New Roman" w:hint="cs"/>
          <w:rtl/>
        </w:rPr>
        <w:t>פי</w:t>
      </w:r>
      <w:r w:rsidRPr="00E1606E">
        <w:rPr>
          <w:rFonts w:ascii="Times New Roman" w:hAnsi="Times New Roman" w:hint="cs"/>
          <w:rtl/>
        </w:rPr>
        <w:t xml:space="preserve"> המחשוב </w:t>
      </w:r>
      <w:r>
        <w:rPr>
          <w:rFonts w:ascii="Times New Roman" w:hAnsi="Times New Roman" w:hint="cs"/>
          <w:rtl/>
        </w:rPr>
        <w:t>ו</w:t>
      </w:r>
      <w:r w:rsidRPr="00E1606E">
        <w:rPr>
          <w:rFonts w:ascii="Times New Roman" w:hAnsi="Times New Roman" w:hint="cs"/>
          <w:rtl/>
        </w:rPr>
        <w:t>המחקר והפיתוח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/>
          <w:rtl/>
        </w:rPr>
        <w:t>–</w:t>
      </w:r>
      <w:r>
        <w:rPr>
          <w:rFonts w:ascii="Times New Roman" w:hAnsi="Times New Roman" w:hint="cs"/>
          <w:rtl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אינם זמינים בנפרד </w:t>
      </w:r>
      <w:r>
        <w:rPr>
          <w:rFonts w:ascii="Times New Roman" w:hAnsi="Times New Roman" w:hint="cs"/>
          <w:rtl/>
        </w:rPr>
        <w:t xml:space="preserve">מהנתונים של </w:t>
      </w:r>
      <w:r w:rsidRPr="00E1606E">
        <w:rPr>
          <w:rFonts w:ascii="Times New Roman" w:hAnsi="Times New Roman" w:hint="cs"/>
          <w:rtl/>
        </w:rPr>
        <w:t xml:space="preserve">יתר ענפי המסחר והשירותים, </w:t>
      </w:r>
      <w:r>
        <w:rPr>
          <w:rFonts w:ascii="Times New Roman" w:hAnsi="Times New Roman" w:hint="cs"/>
          <w:rtl/>
        </w:rPr>
        <w:t xml:space="preserve">ענפים </w:t>
      </w:r>
      <w:r w:rsidRPr="00E1606E">
        <w:rPr>
          <w:rFonts w:ascii="Times New Roman" w:hAnsi="Times New Roman" w:hint="cs"/>
          <w:rtl/>
        </w:rPr>
        <w:t>שמרביתם מוכרים בעיקר לשוק המקומי.</w:t>
      </w:r>
    </w:p>
  </w:footnote>
  <w:footnote w:id="9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בענף הבנייה אמנם חל </w:t>
      </w:r>
      <w:r w:rsidRPr="00E1606E">
        <w:rPr>
          <w:rFonts w:ascii="Times New Roman" w:hAnsi="Times New Roman" w:hint="cs"/>
          <w:rtl/>
        </w:rPr>
        <w:t xml:space="preserve">גידול </w:t>
      </w:r>
      <w:r>
        <w:rPr>
          <w:rFonts w:ascii="Times New Roman" w:hAnsi="Times New Roman" w:hint="cs"/>
          <w:rtl/>
        </w:rPr>
        <w:t>מהיר ב</w:t>
      </w:r>
      <w:r w:rsidRPr="00E1606E">
        <w:rPr>
          <w:rFonts w:ascii="Times New Roman" w:hAnsi="Times New Roman" w:hint="cs"/>
          <w:rtl/>
        </w:rPr>
        <w:t xml:space="preserve">הון לעובד  בשנות הגאות הקודמת של הענף, אך בין 2004 </w:t>
      </w:r>
      <w:r>
        <w:rPr>
          <w:rFonts w:ascii="Times New Roman" w:hAnsi="Times New Roman" w:hint="cs"/>
          <w:rtl/>
        </w:rPr>
        <w:t xml:space="preserve">ל-2011 הגידול </w:t>
      </w:r>
      <w:r w:rsidRPr="00E1606E">
        <w:rPr>
          <w:rFonts w:ascii="Times New Roman" w:hAnsi="Times New Roman" w:hint="cs"/>
          <w:rtl/>
        </w:rPr>
        <w:t xml:space="preserve">היה תנודתי </w:t>
      </w:r>
      <w:r>
        <w:rPr>
          <w:rFonts w:ascii="Times New Roman" w:hAnsi="Times New Roman" w:hint="cs"/>
          <w:rtl/>
        </w:rPr>
        <w:t xml:space="preserve">ונע </w:t>
      </w:r>
      <w:r w:rsidRPr="00E1606E">
        <w:rPr>
          <w:rFonts w:ascii="Times New Roman" w:hAnsi="Times New Roman" w:hint="cs"/>
          <w:rtl/>
        </w:rPr>
        <w:t xml:space="preserve">סביב אותה רמה. דוח בנק ישראל לשנת 2010 גם </w:t>
      </w:r>
      <w:r>
        <w:rPr>
          <w:rFonts w:ascii="Times New Roman" w:hAnsi="Times New Roman" w:hint="cs"/>
          <w:rtl/>
        </w:rPr>
        <w:t>מראה</w:t>
      </w:r>
      <w:r w:rsidRPr="00E1606E">
        <w:rPr>
          <w:rFonts w:ascii="Times New Roman" w:hAnsi="Times New Roman" w:hint="cs"/>
          <w:rtl/>
        </w:rPr>
        <w:t xml:space="preserve"> שמלאי ההון בענף נמוך בהשוואה </w:t>
      </w:r>
      <w:r>
        <w:rPr>
          <w:rFonts w:ascii="Times New Roman" w:hAnsi="Times New Roman" w:hint="cs"/>
          <w:rtl/>
        </w:rPr>
        <w:t>לעולם</w:t>
      </w:r>
      <w:r w:rsidRPr="00E1606E">
        <w:rPr>
          <w:rFonts w:ascii="Times New Roman" w:hAnsi="Times New Roman" w:hint="cs"/>
          <w:rtl/>
        </w:rPr>
        <w:t>.</w:t>
      </w:r>
    </w:p>
  </w:footnote>
  <w:footnote w:id="10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ישראל מדורגת במקום השלישי </w:t>
      </w:r>
      <w:r>
        <w:rPr>
          <w:rFonts w:ascii="Times New Roman" w:hAnsi="Times New Roman" w:hint="cs"/>
          <w:rtl/>
        </w:rPr>
        <w:t>ב</w:t>
      </w:r>
      <w:r w:rsidRPr="00E1606E">
        <w:rPr>
          <w:rFonts w:ascii="Times New Roman" w:hAnsi="Times New Roman" w:hint="cs"/>
          <w:rtl/>
        </w:rPr>
        <w:t>-</w:t>
      </w:r>
      <w:r w:rsidRPr="00E1606E">
        <w:rPr>
          <w:rFonts w:ascii="Times New Roman" w:hAnsi="Times New Roman"/>
        </w:rPr>
        <w:t>OECD</w:t>
      </w:r>
      <w:r w:rsidRPr="00E1606E">
        <w:rPr>
          <w:rFonts w:ascii="Times New Roman" w:hAnsi="Times New Roman" w:hint="cs"/>
          <w:rtl/>
        </w:rPr>
        <w:t xml:space="preserve"> בשיעור בעלי ההשכלה הגבוהה.</w:t>
      </w:r>
    </w:p>
  </w:footnote>
  <w:footnote w:id="11">
    <w:p w:rsidR="00CB0B46" w:rsidRPr="00E1606E" w:rsidRDefault="00CB0B46" w:rsidP="00CB0B46">
      <w:pPr>
        <w:pStyle w:val="a5"/>
        <w:bidi/>
        <w:jc w:val="left"/>
        <w:rPr>
          <w:rFonts w:ascii="Times New Roman" w:hAnsi="Times New Roman"/>
          <w:rtl/>
        </w:rPr>
      </w:pPr>
      <w:r w:rsidRPr="00E1606E">
        <w:rPr>
          <w:rStyle w:val="a7"/>
          <w:rFonts w:ascii="Times New Roman" w:hAnsi="Times New Roman"/>
        </w:rPr>
        <w:footnoteRef/>
      </w:r>
      <w:r w:rsidRPr="00E1606E">
        <w:rPr>
          <w:rFonts w:ascii="Times New Roman" w:hAnsi="Times New Roman"/>
        </w:rPr>
        <w:t xml:space="preserve"> </w:t>
      </w:r>
      <w:r w:rsidRPr="00E1606E">
        <w:rPr>
          <w:rFonts w:ascii="Times New Roman" w:hAnsi="Times New Roman" w:hint="cs"/>
          <w:rtl/>
        </w:rPr>
        <w:t xml:space="preserve"> דוגמא לעידוד שכזה היא המימון שמספק המדען הראשי במשרד הכלכלה ל</w:t>
      </w:r>
      <w:r>
        <w:rPr>
          <w:rFonts w:ascii="Times New Roman" w:hAnsi="Times New Roman" w:hint="cs"/>
          <w:rtl/>
        </w:rPr>
        <w:t>שם הטמעה</w:t>
      </w:r>
      <w:r w:rsidRPr="00E1606E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של </w:t>
      </w:r>
      <w:r w:rsidRPr="00E1606E">
        <w:rPr>
          <w:rFonts w:ascii="Times New Roman" w:hAnsi="Times New Roman" w:hint="cs"/>
          <w:rtl/>
        </w:rPr>
        <w:t xml:space="preserve">תהליכי ייצור חדשניים בענפים המסורתיים, </w:t>
      </w:r>
      <w:r>
        <w:rPr>
          <w:rFonts w:ascii="Times New Roman" w:hAnsi="Times New Roman" w:hint="cs"/>
          <w:rtl/>
        </w:rPr>
        <w:t>לצד</w:t>
      </w:r>
      <w:r w:rsidRPr="00E1606E">
        <w:rPr>
          <w:rFonts w:ascii="Times New Roman" w:hAnsi="Times New Roman" w:hint="cs"/>
          <w:rtl/>
        </w:rPr>
        <w:t xml:space="preserve"> עידוד המחקר והפיתוח של חדשנות מקורית.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B" w:rsidRDefault="009D10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B" w:rsidRDefault="009D10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B" w:rsidRDefault="009D10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85"/>
    <w:multiLevelType w:val="hybridMultilevel"/>
    <w:tmpl w:val="C15A4D3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B2048B"/>
    <w:multiLevelType w:val="hybridMultilevel"/>
    <w:tmpl w:val="039A8290"/>
    <w:lvl w:ilvl="0" w:tplc="DF5414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43B6"/>
    <w:multiLevelType w:val="hybridMultilevel"/>
    <w:tmpl w:val="79D20662"/>
    <w:lvl w:ilvl="0" w:tplc="3C96B76E">
      <w:start w:val="1"/>
      <w:numFmt w:val="hebrew1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A936B65"/>
    <w:multiLevelType w:val="hybridMultilevel"/>
    <w:tmpl w:val="460A4718"/>
    <w:lvl w:ilvl="0" w:tplc="C91A8740">
      <w:start w:val="2013"/>
      <w:numFmt w:val="bullet"/>
      <w:lvlText w:val=""/>
      <w:lvlJc w:val="left"/>
      <w:pPr>
        <w:ind w:left="10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D1B7ABE"/>
    <w:multiLevelType w:val="hybridMultilevel"/>
    <w:tmpl w:val="56EE49F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C5667E"/>
    <w:multiLevelType w:val="hybridMultilevel"/>
    <w:tmpl w:val="C1A08AE0"/>
    <w:lvl w:ilvl="0" w:tplc="C89C88C0">
      <w:start w:val="4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>
    <w:nsid w:val="14313D3C"/>
    <w:multiLevelType w:val="hybridMultilevel"/>
    <w:tmpl w:val="B91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9760A"/>
    <w:multiLevelType w:val="hybridMultilevel"/>
    <w:tmpl w:val="820C660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03B2C25"/>
    <w:multiLevelType w:val="hybridMultilevel"/>
    <w:tmpl w:val="7514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04AF4"/>
    <w:multiLevelType w:val="hybridMultilevel"/>
    <w:tmpl w:val="5BB6C78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550A2"/>
    <w:multiLevelType w:val="hybridMultilevel"/>
    <w:tmpl w:val="8CECB616"/>
    <w:lvl w:ilvl="0" w:tplc="7AF0B906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30D940EF"/>
    <w:multiLevelType w:val="hybridMultilevel"/>
    <w:tmpl w:val="E1CA899C"/>
    <w:lvl w:ilvl="0" w:tplc="712AE3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3015"/>
    <w:multiLevelType w:val="hybridMultilevel"/>
    <w:tmpl w:val="FD984EE6"/>
    <w:lvl w:ilvl="0" w:tplc="4E5A5FF6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84A7D"/>
    <w:multiLevelType w:val="hybridMultilevel"/>
    <w:tmpl w:val="8736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F04A6"/>
    <w:multiLevelType w:val="hybridMultilevel"/>
    <w:tmpl w:val="742E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E573C"/>
    <w:multiLevelType w:val="hybridMultilevel"/>
    <w:tmpl w:val="AF8AAE68"/>
    <w:lvl w:ilvl="0" w:tplc="3BB4F1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2457B"/>
    <w:multiLevelType w:val="hybridMultilevel"/>
    <w:tmpl w:val="7E6EAA3C"/>
    <w:lvl w:ilvl="0" w:tplc="439895E8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E02A4"/>
    <w:multiLevelType w:val="hybridMultilevel"/>
    <w:tmpl w:val="F13C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56D02"/>
    <w:multiLevelType w:val="hybridMultilevel"/>
    <w:tmpl w:val="7A42C078"/>
    <w:lvl w:ilvl="0" w:tplc="53BA5EB4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775AC"/>
    <w:multiLevelType w:val="hybridMultilevel"/>
    <w:tmpl w:val="1CC405EA"/>
    <w:lvl w:ilvl="0" w:tplc="F37091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62DD5"/>
    <w:multiLevelType w:val="hybridMultilevel"/>
    <w:tmpl w:val="77D00A38"/>
    <w:lvl w:ilvl="0" w:tplc="303CE9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206E8"/>
    <w:multiLevelType w:val="hybridMultilevel"/>
    <w:tmpl w:val="20607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1613B9"/>
    <w:multiLevelType w:val="hybridMultilevel"/>
    <w:tmpl w:val="70B08354"/>
    <w:lvl w:ilvl="0" w:tplc="BFA4AC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3613E"/>
    <w:multiLevelType w:val="hybridMultilevel"/>
    <w:tmpl w:val="3586D078"/>
    <w:lvl w:ilvl="0" w:tplc="3FB45B8E">
      <w:start w:val="1"/>
      <w:numFmt w:val="decimal"/>
      <w:lvlText w:val="%1."/>
      <w:lvlJc w:val="left"/>
      <w:pPr>
        <w:ind w:left="14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441ED4"/>
    <w:multiLevelType w:val="hybridMultilevel"/>
    <w:tmpl w:val="355A1C26"/>
    <w:lvl w:ilvl="0" w:tplc="684EEE86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A66B43"/>
    <w:multiLevelType w:val="hybridMultilevel"/>
    <w:tmpl w:val="F1FCD1F0"/>
    <w:lvl w:ilvl="0" w:tplc="9F6C73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10002"/>
    <w:multiLevelType w:val="hybridMultilevel"/>
    <w:tmpl w:val="43FED336"/>
    <w:lvl w:ilvl="0" w:tplc="C3CCFD62">
      <w:start w:val="2013"/>
      <w:numFmt w:val="bullet"/>
      <w:lvlText w:val=""/>
      <w:lvlJc w:val="left"/>
      <w:pPr>
        <w:ind w:left="70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>
    <w:nsid w:val="6B241EC8"/>
    <w:multiLevelType w:val="hybridMultilevel"/>
    <w:tmpl w:val="3738ADEA"/>
    <w:lvl w:ilvl="0" w:tplc="666815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54DF9"/>
    <w:multiLevelType w:val="hybridMultilevel"/>
    <w:tmpl w:val="8142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409E2"/>
    <w:multiLevelType w:val="hybridMultilevel"/>
    <w:tmpl w:val="C3C03318"/>
    <w:lvl w:ilvl="0" w:tplc="17F2FE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B310B"/>
    <w:multiLevelType w:val="hybridMultilevel"/>
    <w:tmpl w:val="8AFED984"/>
    <w:lvl w:ilvl="0" w:tplc="C91A8740">
      <w:start w:val="2013"/>
      <w:numFmt w:val="bullet"/>
      <w:lvlText w:val=""/>
      <w:lvlJc w:val="left"/>
      <w:pPr>
        <w:ind w:left="140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79DC400F"/>
    <w:multiLevelType w:val="hybridMultilevel"/>
    <w:tmpl w:val="BE902692"/>
    <w:lvl w:ilvl="0" w:tplc="A90A72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B455F"/>
    <w:multiLevelType w:val="hybridMultilevel"/>
    <w:tmpl w:val="8B5E1382"/>
    <w:lvl w:ilvl="0" w:tplc="562C2A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8"/>
  </w:num>
  <w:num w:numId="4">
    <w:abstractNumId w:val="9"/>
  </w:num>
  <w:num w:numId="5">
    <w:abstractNumId w:val="6"/>
  </w:num>
  <w:num w:numId="6">
    <w:abstractNumId w:val="14"/>
  </w:num>
  <w:num w:numId="7">
    <w:abstractNumId w:val="24"/>
  </w:num>
  <w:num w:numId="8">
    <w:abstractNumId w:val="4"/>
  </w:num>
  <w:num w:numId="9">
    <w:abstractNumId w:val="7"/>
  </w:num>
  <w:num w:numId="10">
    <w:abstractNumId w:val="21"/>
  </w:num>
  <w:num w:numId="11">
    <w:abstractNumId w:val="0"/>
  </w:num>
  <w:num w:numId="12">
    <w:abstractNumId w:val="11"/>
  </w:num>
  <w:num w:numId="13">
    <w:abstractNumId w:val="2"/>
  </w:num>
  <w:num w:numId="14">
    <w:abstractNumId w:val="20"/>
  </w:num>
  <w:num w:numId="15">
    <w:abstractNumId w:val="19"/>
  </w:num>
  <w:num w:numId="16">
    <w:abstractNumId w:val="32"/>
  </w:num>
  <w:num w:numId="17">
    <w:abstractNumId w:val="25"/>
  </w:num>
  <w:num w:numId="18">
    <w:abstractNumId w:val="27"/>
  </w:num>
  <w:num w:numId="19">
    <w:abstractNumId w:val="8"/>
  </w:num>
  <w:num w:numId="20">
    <w:abstractNumId w:val="22"/>
  </w:num>
  <w:num w:numId="21">
    <w:abstractNumId w:val="15"/>
  </w:num>
  <w:num w:numId="22">
    <w:abstractNumId w:val="23"/>
  </w:num>
  <w:num w:numId="23">
    <w:abstractNumId w:val="29"/>
  </w:num>
  <w:num w:numId="24">
    <w:abstractNumId w:val="16"/>
  </w:num>
  <w:num w:numId="25">
    <w:abstractNumId w:val="31"/>
  </w:num>
  <w:num w:numId="26">
    <w:abstractNumId w:val="1"/>
  </w:num>
  <w:num w:numId="27">
    <w:abstractNumId w:val="26"/>
  </w:num>
  <w:num w:numId="28">
    <w:abstractNumId w:val="3"/>
  </w:num>
  <w:num w:numId="29">
    <w:abstractNumId w:val="10"/>
  </w:num>
  <w:num w:numId="30">
    <w:abstractNumId w:val="13"/>
  </w:num>
  <w:num w:numId="31">
    <w:abstractNumId w:val="5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46"/>
    <w:rsid w:val="000C0930"/>
    <w:rsid w:val="001C7F9B"/>
    <w:rsid w:val="00231483"/>
    <w:rsid w:val="003349B5"/>
    <w:rsid w:val="003A4523"/>
    <w:rsid w:val="00502C4F"/>
    <w:rsid w:val="005B23F6"/>
    <w:rsid w:val="00745AE9"/>
    <w:rsid w:val="00877605"/>
    <w:rsid w:val="009D10EB"/>
    <w:rsid w:val="00CB0B46"/>
    <w:rsid w:val="00CC65F7"/>
    <w:rsid w:val="00D13B3D"/>
    <w:rsid w:val="00EB524B"/>
    <w:rsid w:val="00EF4896"/>
    <w:rsid w:val="00F64DCA"/>
    <w:rsid w:val="0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6"/>
    <w:pPr>
      <w:spacing w:after="0"/>
      <w:jc w:val="both"/>
    </w:pPr>
    <w:rPr>
      <w:rFonts w:asciiTheme="minorHAnsi" w:eastAsia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46"/>
    <w:pPr>
      <w:spacing w:after="0" w:line="240" w:lineRule="auto"/>
      <w:jc w:val="both"/>
    </w:pPr>
    <w:rPr>
      <w:rFonts w:asciiTheme="minorHAnsi" w:eastAsia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0B46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CB0B46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rsid w:val="00CB0B46"/>
    <w:rPr>
      <w:rFonts w:asciiTheme="minorHAnsi" w:eastAsia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0B4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B0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B0B46"/>
    <w:rPr>
      <w:rFonts w:ascii="Tahoma" w:eastAsiaTheme="minorHAns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0B46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CB0B46"/>
    <w:rPr>
      <w:rFonts w:asciiTheme="minorHAnsi" w:eastAsiaTheme="minorHAnsi" w:hAnsiTheme="minorHAnsi"/>
    </w:rPr>
  </w:style>
  <w:style w:type="paragraph" w:styleId="ac">
    <w:name w:val="footer"/>
    <w:basedOn w:val="a"/>
    <w:link w:val="ad"/>
    <w:uiPriority w:val="99"/>
    <w:unhideWhenUsed/>
    <w:rsid w:val="00CB0B46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CB0B46"/>
    <w:rPr>
      <w:rFonts w:asciiTheme="minorHAnsi" w:eastAsiaTheme="minorHAnsi" w:hAnsiTheme="minorHAnsi"/>
    </w:rPr>
  </w:style>
  <w:style w:type="character" w:styleId="ae">
    <w:name w:val="annotation reference"/>
    <w:basedOn w:val="a0"/>
    <w:uiPriority w:val="99"/>
    <w:semiHidden/>
    <w:unhideWhenUsed/>
    <w:rsid w:val="00CB0B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B46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B0B46"/>
    <w:rPr>
      <w:rFonts w:asciiTheme="minorHAnsi" w:eastAsiaTheme="minorHAnsi" w:hAnsiTheme="minorHAns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B46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B0B46"/>
    <w:rPr>
      <w:rFonts w:asciiTheme="minorHAnsi" w:eastAsia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6"/>
    <w:pPr>
      <w:spacing w:after="0"/>
      <w:jc w:val="both"/>
    </w:pPr>
    <w:rPr>
      <w:rFonts w:asciiTheme="minorHAnsi" w:eastAsia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46"/>
    <w:pPr>
      <w:spacing w:after="0" w:line="240" w:lineRule="auto"/>
      <w:jc w:val="both"/>
    </w:pPr>
    <w:rPr>
      <w:rFonts w:asciiTheme="minorHAnsi" w:eastAsia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0B46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CB0B46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rsid w:val="00CB0B46"/>
    <w:rPr>
      <w:rFonts w:asciiTheme="minorHAnsi" w:eastAsia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0B4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B0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B0B46"/>
    <w:rPr>
      <w:rFonts w:ascii="Tahoma" w:eastAsiaTheme="minorHAns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B0B46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CB0B46"/>
    <w:rPr>
      <w:rFonts w:asciiTheme="minorHAnsi" w:eastAsiaTheme="minorHAnsi" w:hAnsiTheme="minorHAnsi"/>
    </w:rPr>
  </w:style>
  <w:style w:type="paragraph" w:styleId="ac">
    <w:name w:val="footer"/>
    <w:basedOn w:val="a"/>
    <w:link w:val="ad"/>
    <w:uiPriority w:val="99"/>
    <w:unhideWhenUsed/>
    <w:rsid w:val="00CB0B46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CB0B46"/>
    <w:rPr>
      <w:rFonts w:asciiTheme="minorHAnsi" w:eastAsiaTheme="minorHAnsi" w:hAnsiTheme="minorHAnsi"/>
    </w:rPr>
  </w:style>
  <w:style w:type="character" w:styleId="ae">
    <w:name w:val="annotation reference"/>
    <w:basedOn w:val="a0"/>
    <w:uiPriority w:val="99"/>
    <w:semiHidden/>
    <w:unhideWhenUsed/>
    <w:rsid w:val="00CB0B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B46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B0B46"/>
    <w:rPr>
      <w:rFonts w:asciiTheme="minorHAnsi" w:eastAsiaTheme="minorHAnsi" w:hAnsiTheme="minorHAns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B46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B0B46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FFD7-DAB1-498F-8D62-09BBC9D3CB87}"/>
</file>

<file path=customXml/itemProps2.xml><?xml version="1.0" encoding="utf-8"?>
<ds:datastoreItem xmlns:ds="http://schemas.openxmlformats.org/officeDocument/2006/customXml" ds:itemID="{662FB90C-10FF-47D5-8485-D5C2E5EDC74A}"/>
</file>

<file path=customXml/itemProps3.xml><?xml version="1.0" encoding="utf-8"?>
<ds:datastoreItem xmlns:ds="http://schemas.openxmlformats.org/officeDocument/2006/customXml" ds:itemID="{83D6FE31-12B3-4F6A-8D56-62E546FB1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4191</Characters>
  <Application>Microsoft Office Word</Application>
  <DocSecurity>0</DocSecurity>
  <Lines>34</Lines>
  <Paragraphs>10</Paragraphs>
  <ScaleCrop>false</ScaleCrop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2014-03-26T09:28:00Z</dcterms:created>
  <dcterms:modified xsi:type="dcterms:W3CDTF">2014-03-26T09:28:00Z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