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0DE00" w14:textId="77777777" w:rsidR="00CB5D78" w:rsidRPr="003B4DD7" w:rsidRDefault="002235F5" w:rsidP="00E73FB2">
      <w:pPr>
        <w:bidi w:val="0"/>
        <w:jc w:val="both"/>
        <w:rPr>
          <w:rFonts w:asciiTheme="majorBidi" w:hAnsiTheme="majorBidi" w:cstheme="majorBidi"/>
          <w:rtl/>
        </w:rPr>
      </w:pPr>
      <w:r w:rsidRPr="003B4DD7">
        <w:rPr>
          <w:rFonts w:asciiTheme="majorBidi" w:hAnsiTheme="majorBidi" w:cstheme="majorBidi"/>
          <w:noProof/>
        </w:rPr>
        <w:drawing>
          <wp:anchor distT="0" distB="0" distL="114300" distR="114300" simplePos="0" relativeHeight="251658240" behindDoc="0" locked="0" layoutInCell="1" allowOverlap="1" wp14:anchorId="609F92CD" wp14:editId="7D0C5461">
            <wp:simplePos x="0" y="0"/>
            <wp:positionH relativeFrom="margin">
              <wp:align>center</wp:align>
            </wp:positionH>
            <wp:positionV relativeFrom="paragraph">
              <wp:posOffset>-279451</wp:posOffset>
            </wp:positionV>
            <wp:extent cx="975360" cy="975360"/>
            <wp:effectExtent l="0" t="0" r="0" b="0"/>
            <wp:wrapNone/>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anchor>
        </w:drawing>
      </w:r>
    </w:p>
    <w:p w14:paraId="564C6A93" w14:textId="77777777" w:rsidR="00691DBA" w:rsidRDefault="00691DBA" w:rsidP="00691DBA">
      <w:pPr>
        <w:pStyle w:val="regpar"/>
        <w:spacing w:line="300" w:lineRule="atLeast"/>
        <w:ind w:firstLine="0"/>
        <w:jc w:val="center"/>
        <w:rPr>
          <w:rFonts w:asciiTheme="majorBidi" w:hAnsiTheme="majorBidi" w:cstheme="majorBidi"/>
          <w:b/>
          <w:bCs/>
        </w:rPr>
      </w:pPr>
    </w:p>
    <w:p w14:paraId="73AA1379" w14:textId="77777777" w:rsidR="00691DBA" w:rsidRDefault="00691DBA" w:rsidP="00691DBA">
      <w:pPr>
        <w:pStyle w:val="regpar"/>
        <w:spacing w:line="300" w:lineRule="atLeast"/>
        <w:ind w:firstLine="0"/>
        <w:jc w:val="center"/>
        <w:rPr>
          <w:rFonts w:asciiTheme="majorBidi" w:hAnsiTheme="majorBidi" w:cstheme="majorBidi"/>
          <w:b/>
          <w:bCs/>
        </w:rPr>
      </w:pPr>
    </w:p>
    <w:p w14:paraId="237767BF" w14:textId="77777777" w:rsidR="00691DBA" w:rsidRDefault="00691DBA" w:rsidP="00691DBA">
      <w:pPr>
        <w:pStyle w:val="regpar"/>
        <w:spacing w:line="300" w:lineRule="atLeast"/>
        <w:ind w:firstLine="0"/>
        <w:jc w:val="center"/>
        <w:rPr>
          <w:rFonts w:asciiTheme="majorBidi" w:hAnsiTheme="majorBidi" w:cstheme="majorBidi"/>
          <w:b/>
          <w:bCs/>
        </w:rPr>
      </w:pPr>
    </w:p>
    <w:p w14:paraId="39318D40" w14:textId="6F016472" w:rsidR="00892A46" w:rsidRPr="003B4DD7" w:rsidRDefault="00892A46" w:rsidP="00691DBA">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14:paraId="3D04B5A1" w14:textId="77777777" w:rsidR="00892A46" w:rsidRPr="003B4DD7" w:rsidRDefault="00892A46" w:rsidP="00691DBA">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14:paraId="78B8B21C" w14:textId="77777777" w:rsidR="005C60A7" w:rsidRDefault="005C60A7" w:rsidP="00691DBA">
      <w:pPr>
        <w:bidi w:val="0"/>
        <w:jc w:val="center"/>
        <w:rPr>
          <w:rFonts w:asciiTheme="majorBidi" w:hAnsiTheme="majorBidi" w:cstheme="majorBidi"/>
        </w:rPr>
      </w:pPr>
    </w:p>
    <w:p w14:paraId="6095C718" w14:textId="013BE3BD" w:rsidR="007926C7" w:rsidRPr="003B4DD7" w:rsidRDefault="000B2231" w:rsidP="00691DBA">
      <w:pPr>
        <w:bidi w:val="0"/>
        <w:jc w:val="right"/>
        <w:rPr>
          <w:rFonts w:asciiTheme="majorBidi" w:hAnsiTheme="majorBidi" w:cstheme="majorBidi"/>
        </w:rPr>
      </w:pPr>
      <w:r>
        <w:rPr>
          <w:rFonts w:asciiTheme="majorBidi" w:hAnsiTheme="majorBidi" w:cstheme="majorBidi"/>
        </w:rPr>
        <w:t xml:space="preserve">December </w:t>
      </w:r>
      <w:r w:rsidR="00C265A4">
        <w:rPr>
          <w:rFonts w:asciiTheme="majorBidi" w:hAnsiTheme="majorBidi" w:cstheme="majorBidi"/>
        </w:rPr>
        <w:t>2</w:t>
      </w:r>
      <w:r w:rsidR="00E73FB2">
        <w:rPr>
          <w:rFonts w:asciiTheme="majorBidi" w:hAnsiTheme="majorBidi" w:cstheme="majorBidi"/>
        </w:rPr>
        <w:t>1</w:t>
      </w:r>
      <w:r>
        <w:rPr>
          <w:rFonts w:asciiTheme="majorBidi" w:hAnsiTheme="majorBidi" w:cstheme="majorBidi"/>
        </w:rPr>
        <w:t>, 2023</w:t>
      </w:r>
    </w:p>
    <w:p w14:paraId="6D03C559" w14:textId="77777777" w:rsidR="007926C7" w:rsidRPr="003B4DD7" w:rsidRDefault="007926C7" w:rsidP="00691DBA">
      <w:pPr>
        <w:bidi w:val="0"/>
        <w:jc w:val="right"/>
        <w:rPr>
          <w:rFonts w:asciiTheme="majorBidi" w:hAnsiTheme="majorBidi" w:cstheme="majorBidi"/>
        </w:rPr>
      </w:pPr>
    </w:p>
    <w:p w14:paraId="44B6DB2C" w14:textId="77777777" w:rsidR="00892A46" w:rsidRPr="003B4DD7" w:rsidRDefault="00892A46" w:rsidP="00691DBA">
      <w:pPr>
        <w:bidi w:val="0"/>
        <w:rPr>
          <w:rFonts w:asciiTheme="majorBidi" w:hAnsiTheme="majorBidi" w:cstheme="majorBidi"/>
        </w:rPr>
      </w:pPr>
      <w:r w:rsidRPr="003B4DD7">
        <w:rPr>
          <w:rFonts w:asciiTheme="majorBidi" w:hAnsiTheme="majorBidi" w:cstheme="majorBidi"/>
        </w:rPr>
        <w:t>Press Release:</w:t>
      </w:r>
    </w:p>
    <w:p w14:paraId="3602F9EE" w14:textId="77777777" w:rsidR="00892A46" w:rsidRPr="003B4DD7" w:rsidRDefault="00892A46" w:rsidP="00E73FB2">
      <w:pPr>
        <w:tabs>
          <w:tab w:val="center" w:pos="4156"/>
          <w:tab w:val="right" w:pos="8312"/>
        </w:tabs>
        <w:bidi w:val="0"/>
        <w:jc w:val="both"/>
        <w:rPr>
          <w:rFonts w:asciiTheme="majorBidi" w:hAnsiTheme="majorBidi" w:cstheme="majorBidi"/>
        </w:rPr>
      </w:pPr>
    </w:p>
    <w:p w14:paraId="2B3AFC39" w14:textId="77777777" w:rsidR="000D4E65" w:rsidRPr="00691DBA" w:rsidRDefault="005B789C" w:rsidP="00E73FB2">
      <w:pPr>
        <w:bidi w:val="0"/>
        <w:jc w:val="center"/>
        <w:rPr>
          <w:b/>
          <w:bCs/>
          <w:sz w:val="28"/>
          <w:szCs w:val="28"/>
        </w:rPr>
      </w:pPr>
      <w:bookmarkStart w:id="0" w:name="_GoBack"/>
      <w:r w:rsidRPr="00691DBA">
        <w:rPr>
          <w:b/>
          <w:bCs/>
          <w:sz w:val="28"/>
          <w:szCs w:val="28"/>
        </w:rPr>
        <w:t>Trading begins in SHIR—S</w:t>
      </w:r>
      <w:r w:rsidR="00C265A4" w:rsidRPr="00691DBA">
        <w:rPr>
          <w:b/>
          <w:bCs/>
          <w:sz w:val="28"/>
          <w:szCs w:val="28"/>
        </w:rPr>
        <w:t>h</w:t>
      </w:r>
      <w:r w:rsidRPr="00691DBA">
        <w:rPr>
          <w:b/>
          <w:bCs/>
          <w:sz w:val="28"/>
          <w:szCs w:val="28"/>
        </w:rPr>
        <w:t xml:space="preserve">ekel overnight Interest Rate, the interest rate expected to replace the </w:t>
      </w:r>
      <w:proofErr w:type="spellStart"/>
      <w:r w:rsidRPr="00691DBA">
        <w:rPr>
          <w:b/>
          <w:bCs/>
          <w:sz w:val="28"/>
          <w:szCs w:val="28"/>
        </w:rPr>
        <w:t>Telbor</w:t>
      </w:r>
      <w:proofErr w:type="spellEnd"/>
      <w:r w:rsidRPr="00691DBA">
        <w:rPr>
          <w:b/>
          <w:bCs/>
          <w:sz w:val="28"/>
          <w:szCs w:val="28"/>
        </w:rPr>
        <w:t xml:space="preserve"> interest rate</w:t>
      </w:r>
    </w:p>
    <w:bookmarkEnd w:id="0"/>
    <w:p w14:paraId="10EAEB9B" w14:textId="77777777" w:rsidR="005B789C" w:rsidRPr="00691DBA" w:rsidRDefault="005B789C" w:rsidP="00E73FB2">
      <w:pPr>
        <w:bidi w:val="0"/>
        <w:jc w:val="center"/>
        <w:rPr>
          <w:sz w:val="22"/>
          <w:szCs w:val="22"/>
        </w:rPr>
      </w:pPr>
    </w:p>
    <w:p w14:paraId="1F5D4512" w14:textId="7FFDB5A7" w:rsidR="005B789C" w:rsidRPr="00691DBA" w:rsidRDefault="005B789C" w:rsidP="00E73FB2">
      <w:pPr>
        <w:bidi w:val="0"/>
        <w:jc w:val="both"/>
        <w:rPr>
          <w:rFonts w:ascii="David" w:hAnsi="David" w:cs="David"/>
        </w:rPr>
      </w:pPr>
      <w:r w:rsidRPr="00691DBA">
        <w:rPr>
          <w:rFonts w:ascii="David" w:hAnsi="David" w:cs="David"/>
          <w:b/>
          <w:bCs/>
        </w:rPr>
        <w:t>Bank of Israel Markets Department Director Dr. Golan Benita said</w:t>
      </w:r>
      <w:r w:rsidRPr="00691DBA">
        <w:rPr>
          <w:rFonts w:ascii="David" w:hAnsi="David" w:cs="David"/>
        </w:rPr>
        <w:t xml:space="preserve">, “We see great importance in developing the financial market in Israel. In this regard, we are happy to report the first business activity based on the SHIR interest rate in the interest rate derivatives market, similar to what </w:t>
      </w:r>
      <w:r w:rsidR="005C60A7" w:rsidRPr="00691DBA">
        <w:rPr>
          <w:rFonts w:ascii="David" w:hAnsi="David" w:cs="David"/>
        </w:rPr>
        <w:t xml:space="preserve">is </w:t>
      </w:r>
      <w:r w:rsidRPr="00691DBA">
        <w:rPr>
          <w:rFonts w:ascii="David" w:hAnsi="David" w:cs="David"/>
        </w:rPr>
        <w:t>accepted worldwide. We will continue to assist market participants in Israel and worldwide</w:t>
      </w:r>
      <w:r w:rsidR="00E73FB2" w:rsidRPr="00691DBA">
        <w:rPr>
          <w:rFonts w:ascii="David" w:hAnsi="David" w:cs="David"/>
        </w:rPr>
        <w:t>,</w:t>
      </w:r>
      <w:r w:rsidR="000B2231" w:rsidRPr="00691DBA">
        <w:rPr>
          <w:rFonts w:ascii="David" w:hAnsi="David" w:cs="David"/>
        </w:rPr>
        <w:t xml:space="preserve"> in </w:t>
      </w:r>
      <w:r w:rsidR="00C265A4" w:rsidRPr="00691DBA">
        <w:rPr>
          <w:rFonts w:ascii="David" w:hAnsi="David" w:cs="David"/>
        </w:rPr>
        <w:t>the</w:t>
      </w:r>
      <w:r w:rsidR="000B2231" w:rsidRPr="00691DBA">
        <w:rPr>
          <w:rFonts w:ascii="David" w:hAnsi="David" w:cs="David"/>
        </w:rPr>
        <w:t xml:space="preserve"> rapid and efficient shift of activity from the </w:t>
      </w:r>
      <w:proofErr w:type="spellStart"/>
      <w:r w:rsidR="000B2231" w:rsidRPr="00691DBA">
        <w:rPr>
          <w:rFonts w:ascii="David" w:hAnsi="David" w:cs="David"/>
        </w:rPr>
        <w:t>Telbor</w:t>
      </w:r>
      <w:proofErr w:type="spellEnd"/>
      <w:r w:rsidR="000B2231" w:rsidRPr="00691DBA">
        <w:rPr>
          <w:rFonts w:ascii="David" w:hAnsi="David" w:cs="David"/>
        </w:rPr>
        <w:t xml:space="preserve"> interest rate to the SHIR interest rate.”</w:t>
      </w:r>
    </w:p>
    <w:p w14:paraId="582F7A03" w14:textId="77777777" w:rsidR="000B2231" w:rsidRPr="00691DBA" w:rsidRDefault="000B2231" w:rsidP="00E73FB2">
      <w:pPr>
        <w:bidi w:val="0"/>
        <w:jc w:val="both"/>
        <w:rPr>
          <w:rFonts w:ascii="David" w:hAnsi="David" w:cs="David"/>
        </w:rPr>
      </w:pPr>
    </w:p>
    <w:p w14:paraId="3068A0F4" w14:textId="54A0CC19" w:rsidR="000B2231" w:rsidRPr="00691DBA" w:rsidRDefault="00EB20C7" w:rsidP="00E73FB2">
      <w:pPr>
        <w:pStyle w:val="xmsonormal"/>
        <w:jc w:val="both"/>
        <w:rPr>
          <w:rFonts w:ascii="David" w:hAnsi="David" w:cs="David"/>
          <w:sz w:val="24"/>
          <w:szCs w:val="24"/>
        </w:rPr>
      </w:pPr>
      <w:r w:rsidRPr="00691DBA">
        <w:rPr>
          <w:rFonts w:ascii="David" w:hAnsi="David" w:cs="David"/>
          <w:b/>
          <w:bCs/>
          <w:sz w:val="24"/>
          <w:szCs w:val="24"/>
        </w:rPr>
        <w:t xml:space="preserve">Ms. </w:t>
      </w:r>
      <w:r w:rsidR="000D1D28" w:rsidRPr="00691DBA">
        <w:rPr>
          <w:rFonts w:ascii="David" w:hAnsi="David" w:cs="David"/>
          <w:b/>
          <w:bCs/>
          <w:sz w:val="24"/>
          <w:szCs w:val="24"/>
        </w:rPr>
        <w:t xml:space="preserve">Susi de </w:t>
      </w:r>
      <w:proofErr w:type="spellStart"/>
      <w:r w:rsidR="000D1D28" w:rsidRPr="00691DBA">
        <w:rPr>
          <w:rFonts w:ascii="David" w:hAnsi="David" w:cs="David"/>
          <w:b/>
          <w:bCs/>
          <w:sz w:val="24"/>
          <w:szCs w:val="24"/>
        </w:rPr>
        <w:t>Verdelon</w:t>
      </w:r>
      <w:proofErr w:type="spellEnd"/>
      <w:r w:rsidR="000D1D28" w:rsidRPr="00691DBA">
        <w:rPr>
          <w:rFonts w:ascii="David" w:hAnsi="David" w:cs="David"/>
          <w:b/>
          <w:bCs/>
          <w:sz w:val="24"/>
          <w:szCs w:val="24"/>
        </w:rPr>
        <w:t xml:space="preserve">, Head of </w:t>
      </w:r>
      <w:proofErr w:type="spellStart"/>
      <w:r w:rsidR="000D1D28" w:rsidRPr="00691DBA">
        <w:rPr>
          <w:rFonts w:ascii="David" w:hAnsi="David" w:cs="David"/>
          <w:b/>
          <w:bCs/>
          <w:sz w:val="24"/>
          <w:szCs w:val="24"/>
        </w:rPr>
        <w:t>SwapClear</w:t>
      </w:r>
      <w:proofErr w:type="spellEnd"/>
      <w:r w:rsidR="000D1D28" w:rsidRPr="00691DBA">
        <w:rPr>
          <w:rFonts w:ascii="David" w:hAnsi="David" w:cs="David"/>
          <w:b/>
          <w:bCs/>
          <w:sz w:val="24"/>
          <w:szCs w:val="24"/>
        </w:rPr>
        <w:t xml:space="preserve"> and Listed Rates, LCH Ltd</w:t>
      </w:r>
      <w:r w:rsidR="005D6AC7" w:rsidRPr="00691DBA">
        <w:rPr>
          <w:rFonts w:ascii="David" w:hAnsi="David" w:cs="David"/>
          <w:b/>
          <w:bCs/>
          <w:sz w:val="24"/>
          <w:szCs w:val="24"/>
        </w:rPr>
        <w:t xml:space="preserve"> said</w:t>
      </w:r>
      <w:r w:rsidR="005D6AC7" w:rsidRPr="00691DBA">
        <w:rPr>
          <w:rFonts w:ascii="David" w:hAnsi="David" w:cs="David"/>
          <w:sz w:val="24"/>
          <w:szCs w:val="24"/>
        </w:rPr>
        <w:t xml:space="preserve">, </w:t>
      </w:r>
      <w:r w:rsidR="000D1D28" w:rsidRPr="00691DBA">
        <w:rPr>
          <w:rFonts w:ascii="David" w:hAnsi="David" w:cs="David"/>
          <w:sz w:val="24"/>
          <w:szCs w:val="24"/>
        </w:rPr>
        <w:t xml:space="preserve">“We </w:t>
      </w:r>
      <w:r w:rsidR="000D1D28" w:rsidRPr="00691DBA">
        <w:rPr>
          <w:rFonts w:ascii="David" w:hAnsi="David" w:cs="David"/>
          <w:color w:val="000000"/>
          <w:sz w:val="24"/>
          <w:szCs w:val="24"/>
        </w:rPr>
        <w:t xml:space="preserve">are pleased to expand our service to include a SHIR (Shekel overnight Interest Rate) swap clearing capability and to support the Bank of Israel’s benchmark reform efforts in the Israeli Shekel market. LCH </w:t>
      </w:r>
      <w:proofErr w:type="spellStart"/>
      <w:r w:rsidR="000D1D28" w:rsidRPr="00691DBA">
        <w:rPr>
          <w:rFonts w:ascii="David" w:hAnsi="David" w:cs="David"/>
          <w:color w:val="000000"/>
          <w:sz w:val="24"/>
          <w:szCs w:val="24"/>
        </w:rPr>
        <w:t>SwapClear</w:t>
      </w:r>
      <w:proofErr w:type="spellEnd"/>
      <w:r w:rsidR="000D1D28" w:rsidRPr="00691DBA">
        <w:rPr>
          <w:rFonts w:ascii="David" w:hAnsi="David" w:cs="David"/>
          <w:color w:val="000000"/>
          <w:sz w:val="24"/>
          <w:szCs w:val="24"/>
        </w:rPr>
        <w:t xml:space="preserve"> remains committed to supporting interest rate benchmark reform globally, ensuring that market participants can efficiently access the benefits of strong risk management and increased capital efficiencies in one place.”</w:t>
      </w:r>
    </w:p>
    <w:p w14:paraId="38F37EA4" w14:textId="77777777" w:rsidR="000B2231" w:rsidRPr="00691DBA" w:rsidRDefault="000B2231" w:rsidP="00E73FB2">
      <w:pPr>
        <w:bidi w:val="0"/>
        <w:jc w:val="both"/>
        <w:rPr>
          <w:rFonts w:ascii="David" w:hAnsi="David" w:cs="David"/>
        </w:rPr>
      </w:pPr>
    </w:p>
    <w:p w14:paraId="704E36C9" w14:textId="55F099FB" w:rsidR="000B2231" w:rsidRPr="00691DBA" w:rsidRDefault="000B2231" w:rsidP="00E73FB2">
      <w:pPr>
        <w:bidi w:val="0"/>
        <w:jc w:val="both"/>
        <w:rPr>
          <w:rFonts w:ascii="David" w:hAnsi="David" w:cs="David"/>
        </w:rPr>
      </w:pPr>
      <w:r w:rsidRPr="00691DBA">
        <w:rPr>
          <w:rFonts w:ascii="David" w:hAnsi="David" w:cs="David"/>
        </w:rPr>
        <w:t xml:space="preserve">In the past week, </w:t>
      </w:r>
      <w:r w:rsidR="00796E72" w:rsidRPr="00691DBA">
        <w:rPr>
          <w:rFonts w:ascii="David" w:hAnsi="David" w:cs="David"/>
        </w:rPr>
        <w:t>the first interest rate swap transaction using the SHIR rate</w:t>
      </w:r>
      <w:r w:rsidR="00C42CD0" w:rsidRPr="00691DBA">
        <w:rPr>
          <w:rStyle w:val="ad"/>
          <w:rFonts w:ascii="David" w:hAnsi="David" w:cs="David"/>
        </w:rPr>
        <w:footnoteReference w:id="1"/>
      </w:r>
      <w:r w:rsidR="00E73FB2" w:rsidRPr="00691DBA">
        <w:rPr>
          <w:rFonts w:ascii="David" w:hAnsi="David" w:cs="David"/>
        </w:rPr>
        <w:t xml:space="preserve"> </w:t>
      </w:r>
      <w:r w:rsidR="00796E72" w:rsidRPr="00691DBA">
        <w:rPr>
          <w:rFonts w:ascii="David" w:hAnsi="David" w:cs="David"/>
        </w:rPr>
        <w:t xml:space="preserve">was executed and cleared. The transaction was carried out between two domestic banks and intermediated by a </w:t>
      </w:r>
      <w:r w:rsidR="00F4589F" w:rsidRPr="00691DBA">
        <w:rPr>
          <w:rFonts w:ascii="David" w:hAnsi="David" w:cs="David"/>
        </w:rPr>
        <w:t xml:space="preserve">domestic </w:t>
      </w:r>
      <w:r w:rsidR="00796E72" w:rsidRPr="00691DBA">
        <w:rPr>
          <w:rFonts w:ascii="David" w:hAnsi="David" w:cs="David"/>
        </w:rPr>
        <w:t xml:space="preserve">broker, for a period of two years. </w:t>
      </w:r>
      <w:r w:rsidR="00167BAE" w:rsidRPr="00691DBA">
        <w:rPr>
          <w:rFonts w:ascii="David" w:hAnsi="David" w:cs="David"/>
        </w:rPr>
        <w:t>T</w:t>
      </w:r>
      <w:r w:rsidR="00796E72" w:rsidRPr="00691DBA">
        <w:rPr>
          <w:rFonts w:ascii="David" w:hAnsi="David" w:cs="David"/>
        </w:rPr>
        <w:t>he transaction was cleared</w:t>
      </w:r>
      <w:r w:rsidR="008A523A" w:rsidRPr="00691DBA">
        <w:rPr>
          <w:rFonts w:ascii="David" w:hAnsi="David" w:cs="David"/>
        </w:rPr>
        <w:t xml:space="preserve"> </w:t>
      </w:r>
      <w:r w:rsidR="004608E1" w:rsidRPr="00691DBA">
        <w:rPr>
          <w:rFonts w:ascii="David" w:hAnsi="David" w:cs="David"/>
        </w:rPr>
        <w:t>by LCH Ltd</w:t>
      </w:r>
      <w:r w:rsidR="00796E72" w:rsidRPr="00691DBA">
        <w:rPr>
          <w:rFonts w:ascii="David" w:hAnsi="David" w:cs="David"/>
        </w:rPr>
        <w:t>, which completed the preparation</w:t>
      </w:r>
      <w:r w:rsidR="00167BAE" w:rsidRPr="00691DBA">
        <w:rPr>
          <w:rFonts w:ascii="David" w:hAnsi="David" w:cs="David"/>
        </w:rPr>
        <w:t>s</w:t>
      </w:r>
      <w:r w:rsidR="00796E72" w:rsidRPr="00691DBA">
        <w:rPr>
          <w:rFonts w:ascii="David" w:hAnsi="David" w:cs="David"/>
        </w:rPr>
        <w:t xml:space="preserve"> for central clearing</w:t>
      </w:r>
      <w:r w:rsidR="00167BAE" w:rsidRPr="00691DBA">
        <w:rPr>
          <w:rFonts w:ascii="David" w:hAnsi="David" w:cs="David"/>
        </w:rPr>
        <w:t xml:space="preserve"> </w:t>
      </w:r>
      <w:r w:rsidR="00796E72" w:rsidRPr="00691DBA">
        <w:rPr>
          <w:rFonts w:ascii="David" w:hAnsi="David" w:cs="David"/>
        </w:rPr>
        <w:t xml:space="preserve">of SHIR interest rate transactions </w:t>
      </w:r>
      <w:r w:rsidR="00AC64B7" w:rsidRPr="00691DBA">
        <w:rPr>
          <w:rFonts w:ascii="David" w:hAnsi="David" w:cs="David"/>
        </w:rPr>
        <w:t>as of</w:t>
      </w:r>
      <w:r w:rsidR="00796E72" w:rsidRPr="00691DBA">
        <w:rPr>
          <w:rFonts w:ascii="David" w:hAnsi="David" w:cs="David"/>
        </w:rPr>
        <w:t xml:space="preserve"> October 2023, and thus arranged the infrastructure for executing SHIR interest rate derivative transactions in central clearing.</w:t>
      </w:r>
    </w:p>
    <w:p w14:paraId="0398BBBA" w14:textId="77777777" w:rsidR="00CD4FA7" w:rsidRPr="00691DBA" w:rsidRDefault="00CD4FA7" w:rsidP="00E73FB2">
      <w:pPr>
        <w:bidi w:val="0"/>
        <w:jc w:val="both"/>
        <w:rPr>
          <w:rFonts w:ascii="David" w:hAnsi="David" w:cs="David"/>
        </w:rPr>
      </w:pPr>
    </w:p>
    <w:p w14:paraId="1566880B" w14:textId="55A78B50" w:rsidR="00CD4FA7" w:rsidRPr="00691DBA" w:rsidRDefault="00CD4FA7" w:rsidP="00E73FB2">
      <w:pPr>
        <w:bidi w:val="0"/>
        <w:jc w:val="both"/>
        <w:rPr>
          <w:rFonts w:ascii="David" w:hAnsi="David" w:cs="David"/>
        </w:rPr>
      </w:pPr>
      <w:r w:rsidRPr="00691DBA">
        <w:rPr>
          <w:rFonts w:ascii="David" w:hAnsi="David" w:cs="David"/>
        </w:rPr>
        <w:t xml:space="preserve">In accordance with a decision reached in February 2022, the SHIR interest rate will replace the </w:t>
      </w:r>
      <w:proofErr w:type="spellStart"/>
      <w:r w:rsidRPr="00691DBA">
        <w:rPr>
          <w:rFonts w:ascii="David" w:hAnsi="David" w:cs="David"/>
        </w:rPr>
        <w:t>Telbor</w:t>
      </w:r>
      <w:proofErr w:type="spellEnd"/>
      <w:r w:rsidRPr="00691DBA">
        <w:rPr>
          <w:rFonts w:ascii="David" w:hAnsi="David" w:cs="David"/>
        </w:rPr>
        <w:t xml:space="preserve"> interest rate </w:t>
      </w:r>
      <w:r w:rsidR="00555F62" w:rsidRPr="00691DBA">
        <w:rPr>
          <w:rFonts w:ascii="David" w:hAnsi="David" w:cs="David"/>
        </w:rPr>
        <w:t xml:space="preserve">in shekel interest rate derivative transactions, and will serve </w:t>
      </w:r>
      <w:r w:rsidR="00791B43" w:rsidRPr="00691DBA">
        <w:rPr>
          <w:rFonts w:ascii="David" w:hAnsi="David" w:cs="David"/>
        </w:rPr>
        <w:t xml:space="preserve">as the overnight interest rate for the same day. The decision to switch the </w:t>
      </w:r>
      <w:proofErr w:type="spellStart"/>
      <w:r w:rsidR="00791B43" w:rsidRPr="00691DBA">
        <w:rPr>
          <w:rFonts w:ascii="David" w:hAnsi="David" w:cs="David"/>
        </w:rPr>
        <w:t>Telbor</w:t>
      </w:r>
      <w:proofErr w:type="spellEnd"/>
      <w:r w:rsidR="00791B43" w:rsidRPr="00691DBA">
        <w:rPr>
          <w:rFonts w:ascii="David" w:hAnsi="David" w:cs="David"/>
        </w:rPr>
        <w:t xml:space="preserve"> interest rate is in accordance with the decisions reached in major economies worldwide, according to which IBOR type interest rates</w:t>
      </w:r>
      <w:r w:rsidR="004E273E" w:rsidRPr="00691DBA">
        <w:rPr>
          <w:rFonts w:ascii="David" w:hAnsi="David" w:cs="David"/>
        </w:rPr>
        <w:t xml:space="preserve"> will be replaced by risk-free o</w:t>
      </w:r>
      <w:r w:rsidR="00791B43" w:rsidRPr="00691DBA">
        <w:rPr>
          <w:rFonts w:ascii="David" w:hAnsi="David" w:cs="David"/>
        </w:rPr>
        <w:t>vernight interest rates.</w:t>
      </w:r>
    </w:p>
    <w:p w14:paraId="197DCDB0" w14:textId="77777777" w:rsidR="005C2F2F" w:rsidRPr="00691DBA" w:rsidRDefault="005C2F2F" w:rsidP="00E73FB2">
      <w:pPr>
        <w:bidi w:val="0"/>
        <w:jc w:val="both"/>
        <w:rPr>
          <w:rFonts w:ascii="David" w:hAnsi="David" w:cs="David"/>
        </w:rPr>
      </w:pPr>
    </w:p>
    <w:p w14:paraId="0A489B8D" w14:textId="6398658B" w:rsidR="005C2F2F" w:rsidRPr="00691DBA" w:rsidRDefault="005C2F2F" w:rsidP="00E73FB2">
      <w:pPr>
        <w:bidi w:val="0"/>
        <w:jc w:val="both"/>
        <w:rPr>
          <w:rFonts w:ascii="David" w:hAnsi="David" w:cs="David"/>
        </w:rPr>
      </w:pPr>
      <w:r w:rsidRPr="00691DBA">
        <w:rPr>
          <w:rFonts w:ascii="David" w:hAnsi="David" w:cs="David"/>
        </w:rPr>
        <w:t xml:space="preserve">Executing and clearing the said transaction is an important </w:t>
      </w:r>
      <w:r w:rsidR="00CF683C" w:rsidRPr="00691DBA">
        <w:rPr>
          <w:rFonts w:ascii="David" w:hAnsi="David" w:cs="David"/>
        </w:rPr>
        <w:t xml:space="preserve">milestone in the process of switching from the </w:t>
      </w:r>
      <w:proofErr w:type="spellStart"/>
      <w:r w:rsidR="00CF683C" w:rsidRPr="00691DBA">
        <w:rPr>
          <w:rFonts w:ascii="David" w:hAnsi="David" w:cs="David"/>
        </w:rPr>
        <w:t>Telbor</w:t>
      </w:r>
      <w:proofErr w:type="spellEnd"/>
      <w:r w:rsidR="00CF683C" w:rsidRPr="00691DBA">
        <w:rPr>
          <w:rFonts w:ascii="David" w:hAnsi="David" w:cs="David"/>
        </w:rPr>
        <w:t xml:space="preserve"> to the SHIR interest rate. The process includes executing transactions in the new interest rate and shifting the stock of existing </w:t>
      </w:r>
      <w:proofErr w:type="spellStart"/>
      <w:r w:rsidR="00CF683C" w:rsidRPr="00691DBA">
        <w:rPr>
          <w:rFonts w:ascii="David" w:hAnsi="David" w:cs="David"/>
        </w:rPr>
        <w:t>Telbor</w:t>
      </w:r>
      <w:proofErr w:type="spellEnd"/>
      <w:r w:rsidR="00CF683C" w:rsidRPr="00691DBA">
        <w:rPr>
          <w:rFonts w:ascii="David" w:hAnsi="David" w:cs="David"/>
        </w:rPr>
        <w:t xml:space="preserve"> transactions to the SHIR interest rate, and at the end of the </w:t>
      </w:r>
      <w:r w:rsidR="005E61AC" w:rsidRPr="00691DBA">
        <w:rPr>
          <w:rFonts w:ascii="David" w:hAnsi="David" w:cs="David"/>
        </w:rPr>
        <w:t>process,</w:t>
      </w:r>
      <w:r w:rsidR="00CF683C" w:rsidRPr="00691DBA">
        <w:rPr>
          <w:rFonts w:ascii="David" w:hAnsi="David" w:cs="David"/>
        </w:rPr>
        <w:t xml:space="preserve"> the </w:t>
      </w:r>
      <w:proofErr w:type="spellStart"/>
      <w:r w:rsidR="00CF683C" w:rsidRPr="00691DBA">
        <w:rPr>
          <w:rFonts w:ascii="David" w:hAnsi="David" w:cs="David"/>
        </w:rPr>
        <w:t>Telbor</w:t>
      </w:r>
      <w:proofErr w:type="spellEnd"/>
      <w:r w:rsidR="00CF683C" w:rsidRPr="00691DBA">
        <w:rPr>
          <w:rFonts w:ascii="David" w:hAnsi="David" w:cs="David"/>
        </w:rPr>
        <w:t xml:space="preserve"> rate will be cancelled. </w:t>
      </w:r>
      <w:r w:rsidR="00EF222F" w:rsidRPr="00691DBA">
        <w:rPr>
          <w:rFonts w:ascii="David" w:hAnsi="David" w:cs="David"/>
        </w:rPr>
        <w:lastRenderedPageBreak/>
        <w:t xml:space="preserve">The date for ending the publication of the </w:t>
      </w:r>
      <w:proofErr w:type="spellStart"/>
      <w:r w:rsidR="00EF222F" w:rsidRPr="00691DBA">
        <w:rPr>
          <w:rFonts w:ascii="David" w:hAnsi="David" w:cs="David"/>
        </w:rPr>
        <w:t>Telbor</w:t>
      </w:r>
      <w:proofErr w:type="spellEnd"/>
      <w:r w:rsidR="00EF222F" w:rsidRPr="00691DBA">
        <w:rPr>
          <w:rFonts w:ascii="David" w:hAnsi="David" w:cs="David"/>
        </w:rPr>
        <w:t xml:space="preserve"> interest rate will be determined in the future, in accordance with the progress of the process.</w:t>
      </w:r>
      <w:r w:rsidR="00FB0438" w:rsidRPr="00691DBA">
        <w:rPr>
          <w:rFonts w:ascii="David" w:hAnsi="David" w:cs="David"/>
        </w:rPr>
        <w:t xml:space="preserve"> The shift to the SHIR interest rate is expected to contribute to the advancement and development of the shekel interest rate derivative market.</w:t>
      </w:r>
    </w:p>
    <w:p w14:paraId="687C609B" w14:textId="77777777" w:rsidR="004E273E" w:rsidRPr="00691DBA" w:rsidRDefault="004E273E" w:rsidP="004E273E">
      <w:pPr>
        <w:bidi w:val="0"/>
        <w:jc w:val="both"/>
        <w:rPr>
          <w:rFonts w:ascii="David" w:hAnsi="David" w:cs="David"/>
          <w:rtl/>
        </w:rPr>
      </w:pPr>
    </w:p>
    <w:p w14:paraId="1E84360F" w14:textId="7F6A8231" w:rsidR="008F1718" w:rsidRPr="00416FD3" w:rsidRDefault="00691DBA" w:rsidP="004E273E">
      <w:pPr>
        <w:bidi w:val="0"/>
        <w:jc w:val="both"/>
        <w:rPr>
          <w:rtl/>
        </w:rPr>
      </w:pPr>
      <w:hyperlink r:id="rId9" w:history="1">
        <w:r w:rsidR="008F1718" w:rsidRPr="00691DBA">
          <w:rPr>
            <w:rStyle w:val="Hyperlink"/>
            <w:rFonts w:ascii="David" w:hAnsi="David" w:cs="David"/>
            <w:highlight w:val="yellow"/>
          </w:rPr>
          <w:t>FOR FURTHER INFORMATION</w:t>
        </w:r>
      </w:hyperlink>
    </w:p>
    <w:sectPr w:rsidR="008F1718" w:rsidRPr="00416FD3" w:rsidSect="00D114C9">
      <w:headerReference w:type="default" r:id="rId10"/>
      <w:footerReference w:type="default" r:id="rId11"/>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BD63F" w14:textId="77777777" w:rsidR="00832EA9" w:rsidRDefault="00832EA9" w:rsidP="00E64B36">
      <w:r>
        <w:separator/>
      </w:r>
    </w:p>
  </w:endnote>
  <w:endnote w:type="continuationSeparator" w:id="0">
    <w:p w14:paraId="05249B81" w14:textId="77777777" w:rsidR="00832EA9" w:rsidRDefault="00832EA9"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215F" w14:textId="727B2DBA"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691DBA">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691DBA">
      <w:rPr>
        <w:b/>
        <w:bCs/>
        <w:noProof/>
        <w:sz w:val="18"/>
        <w:szCs w:val="18"/>
      </w:rPr>
      <w:t>1</w:t>
    </w:r>
    <w:r w:rsidR="00B96022" w:rsidRPr="00CD0A35">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787C7" w14:textId="77777777" w:rsidR="00832EA9" w:rsidRDefault="00832EA9" w:rsidP="00E64B36">
      <w:r>
        <w:separator/>
      </w:r>
    </w:p>
  </w:footnote>
  <w:footnote w:type="continuationSeparator" w:id="0">
    <w:p w14:paraId="28707DCD" w14:textId="77777777" w:rsidR="00832EA9" w:rsidRDefault="00832EA9" w:rsidP="00E64B36">
      <w:r>
        <w:continuationSeparator/>
      </w:r>
    </w:p>
  </w:footnote>
  <w:footnote w:id="1">
    <w:p w14:paraId="0E02BD1A" w14:textId="77777777" w:rsidR="005C60A7" w:rsidRPr="005C60A7" w:rsidRDefault="00C42CD0" w:rsidP="005C60A7">
      <w:pPr>
        <w:pStyle w:val="NormalWeb"/>
        <w:shd w:val="clear" w:color="auto" w:fill="FFFFFF"/>
        <w:spacing w:before="0" w:beforeAutospacing="0" w:after="0" w:afterAutospacing="0"/>
        <w:jc w:val="both"/>
        <w:rPr>
          <w:rFonts w:asciiTheme="majorBidi" w:hAnsiTheme="majorBidi" w:cstheme="majorBidi"/>
          <w:b/>
          <w:bCs/>
          <w:sz w:val="20"/>
          <w:szCs w:val="20"/>
        </w:rPr>
      </w:pPr>
      <w:r w:rsidRPr="00E84C73">
        <w:rPr>
          <w:rStyle w:val="ad"/>
          <w:sz w:val="20"/>
          <w:szCs w:val="20"/>
        </w:rPr>
        <w:footnoteRef/>
      </w:r>
      <w:r w:rsidRPr="00E84C73">
        <w:rPr>
          <w:sz w:val="20"/>
          <w:szCs w:val="20"/>
        </w:rPr>
        <w:t xml:space="preserve"> </w:t>
      </w:r>
      <w:hyperlink r:id="rId1" w:history="1">
        <w:r w:rsidRPr="005C60A7">
          <w:rPr>
            <w:rStyle w:val="Hyperlink"/>
            <w:rFonts w:asciiTheme="majorBidi" w:hAnsiTheme="majorBidi" w:cstheme="majorBidi"/>
            <w:b/>
            <w:bCs/>
            <w:sz w:val="20"/>
            <w:szCs w:val="20"/>
          </w:rPr>
          <w:t>SHIR interest rate</w:t>
        </w:r>
      </w:hyperlink>
      <w:r w:rsidR="00E84C73" w:rsidRPr="005C60A7">
        <w:rPr>
          <w:rFonts w:asciiTheme="majorBidi" w:hAnsiTheme="majorBidi" w:cstheme="majorBidi"/>
          <w:b/>
          <w:bCs/>
          <w:sz w:val="20"/>
          <w:szCs w:val="20"/>
        </w:rPr>
        <w:t>:</w:t>
      </w:r>
      <w:r w:rsidRPr="005C60A7">
        <w:rPr>
          <w:rFonts w:asciiTheme="majorBidi" w:hAnsiTheme="majorBidi" w:cstheme="majorBidi"/>
          <w:sz w:val="20"/>
          <w:szCs w:val="20"/>
        </w:rPr>
        <w:t xml:space="preserve"> </w:t>
      </w:r>
      <w:r w:rsidR="00AC64B7" w:rsidRPr="005C60A7">
        <w:rPr>
          <w:rFonts w:asciiTheme="majorBidi" w:hAnsiTheme="majorBidi" w:cstheme="majorBidi"/>
          <w:sz w:val="20"/>
          <w:szCs w:val="20"/>
        </w:rPr>
        <w:t xml:space="preserve">will be replacing the </w:t>
      </w:r>
      <w:proofErr w:type="spellStart"/>
      <w:r w:rsidR="00AC64B7" w:rsidRPr="005C60A7">
        <w:rPr>
          <w:rFonts w:asciiTheme="majorBidi" w:hAnsiTheme="majorBidi" w:cstheme="majorBidi"/>
          <w:sz w:val="20"/>
          <w:szCs w:val="20"/>
        </w:rPr>
        <w:t>Telbor</w:t>
      </w:r>
      <w:proofErr w:type="spellEnd"/>
      <w:r w:rsidR="00AC64B7" w:rsidRPr="005C60A7">
        <w:rPr>
          <w:rFonts w:asciiTheme="majorBidi" w:hAnsiTheme="majorBidi" w:cstheme="majorBidi"/>
          <w:sz w:val="20"/>
          <w:szCs w:val="20"/>
        </w:rPr>
        <w:t xml:space="preserve"> rate in interest rate derivative transactions. The SHIR is equal to the Bank of Israel interest rate, but on days when the SHIR is not published, its value will be the same as it was on the last date of publication.</w:t>
      </w:r>
    </w:p>
    <w:p w14:paraId="1A1D3722" w14:textId="77777777" w:rsidR="00AD4AE1" w:rsidRPr="005C60A7" w:rsidRDefault="00691DBA" w:rsidP="005C60A7">
      <w:pPr>
        <w:pStyle w:val="NormalWeb"/>
        <w:shd w:val="clear" w:color="auto" w:fill="FFFFFF"/>
        <w:spacing w:before="0" w:beforeAutospacing="0" w:after="0" w:afterAutospacing="0"/>
        <w:jc w:val="both"/>
        <w:rPr>
          <w:rFonts w:asciiTheme="majorBidi" w:hAnsiTheme="majorBidi" w:cstheme="majorBidi"/>
          <w:sz w:val="20"/>
          <w:szCs w:val="20"/>
        </w:rPr>
      </w:pPr>
      <w:hyperlink r:id="rId2" w:history="1">
        <w:proofErr w:type="spellStart"/>
        <w:r w:rsidR="00AD4AE1" w:rsidRPr="005C60A7">
          <w:rPr>
            <w:rStyle w:val="Hyperlink"/>
            <w:rFonts w:asciiTheme="majorBidi" w:hAnsiTheme="majorBidi" w:cstheme="majorBidi"/>
            <w:b/>
            <w:bCs/>
            <w:sz w:val="20"/>
            <w:szCs w:val="20"/>
          </w:rPr>
          <w:t>Telbor</w:t>
        </w:r>
        <w:proofErr w:type="spellEnd"/>
        <w:r w:rsidR="00AD4AE1" w:rsidRPr="005C60A7">
          <w:rPr>
            <w:rStyle w:val="Hyperlink"/>
            <w:rFonts w:asciiTheme="majorBidi" w:hAnsiTheme="majorBidi" w:cstheme="majorBidi"/>
            <w:b/>
            <w:bCs/>
            <w:sz w:val="20"/>
            <w:szCs w:val="20"/>
          </w:rPr>
          <w:t xml:space="preserve"> interest rate</w:t>
        </w:r>
      </w:hyperlink>
      <w:r w:rsidR="00AD4AE1" w:rsidRPr="005C60A7">
        <w:rPr>
          <w:rFonts w:asciiTheme="majorBidi" w:hAnsiTheme="majorBidi" w:cstheme="majorBidi"/>
          <w:b/>
          <w:bCs/>
          <w:sz w:val="20"/>
          <w:szCs w:val="20"/>
        </w:rPr>
        <w:t>:</w:t>
      </w:r>
      <w:r w:rsidR="00AD4AE1" w:rsidRPr="005C60A7">
        <w:rPr>
          <w:rFonts w:asciiTheme="majorBidi" w:hAnsiTheme="majorBidi" w:cstheme="majorBidi"/>
          <w:sz w:val="20"/>
          <w:szCs w:val="20"/>
        </w:rPr>
        <w:t xml:space="preserve"> An interest rate for interbank loans, calculated and published on every business day via the “</w:t>
      </w:r>
      <w:r w:rsidR="008732FB" w:rsidRPr="005C60A7">
        <w:rPr>
          <w:rFonts w:asciiTheme="majorBidi" w:hAnsiTheme="majorBidi" w:cstheme="majorBidi"/>
          <w:sz w:val="20"/>
          <w:szCs w:val="20"/>
        </w:rPr>
        <w:t>Reut</w:t>
      </w:r>
      <w:r w:rsidR="00AD4AE1" w:rsidRPr="005C60A7">
        <w:rPr>
          <w:rFonts w:asciiTheme="majorBidi" w:hAnsiTheme="majorBidi" w:cstheme="majorBidi"/>
          <w:sz w:val="20"/>
          <w:szCs w:val="20"/>
        </w:rPr>
        <w:t>ers” data distribution. The interest rate is calculated based on interest rate quotes from several commercial banks.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65FF" w14:textId="2AC9537A" w:rsidR="0046455D" w:rsidRDefault="005D6AC7">
    <w:pPr>
      <w:pStyle w:val="a3"/>
    </w:pPr>
    <w:r>
      <w:rPr>
        <w:noProof/>
      </w:rPr>
      <mc:AlternateContent>
        <mc:Choice Requires="wps">
          <w:drawing>
            <wp:anchor distT="0" distB="0" distL="114300" distR="114300" simplePos="0" relativeHeight="251664384" behindDoc="0" locked="0" layoutInCell="0" allowOverlap="1" wp14:anchorId="7086FD93" wp14:editId="53C8CFBC">
              <wp:simplePos x="0" y="0"/>
              <wp:positionH relativeFrom="page">
                <wp:posOffset>0</wp:posOffset>
              </wp:positionH>
              <wp:positionV relativeFrom="page">
                <wp:posOffset>190500</wp:posOffset>
              </wp:positionV>
              <wp:extent cx="7560310" cy="273050"/>
              <wp:effectExtent l="0" t="0" r="0" b="12700"/>
              <wp:wrapNone/>
              <wp:docPr id="396148396" name="MSIPCMcb314a04a419d45bdca26baa" descr="{&quot;HashCode&quot;:12271051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E63F4" w14:textId="5BE40EBB" w:rsidR="005D6AC7" w:rsidRPr="005D6AC7" w:rsidRDefault="005D6AC7" w:rsidP="005D6AC7">
                          <w:pPr>
                            <w:jc w:val="right"/>
                            <w:rPr>
                              <w:rFonts w:ascii="Calibri" w:hAnsi="Calibri" w:cs="Calibri"/>
                              <w:color w:val="000000"/>
                              <w:sz w:val="20"/>
                            </w:rPr>
                          </w:pPr>
                          <w:r w:rsidRPr="005D6AC7">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086FD93" id="_x0000_t202" coordsize="21600,21600" o:spt="202" path="m,l,21600r21600,l21600,xe">
              <v:stroke joinstyle="miter"/>
              <v:path gradientshapeok="t" o:connecttype="rect"/>
            </v:shapetype>
            <v:shape id="MSIPCMcb314a04a419d45bdca26baa" o:spid="_x0000_s1026" type="#_x0000_t202" alt="{&quot;HashCode&quot;:1227105120,&quot;Height&quot;:841.0,&quot;Width&quot;:595.0,&quot;Placement&quot;:&quot;Header&quot;,&quot;Index&quot;:&quot;Primary&quot;,&quot;Section&quot;:1,&quot;Top&quot;:0.0,&quot;Left&quot;:0.0}" style="position:absolute;left:0;text-align:left;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68EE63F4" w14:textId="5BE40EBB" w:rsidR="005D6AC7" w:rsidRPr="005D6AC7" w:rsidRDefault="005D6AC7" w:rsidP="005D6AC7">
                    <w:pPr>
                      <w:jc w:val="right"/>
                      <w:rPr>
                        <w:rFonts w:ascii="Calibri" w:hAnsi="Calibri" w:cs="Calibri"/>
                        <w:color w:val="000000"/>
                        <w:sz w:val="20"/>
                      </w:rPr>
                    </w:pPr>
                    <w:r w:rsidRPr="005D6AC7">
                      <w:rPr>
                        <w:rFonts w:ascii="Calibri" w:hAnsi="Calibri" w:cs="Calibri"/>
                        <w:color w:val="000000"/>
                        <w:sz w:val="20"/>
                      </w:rPr>
                      <w:t>CORPORATE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51247"/>
    <w:rsid w:val="000526A0"/>
    <w:rsid w:val="0005726E"/>
    <w:rsid w:val="00065D9C"/>
    <w:rsid w:val="000A520E"/>
    <w:rsid w:val="000B2231"/>
    <w:rsid w:val="000C710C"/>
    <w:rsid w:val="000D1D28"/>
    <w:rsid w:val="000D4E65"/>
    <w:rsid w:val="000F48F6"/>
    <w:rsid w:val="000F4BF2"/>
    <w:rsid w:val="001001A2"/>
    <w:rsid w:val="00101B55"/>
    <w:rsid w:val="00130245"/>
    <w:rsid w:val="001428C4"/>
    <w:rsid w:val="00143F3A"/>
    <w:rsid w:val="00151D84"/>
    <w:rsid w:val="00160B25"/>
    <w:rsid w:val="00162F5E"/>
    <w:rsid w:val="00165CB6"/>
    <w:rsid w:val="00167BAE"/>
    <w:rsid w:val="00175CDA"/>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6239"/>
    <w:rsid w:val="00247387"/>
    <w:rsid w:val="00252C62"/>
    <w:rsid w:val="00273AE1"/>
    <w:rsid w:val="00281C70"/>
    <w:rsid w:val="00283FB7"/>
    <w:rsid w:val="0029640A"/>
    <w:rsid w:val="00297100"/>
    <w:rsid w:val="002A0D2A"/>
    <w:rsid w:val="002B48CC"/>
    <w:rsid w:val="002C6007"/>
    <w:rsid w:val="002C6A25"/>
    <w:rsid w:val="002D4DF2"/>
    <w:rsid w:val="002F4149"/>
    <w:rsid w:val="002F7EEF"/>
    <w:rsid w:val="0030279B"/>
    <w:rsid w:val="003129D6"/>
    <w:rsid w:val="003136EE"/>
    <w:rsid w:val="00321832"/>
    <w:rsid w:val="00322C28"/>
    <w:rsid w:val="003276ED"/>
    <w:rsid w:val="003365E0"/>
    <w:rsid w:val="00344E60"/>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16FD3"/>
    <w:rsid w:val="0042309E"/>
    <w:rsid w:val="00430365"/>
    <w:rsid w:val="004309C6"/>
    <w:rsid w:val="00443044"/>
    <w:rsid w:val="00445B15"/>
    <w:rsid w:val="00447E5A"/>
    <w:rsid w:val="004608E1"/>
    <w:rsid w:val="0046455D"/>
    <w:rsid w:val="0046672E"/>
    <w:rsid w:val="00473B04"/>
    <w:rsid w:val="00474107"/>
    <w:rsid w:val="00482E08"/>
    <w:rsid w:val="00492391"/>
    <w:rsid w:val="004A20A5"/>
    <w:rsid w:val="004D02F4"/>
    <w:rsid w:val="004D32A7"/>
    <w:rsid w:val="004D5D6F"/>
    <w:rsid w:val="004E25DD"/>
    <w:rsid w:val="004E273E"/>
    <w:rsid w:val="004E4AEC"/>
    <w:rsid w:val="004F4341"/>
    <w:rsid w:val="0050183E"/>
    <w:rsid w:val="00513B3C"/>
    <w:rsid w:val="005165DB"/>
    <w:rsid w:val="005221FC"/>
    <w:rsid w:val="005406F8"/>
    <w:rsid w:val="00540B03"/>
    <w:rsid w:val="005462D0"/>
    <w:rsid w:val="0055455A"/>
    <w:rsid w:val="00555C8A"/>
    <w:rsid w:val="00555F62"/>
    <w:rsid w:val="005576E1"/>
    <w:rsid w:val="00566FAC"/>
    <w:rsid w:val="00567733"/>
    <w:rsid w:val="005713A8"/>
    <w:rsid w:val="00583DAD"/>
    <w:rsid w:val="0059277F"/>
    <w:rsid w:val="00592A99"/>
    <w:rsid w:val="00596FB4"/>
    <w:rsid w:val="00597EED"/>
    <w:rsid w:val="005A2991"/>
    <w:rsid w:val="005B789C"/>
    <w:rsid w:val="005C2F2F"/>
    <w:rsid w:val="005C60A7"/>
    <w:rsid w:val="005D0AF8"/>
    <w:rsid w:val="005D6AC7"/>
    <w:rsid w:val="005E61AC"/>
    <w:rsid w:val="005F3A83"/>
    <w:rsid w:val="005F3E47"/>
    <w:rsid w:val="0060215A"/>
    <w:rsid w:val="0061692C"/>
    <w:rsid w:val="006216F9"/>
    <w:rsid w:val="00621BB5"/>
    <w:rsid w:val="0062658F"/>
    <w:rsid w:val="00640EEA"/>
    <w:rsid w:val="0064482B"/>
    <w:rsid w:val="00652D53"/>
    <w:rsid w:val="00662FB1"/>
    <w:rsid w:val="0067516F"/>
    <w:rsid w:val="006832D0"/>
    <w:rsid w:val="00691DBA"/>
    <w:rsid w:val="006A0642"/>
    <w:rsid w:val="006A36CC"/>
    <w:rsid w:val="006A66C5"/>
    <w:rsid w:val="006B029C"/>
    <w:rsid w:val="006B4683"/>
    <w:rsid w:val="006B5BA9"/>
    <w:rsid w:val="006B679C"/>
    <w:rsid w:val="006C714C"/>
    <w:rsid w:val="006D3582"/>
    <w:rsid w:val="006D7651"/>
    <w:rsid w:val="006E1B6A"/>
    <w:rsid w:val="0070010B"/>
    <w:rsid w:val="0070029F"/>
    <w:rsid w:val="00701734"/>
    <w:rsid w:val="00721560"/>
    <w:rsid w:val="00726036"/>
    <w:rsid w:val="0074341E"/>
    <w:rsid w:val="00751F08"/>
    <w:rsid w:val="00760371"/>
    <w:rsid w:val="007666A8"/>
    <w:rsid w:val="00776535"/>
    <w:rsid w:val="007806C5"/>
    <w:rsid w:val="00786563"/>
    <w:rsid w:val="00787142"/>
    <w:rsid w:val="00791B43"/>
    <w:rsid w:val="007926C7"/>
    <w:rsid w:val="00793399"/>
    <w:rsid w:val="00796E72"/>
    <w:rsid w:val="007A2030"/>
    <w:rsid w:val="007A589B"/>
    <w:rsid w:val="007A64CC"/>
    <w:rsid w:val="007B2769"/>
    <w:rsid w:val="007C6400"/>
    <w:rsid w:val="007D57EE"/>
    <w:rsid w:val="007E0C1F"/>
    <w:rsid w:val="007E1CB3"/>
    <w:rsid w:val="007F7993"/>
    <w:rsid w:val="0081026B"/>
    <w:rsid w:val="00830099"/>
    <w:rsid w:val="00832EA9"/>
    <w:rsid w:val="008403F1"/>
    <w:rsid w:val="00842057"/>
    <w:rsid w:val="00842BAF"/>
    <w:rsid w:val="0086005B"/>
    <w:rsid w:val="00864C55"/>
    <w:rsid w:val="0086637C"/>
    <w:rsid w:val="008732FB"/>
    <w:rsid w:val="00884167"/>
    <w:rsid w:val="008914B1"/>
    <w:rsid w:val="00892A46"/>
    <w:rsid w:val="008A523A"/>
    <w:rsid w:val="008A7212"/>
    <w:rsid w:val="008B2431"/>
    <w:rsid w:val="008B257A"/>
    <w:rsid w:val="008C082F"/>
    <w:rsid w:val="008C366C"/>
    <w:rsid w:val="008D390B"/>
    <w:rsid w:val="008D6FB6"/>
    <w:rsid w:val="008E38F1"/>
    <w:rsid w:val="008E4D8E"/>
    <w:rsid w:val="008F1718"/>
    <w:rsid w:val="008F17A3"/>
    <w:rsid w:val="008F1FCF"/>
    <w:rsid w:val="00900453"/>
    <w:rsid w:val="00904100"/>
    <w:rsid w:val="0090462E"/>
    <w:rsid w:val="00905463"/>
    <w:rsid w:val="0091307F"/>
    <w:rsid w:val="00933EF4"/>
    <w:rsid w:val="0093574D"/>
    <w:rsid w:val="00961BD6"/>
    <w:rsid w:val="0097278E"/>
    <w:rsid w:val="009744A0"/>
    <w:rsid w:val="00976781"/>
    <w:rsid w:val="00986270"/>
    <w:rsid w:val="009B166B"/>
    <w:rsid w:val="009B66C8"/>
    <w:rsid w:val="009C21B3"/>
    <w:rsid w:val="009C2C42"/>
    <w:rsid w:val="009E3D4E"/>
    <w:rsid w:val="009E6A28"/>
    <w:rsid w:val="009F010F"/>
    <w:rsid w:val="009F3FB7"/>
    <w:rsid w:val="00A117D2"/>
    <w:rsid w:val="00A17420"/>
    <w:rsid w:val="00A239A7"/>
    <w:rsid w:val="00A3549C"/>
    <w:rsid w:val="00A374AC"/>
    <w:rsid w:val="00A37869"/>
    <w:rsid w:val="00A44A88"/>
    <w:rsid w:val="00A72122"/>
    <w:rsid w:val="00A74752"/>
    <w:rsid w:val="00A749E1"/>
    <w:rsid w:val="00A81B6C"/>
    <w:rsid w:val="00A94775"/>
    <w:rsid w:val="00A962CF"/>
    <w:rsid w:val="00AB75B4"/>
    <w:rsid w:val="00AC64B7"/>
    <w:rsid w:val="00AC74EC"/>
    <w:rsid w:val="00AD2234"/>
    <w:rsid w:val="00AD4AE1"/>
    <w:rsid w:val="00AD7CC8"/>
    <w:rsid w:val="00AE6E25"/>
    <w:rsid w:val="00AF6B3A"/>
    <w:rsid w:val="00B054AD"/>
    <w:rsid w:val="00B108AE"/>
    <w:rsid w:val="00B13C9D"/>
    <w:rsid w:val="00B159A9"/>
    <w:rsid w:val="00B2426C"/>
    <w:rsid w:val="00B40E49"/>
    <w:rsid w:val="00B533D5"/>
    <w:rsid w:val="00B54F09"/>
    <w:rsid w:val="00B71972"/>
    <w:rsid w:val="00B84789"/>
    <w:rsid w:val="00B85769"/>
    <w:rsid w:val="00B87F00"/>
    <w:rsid w:val="00B916A7"/>
    <w:rsid w:val="00B9176B"/>
    <w:rsid w:val="00B96022"/>
    <w:rsid w:val="00BC113A"/>
    <w:rsid w:val="00BC71FF"/>
    <w:rsid w:val="00BD0FFD"/>
    <w:rsid w:val="00BE27B4"/>
    <w:rsid w:val="00BE4CAF"/>
    <w:rsid w:val="00BE52BF"/>
    <w:rsid w:val="00C00BB8"/>
    <w:rsid w:val="00C02233"/>
    <w:rsid w:val="00C05BED"/>
    <w:rsid w:val="00C06B06"/>
    <w:rsid w:val="00C106C2"/>
    <w:rsid w:val="00C15121"/>
    <w:rsid w:val="00C171FF"/>
    <w:rsid w:val="00C21009"/>
    <w:rsid w:val="00C21363"/>
    <w:rsid w:val="00C2294B"/>
    <w:rsid w:val="00C265A4"/>
    <w:rsid w:val="00C37129"/>
    <w:rsid w:val="00C42CD0"/>
    <w:rsid w:val="00C47A56"/>
    <w:rsid w:val="00C52224"/>
    <w:rsid w:val="00C52FC2"/>
    <w:rsid w:val="00C5755A"/>
    <w:rsid w:val="00C67CE0"/>
    <w:rsid w:val="00C74F11"/>
    <w:rsid w:val="00C7643D"/>
    <w:rsid w:val="00C76E10"/>
    <w:rsid w:val="00CB5D78"/>
    <w:rsid w:val="00CC58F8"/>
    <w:rsid w:val="00CD0A35"/>
    <w:rsid w:val="00CD4FA7"/>
    <w:rsid w:val="00CD5F91"/>
    <w:rsid w:val="00CD6927"/>
    <w:rsid w:val="00CE0B40"/>
    <w:rsid w:val="00CF683C"/>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64B36"/>
    <w:rsid w:val="00E660F1"/>
    <w:rsid w:val="00E7204F"/>
    <w:rsid w:val="00E73FB2"/>
    <w:rsid w:val="00E74DBF"/>
    <w:rsid w:val="00E8008F"/>
    <w:rsid w:val="00E8413B"/>
    <w:rsid w:val="00E84C73"/>
    <w:rsid w:val="00E85DB1"/>
    <w:rsid w:val="00EB0782"/>
    <w:rsid w:val="00EB0DEC"/>
    <w:rsid w:val="00EB20C7"/>
    <w:rsid w:val="00EB44F5"/>
    <w:rsid w:val="00EB669A"/>
    <w:rsid w:val="00EC126C"/>
    <w:rsid w:val="00EC13FB"/>
    <w:rsid w:val="00EC48D4"/>
    <w:rsid w:val="00ED5226"/>
    <w:rsid w:val="00EE2AA0"/>
    <w:rsid w:val="00EE3596"/>
    <w:rsid w:val="00EF1554"/>
    <w:rsid w:val="00EF1AC2"/>
    <w:rsid w:val="00EF222F"/>
    <w:rsid w:val="00F033FC"/>
    <w:rsid w:val="00F15E93"/>
    <w:rsid w:val="00F164F5"/>
    <w:rsid w:val="00F45181"/>
    <w:rsid w:val="00F4589F"/>
    <w:rsid w:val="00F45972"/>
    <w:rsid w:val="00F53236"/>
    <w:rsid w:val="00F56917"/>
    <w:rsid w:val="00F576F6"/>
    <w:rsid w:val="00F806F6"/>
    <w:rsid w:val="00FA13BA"/>
    <w:rsid w:val="00FA4548"/>
    <w:rsid w:val="00FB043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D6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 w:type="paragraph" w:styleId="NormalWeb">
    <w:name w:val="Normal (Web)"/>
    <w:basedOn w:val="a"/>
    <w:uiPriority w:val="99"/>
    <w:unhideWhenUsed/>
    <w:rsid w:val="00AC64B7"/>
    <w:pPr>
      <w:bidi w:val="0"/>
      <w:spacing w:before="100" w:beforeAutospacing="1" w:after="100" w:afterAutospacing="1"/>
    </w:pPr>
  </w:style>
  <w:style w:type="paragraph" w:customStyle="1" w:styleId="xmsonormal">
    <w:name w:val="x_msonormal"/>
    <w:basedOn w:val="a"/>
    <w:rsid w:val="000D1D28"/>
    <w:pPr>
      <w:bidi w:val="0"/>
    </w:pPr>
    <w:rPr>
      <w:rFonts w:ascii="Calibri" w:eastAsiaTheme="minorHAnsi" w:hAnsi="Calibri" w:cs="Calibri"/>
      <w:sz w:val="22"/>
      <w:szCs w:val="22"/>
      <w:lang w:val="en-GB" w:eastAsia="en-GB" w:bidi="ar-SA"/>
    </w:rPr>
  </w:style>
  <w:style w:type="paragraph" w:styleId="ae">
    <w:name w:val="Revision"/>
    <w:hidden/>
    <w:uiPriority w:val="99"/>
    <w:semiHidden/>
    <w:rsid w:val="00F164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971509">
      <w:bodyDiv w:val="1"/>
      <w:marLeft w:val="0"/>
      <w:marRight w:val="0"/>
      <w:marTop w:val="0"/>
      <w:marBottom w:val="0"/>
      <w:divBdr>
        <w:top w:val="none" w:sz="0" w:space="0" w:color="auto"/>
        <w:left w:val="none" w:sz="0" w:space="0" w:color="auto"/>
        <w:bottom w:val="none" w:sz="0" w:space="0" w:color="auto"/>
        <w:right w:val="none" w:sz="0" w:space="0" w:color="auto"/>
      </w:divBdr>
    </w:div>
    <w:div w:id="1392650332">
      <w:bodyDiv w:val="1"/>
      <w:marLeft w:val="0"/>
      <w:marRight w:val="0"/>
      <w:marTop w:val="0"/>
      <w:marBottom w:val="0"/>
      <w:divBdr>
        <w:top w:val="none" w:sz="0" w:space="0" w:color="auto"/>
        <w:left w:val="none" w:sz="0" w:space="0" w:color="auto"/>
        <w:bottom w:val="none" w:sz="0" w:space="0" w:color="auto"/>
        <w:right w:val="none" w:sz="0" w:space="0" w:color="auto"/>
      </w:divBdr>
    </w:div>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i.org.il/en/economic-roles/financial-markets/shi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oi.org.il/en/economic-roles/financial-markets/the-telbor-market/" TargetMode="External"/><Relationship Id="rId1" Type="http://schemas.openxmlformats.org/officeDocument/2006/relationships/hyperlink" Target="https://www.boi.org.il/en/economic-roles/financial-markets/shi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36AC-9CB4-4BF0-BDAB-96C0A3C5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2486</Characters>
  <Application>Microsoft Office Word</Application>
  <DocSecurity>4</DocSecurity>
  <Lines>65</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2911</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2023-12-21T11:20:00Z</dcterms:created>
  <dcterms:modified xsi:type="dcterms:W3CDTF">2023-12-21T11:20:00Z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ffedc7-8dd7-4346-b906-eaa072ee5258_Enabled">
    <vt:lpwstr>true</vt:lpwstr>
  </property>
  <property fmtid="{D5CDD505-2E9C-101B-9397-08002B2CF9AE}" pid="3" name="MSIP_Label_16ffedc7-8dd7-4346-b906-eaa072ee5258_SetDate">
    <vt:lpwstr>2023-12-19T17:20:36Z</vt:lpwstr>
  </property>
  <property fmtid="{D5CDD505-2E9C-101B-9397-08002B2CF9AE}" pid="4" name="MSIP_Label_16ffedc7-8dd7-4346-b906-eaa072ee5258_Method">
    <vt:lpwstr>Standard</vt:lpwstr>
  </property>
  <property fmtid="{D5CDD505-2E9C-101B-9397-08002B2CF9AE}" pid="5" name="MSIP_Label_16ffedc7-8dd7-4346-b906-eaa072ee5258_Name">
    <vt:lpwstr>Corporate</vt:lpwstr>
  </property>
  <property fmtid="{D5CDD505-2E9C-101B-9397-08002B2CF9AE}" pid="6" name="MSIP_Label_16ffedc7-8dd7-4346-b906-eaa072ee5258_SiteId">
    <vt:lpwstr>287e9f0e-91ec-4cf0-b7a4-c63898072181</vt:lpwstr>
  </property>
  <property fmtid="{D5CDD505-2E9C-101B-9397-08002B2CF9AE}" pid="7" name="MSIP_Label_16ffedc7-8dd7-4346-b906-eaa072ee5258_ActionId">
    <vt:lpwstr>7a67b895-3630-414a-90da-85338b05e54a</vt:lpwstr>
  </property>
  <property fmtid="{D5CDD505-2E9C-101B-9397-08002B2CF9AE}" pid="8" name="MSIP_Label_16ffedc7-8dd7-4346-b906-eaa072ee5258_ContentBits">
    <vt:lpwstr>1</vt:lpwstr>
  </property>
</Properties>
</file>