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3740"/>
      </w:tblGrid>
      <w:tr w:rsidR="00B03A4B" w:rsidRPr="00DB1CBC" w:rsidTr="00B03A4B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A4B" w:rsidRDefault="00B03A4B" w:rsidP="0070332F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B03A4B" w:rsidRDefault="00B03A4B" w:rsidP="0070332F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B03A4B" w:rsidRDefault="00B03A4B" w:rsidP="007033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B520DE" wp14:editId="5ABAC574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A4B" w:rsidRDefault="00B03A4B" w:rsidP="0070332F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ירושלים, ה' בשבט</w:t>
            </w:r>
            <w:r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ה</w:t>
            </w:r>
            <w:r>
              <w:rPr>
                <w:rFonts w:cs="David"/>
                <w:sz w:val="24"/>
                <w:szCs w:val="24"/>
                <w:rtl/>
              </w:rPr>
              <w:t>תשע"</w:t>
            </w:r>
            <w:r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B03A4B" w:rsidRPr="00DF107C" w:rsidRDefault="00B03A4B" w:rsidP="0070332F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6 בינואר 2014</w:t>
            </w:r>
          </w:p>
        </w:tc>
      </w:tr>
    </w:tbl>
    <w:p w:rsidR="00B03A4B" w:rsidRPr="00B03A4B" w:rsidRDefault="00B03A4B" w:rsidP="00B03A4B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045C20" w:rsidRPr="00672E04" w:rsidRDefault="00AB5247" w:rsidP="00AB5247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672E04">
        <w:rPr>
          <w:rFonts w:cs="David" w:hint="cs"/>
          <w:b/>
          <w:bCs/>
          <w:sz w:val="28"/>
          <w:szCs w:val="28"/>
          <w:u w:val="single"/>
          <w:rtl/>
        </w:rPr>
        <w:t>הסקירה המקרו כלכלית של נגידת בנק ישראל בו</w:t>
      </w:r>
      <w:r w:rsidR="00672E04" w:rsidRPr="00672E04">
        <w:rPr>
          <w:rFonts w:cs="David" w:hint="cs"/>
          <w:b/>
          <w:bCs/>
          <w:sz w:val="28"/>
          <w:szCs w:val="28"/>
          <w:u w:val="single"/>
          <w:rtl/>
        </w:rPr>
        <w:t>ו</w:t>
      </w:r>
      <w:r w:rsidR="00B03A4B">
        <w:rPr>
          <w:rFonts w:cs="David" w:hint="cs"/>
          <w:b/>
          <w:bCs/>
          <w:sz w:val="28"/>
          <w:szCs w:val="28"/>
          <w:u w:val="single"/>
          <w:rtl/>
        </w:rPr>
        <w:t>עדת הכספים של הכנסת</w:t>
      </w:r>
    </w:p>
    <w:p w:rsidR="00AB5247" w:rsidRPr="0004275A" w:rsidRDefault="00AB5247" w:rsidP="00E66B7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>נגידת בנק ישראל, ד"ר קרנית פלוג, סקרה היום את מצב המשק בפני ועדת הכספים של הכנסת. להלן עיקרי דבריה</w:t>
      </w:r>
      <w:r w:rsidR="00E66B71">
        <w:rPr>
          <w:rFonts w:cs="David" w:hint="cs"/>
          <w:sz w:val="28"/>
          <w:szCs w:val="28"/>
          <w:rtl/>
        </w:rPr>
        <w:t xml:space="preserve">. המצגת שהציגה הנגידה בפני הועדה מצורפת. </w:t>
      </w:r>
    </w:p>
    <w:p w:rsidR="009A16CC" w:rsidRPr="0004275A" w:rsidRDefault="00FD02C2" w:rsidP="00B316AC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>סקירה על כלכלת ישראל חייבת להתחיל מהתמונה המקרו כלכלית הגלובלית</w:t>
      </w:r>
      <w:r w:rsidR="00B316AC">
        <w:rPr>
          <w:rFonts w:cs="David" w:hint="cs"/>
          <w:sz w:val="28"/>
          <w:szCs w:val="28"/>
          <w:rtl/>
        </w:rPr>
        <w:t xml:space="preserve"> (שקף 4)</w:t>
      </w:r>
      <w:r w:rsidRPr="0004275A">
        <w:rPr>
          <w:rFonts w:cs="David" w:hint="cs"/>
          <w:sz w:val="28"/>
          <w:szCs w:val="28"/>
          <w:rtl/>
        </w:rPr>
        <w:t>. ב-2013 המשק העולמי היה ממותן יחסית, עם צמיחה נמוכה בארה"ב שהושפעה מהריסון התקציבי שם, התכווצות</w:t>
      </w:r>
      <w:r w:rsidR="000D6963" w:rsidRPr="0004275A">
        <w:rPr>
          <w:rFonts w:cs="David" w:hint="cs"/>
          <w:sz w:val="28"/>
          <w:szCs w:val="28"/>
          <w:rtl/>
        </w:rPr>
        <w:t xml:space="preserve"> מתמשכת</w:t>
      </w:r>
      <w:r w:rsidR="00AB5247" w:rsidRPr="0004275A">
        <w:rPr>
          <w:rFonts w:cs="David" w:hint="cs"/>
          <w:sz w:val="28"/>
          <w:szCs w:val="28"/>
          <w:rtl/>
        </w:rPr>
        <w:t xml:space="preserve"> </w:t>
      </w:r>
      <w:r w:rsidRPr="0004275A">
        <w:rPr>
          <w:rFonts w:cs="David" w:hint="cs"/>
          <w:sz w:val="28"/>
          <w:szCs w:val="28"/>
          <w:rtl/>
        </w:rPr>
        <w:t xml:space="preserve">באירופה </w:t>
      </w:r>
      <w:r w:rsidR="00AB5247" w:rsidRPr="0004275A">
        <w:rPr>
          <w:rFonts w:cs="David" w:hint="cs"/>
          <w:sz w:val="28"/>
          <w:szCs w:val="28"/>
          <w:rtl/>
        </w:rPr>
        <w:t>ו</w:t>
      </w:r>
      <w:r w:rsidRPr="0004275A">
        <w:rPr>
          <w:rFonts w:cs="David" w:hint="cs"/>
          <w:sz w:val="28"/>
          <w:szCs w:val="28"/>
          <w:rtl/>
        </w:rPr>
        <w:t>האטה בשווקים המתעוררים</w:t>
      </w:r>
      <w:r w:rsidR="00AB5247" w:rsidRPr="0004275A">
        <w:rPr>
          <w:rFonts w:cs="David" w:hint="cs"/>
          <w:sz w:val="28"/>
          <w:szCs w:val="28"/>
          <w:rtl/>
        </w:rPr>
        <w:t>. בשנת 2014  צפויה התאוששות:</w:t>
      </w:r>
      <w:r w:rsidRPr="0004275A">
        <w:rPr>
          <w:rFonts w:cs="David" w:hint="cs"/>
          <w:sz w:val="28"/>
          <w:szCs w:val="28"/>
          <w:rtl/>
        </w:rPr>
        <w:t xml:space="preserve"> בארה"</w:t>
      </w:r>
      <w:r w:rsidR="00AB5247" w:rsidRPr="0004275A">
        <w:rPr>
          <w:rFonts w:cs="David" w:hint="cs"/>
          <w:sz w:val="28"/>
          <w:szCs w:val="28"/>
          <w:rtl/>
        </w:rPr>
        <w:t>ב, עם הקלת הריסון התקציבי צפוי</w:t>
      </w:r>
      <w:r w:rsidRPr="0004275A">
        <w:rPr>
          <w:rFonts w:cs="David" w:hint="cs"/>
          <w:sz w:val="28"/>
          <w:szCs w:val="28"/>
          <w:rtl/>
        </w:rPr>
        <w:t>ה האצה בצמיחה ל</w:t>
      </w:r>
      <w:r w:rsidR="00045C20" w:rsidRPr="0004275A">
        <w:rPr>
          <w:rFonts w:cs="David" w:hint="cs"/>
          <w:sz w:val="28"/>
          <w:szCs w:val="28"/>
          <w:rtl/>
        </w:rPr>
        <w:t>-</w:t>
      </w:r>
      <w:r w:rsidRPr="0004275A">
        <w:rPr>
          <w:rFonts w:cs="David" w:hint="cs"/>
          <w:sz w:val="28"/>
          <w:szCs w:val="28"/>
          <w:rtl/>
        </w:rPr>
        <w:t xml:space="preserve">2.6 אחוזים, אירופה </w:t>
      </w:r>
      <w:r w:rsidR="00AB5247" w:rsidRPr="0004275A">
        <w:rPr>
          <w:rFonts w:cs="David" w:hint="cs"/>
          <w:sz w:val="28"/>
          <w:szCs w:val="28"/>
          <w:rtl/>
        </w:rPr>
        <w:t>צפויה לעבור ל</w:t>
      </w:r>
      <w:r w:rsidRPr="0004275A">
        <w:rPr>
          <w:rFonts w:cs="David" w:hint="cs"/>
          <w:sz w:val="28"/>
          <w:szCs w:val="28"/>
          <w:rtl/>
        </w:rPr>
        <w:t xml:space="preserve">צמיחה חיובית, וגם בשווקים המתעוררים </w:t>
      </w:r>
      <w:r w:rsidR="000D6963" w:rsidRPr="0004275A">
        <w:rPr>
          <w:rFonts w:cs="David" w:hint="cs"/>
          <w:sz w:val="28"/>
          <w:szCs w:val="28"/>
          <w:rtl/>
        </w:rPr>
        <w:t xml:space="preserve">צפוי </w:t>
      </w:r>
      <w:r w:rsidRPr="0004275A">
        <w:rPr>
          <w:rFonts w:cs="David" w:hint="cs"/>
          <w:sz w:val="28"/>
          <w:szCs w:val="28"/>
          <w:rtl/>
        </w:rPr>
        <w:t xml:space="preserve">שיפור. מבחינת </w:t>
      </w:r>
      <w:r w:rsidR="00AB5247" w:rsidRPr="0004275A">
        <w:rPr>
          <w:rFonts w:cs="David" w:hint="cs"/>
          <w:sz w:val="28"/>
          <w:szCs w:val="28"/>
          <w:rtl/>
        </w:rPr>
        <w:t>המשק הישראלי</w:t>
      </w:r>
      <w:r w:rsidRPr="0004275A">
        <w:rPr>
          <w:rFonts w:cs="David" w:hint="cs"/>
          <w:sz w:val="28"/>
          <w:szCs w:val="28"/>
          <w:rtl/>
        </w:rPr>
        <w:t xml:space="preserve">, המשתנה </w:t>
      </w:r>
      <w:r w:rsidR="00AB5247" w:rsidRPr="0004275A">
        <w:rPr>
          <w:rFonts w:cs="David" w:hint="cs"/>
          <w:sz w:val="28"/>
          <w:szCs w:val="28"/>
          <w:rtl/>
        </w:rPr>
        <w:t xml:space="preserve">העולמי </w:t>
      </w:r>
      <w:r w:rsidRPr="0004275A">
        <w:rPr>
          <w:rFonts w:cs="David" w:hint="cs"/>
          <w:sz w:val="28"/>
          <w:szCs w:val="28"/>
          <w:rtl/>
        </w:rPr>
        <w:t xml:space="preserve">החשוב ביותר הוא הסחר העולמי המהווה </w:t>
      </w:r>
      <w:r w:rsidR="00AB5247" w:rsidRPr="0004275A">
        <w:rPr>
          <w:rFonts w:cs="David" w:hint="cs"/>
          <w:sz w:val="28"/>
          <w:szCs w:val="28"/>
          <w:rtl/>
        </w:rPr>
        <w:t xml:space="preserve">אינדיקטור לביקוש ליצוא הישראלי; </w:t>
      </w:r>
      <w:r w:rsidRPr="0004275A">
        <w:rPr>
          <w:rFonts w:cs="David" w:hint="cs"/>
          <w:sz w:val="28"/>
          <w:szCs w:val="28"/>
          <w:rtl/>
        </w:rPr>
        <w:t xml:space="preserve">קצב גידולו </w:t>
      </w:r>
      <w:r w:rsidR="00AB5247" w:rsidRPr="0004275A">
        <w:rPr>
          <w:rFonts w:cs="David" w:hint="cs"/>
          <w:sz w:val="28"/>
          <w:szCs w:val="28"/>
          <w:rtl/>
        </w:rPr>
        <w:t xml:space="preserve">של הסחר </w:t>
      </w:r>
      <w:r w:rsidRPr="0004275A">
        <w:rPr>
          <w:rFonts w:cs="David" w:hint="cs"/>
          <w:sz w:val="28"/>
          <w:szCs w:val="28"/>
          <w:rtl/>
        </w:rPr>
        <w:t xml:space="preserve">צפוי להאיץ מפחות מ-3% </w:t>
      </w:r>
      <w:r w:rsidR="00AB5247" w:rsidRPr="0004275A">
        <w:rPr>
          <w:rFonts w:cs="David" w:hint="cs"/>
          <w:sz w:val="28"/>
          <w:szCs w:val="28"/>
          <w:rtl/>
        </w:rPr>
        <w:t xml:space="preserve">ב-2013 </w:t>
      </w:r>
      <w:r w:rsidRPr="0004275A">
        <w:rPr>
          <w:rFonts w:cs="David" w:hint="cs"/>
          <w:sz w:val="28"/>
          <w:szCs w:val="28"/>
          <w:rtl/>
        </w:rPr>
        <w:t>לכמעט 5%</w:t>
      </w:r>
      <w:r w:rsidR="00AB5247" w:rsidRPr="0004275A">
        <w:rPr>
          <w:rFonts w:cs="David" w:hint="cs"/>
          <w:sz w:val="28"/>
          <w:szCs w:val="28"/>
          <w:rtl/>
        </w:rPr>
        <w:t xml:space="preserve"> ב-2014</w:t>
      </w:r>
      <w:r w:rsidRPr="0004275A">
        <w:rPr>
          <w:rFonts w:cs="David" w:hint="cs"/>
          <w:sz w:val="28"/>
          <w:szCs w:val="28"/>
          <w:rtl/>
        </w:rPr>
        <w:t>.</w:t>
      </w:r>
    </w:p>
    <w:p w:rsidR="00FD02C2" w:rsidRPr="0004275A" w:rsidRDefault="00FD02C2" w:rsidP="00AB5247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 xml:space="preserve">על רקע השיפור </w:t>
      </w:r>
      <w:r w:rsidR="000D6963" w:rsidRPr="0004275A">
        <w:rPr>
          <w:rFonts w:cs="David" w:hint="cs"/>
          <w:sz w:val="28"/>
          <w:szCs w:val="28"/>
          <w:rtl/>
        </w:rPr>
        <w:t xml:space="preserve">בכלכלה </w:t>
      </w:r>
      <w:r w:rsidRPr="0004275A">
        <w:rPr>
          <w:rFonts w:cs="David" w:hint="cs"/>
          <w:sz w:val="28"/>
          <w:szCs w:val="28"/>
          <w:rtl/>
        </w:rPr>
        <w:t>העולמית</w:t>
      </w:r>
      <w:r w:rsidR="00802393" w:rsidRPr="0004275A">
        <w:rPr>
          <w:rFonts w:cs="David" w:hint="cs"/>
          <w:sz w:val="28"/>
          <w:szCs w:val="28"/>
          <w:rtl/>
        </w:rPr>
        <w:t>,</w:t>
      </w:r>
      <w:r w:rsidRPr="0004275A">
        <w:rPr>
          <w:rFonts w:cs="David" w:hint="cs"/>
          <w:sz w:val="28"/>
          <w:szCs w:val="28"/>
          <w:rtl/>
        </w:rPr>
        <w:t xml:space="preserve"> </w:t>
      </w:r>
      <w:r w:rsidR="00AB5247" w:rsidRPr="0004275A">
        <w:rPr>
          <w:rFonts w:cs="David" w:hint="cs"/>
          <w:sz w:val="28"/>
          <w:szCs w:val="28"/>
          <w:rtl/>
        </w:rPr>
        <w:t xml:space="preserve">תחזית חטיבת המחקר של בנק ישראל צופה </w:t>
      </w:r>
      <w:r w:rsidRPr="0004275A">
        <w:rPr>
          <w:rFonts w:cs="David" w:hint="cs"/>
          <w:sz w:val="28"/>
          <w:szCs w:val="28"/>
          <w:rtl/>
        </w:rPr>
        <w:t>בשנ</w:t>
      </w:r>
      <w:r w:rsidR="00AB5247" w:rsidRPr="0004275A">
        <w:rPr>
          <w:rFonts w:cs="David" w:hint="cs"/>
          <w:sz w:val="28"/>
          <w:szCs w:val="28"/>
          <w:rtl/>
        </w:rPr>
        <w:t>ת</w:t>
      </w:r>
      <w:r w:rsidRPr="0004275A">
        <w:rPr>
          <w:rFonts w:cs="David" w:hint="cs"/>
          <w:sz w:val="28"/>
          <w:szCs w:val="28"/>
          <w:rtl/>
        </w:rPr>
        <w:t xml:space="preserve"> </w:t>
      </w:r>
      <w:r w:rsidR="00AB5247" w:rsidRPr="0004275A">
        <w:rPr>
          <w:rFonts w:cs="David" w:hint="cs"/>
          <w:sz w:val="28"/>
          <w:szCs w:val="28"/>
          <w:rtl/>
        </w:rPr>
        <w:t>2014</w:t>
      </w:r>
      <w:r w:rsidRPr="0004275A">
        <w:rPr>
          <w:rFonts w:cs="David" w:hint="cs"/>
          <w:sz w:val="28"/>
          <w:szCs w:val="28"/>
          <w:rtl/>
        </w:rPr>
        <w:t xml:space="preserve"> קצב צמיחה של 3.3 אחוזים</w:t>
      </w:r>
      <w:r w:rsidR="00AB5247" w:rsidRPr="0004275A">
        <w:rPr>
          <w:rFonts w:cs="David" w:hint="cs"/>
          <w:sz w:val="28"/>
          <w:szCs w:val="28"/>
          <w:rtl/>
        </w:rPr>
        <w:t xml:space="preserve"> במשק הישראלי</w:t>
      </w:r>
      <w:r w:rsidR="00B316AC">
        <w:rPr>
          <w:rFonts w:cs="David" w:hint="cs"/>
          <w:sz w:val="28"/>
          <w:szCs w:val="28"/>
          <w:rtl/>
        </w:rPr>
        <w:t xml:space="preserve"> (שקף 6)</w:t>
      </w:r>
      <w:r w:rsidRPr="0004275A">
        <w:rPr>
          <w:rFonts w:cs="David" w:hint="cs"/>
          <w:sz w:val="28"/>
          <w:szCs w:val="28"/>
          <w:rtl/>
        </w:rPr>
        <w:t xml:space="preserve">, בדומה לזה </w:t>
      </w:r>
      <w:r w:rsidR="00AB5247" w:rsidRPr="0004275A">
        <w:rPr>
          <w:rFonts w:cs="David" w:hint="cs"/>
          <w:sz w:val="28"/>
          <w:szCs w:val="28"/>
          <w:rtl/>
        </w:rPr>
        <w:t>שדיווח</w:t>
      </w:r>
      <w:r w:rsidR="00802393" w:rsidRPr="0004275A">
        <w:rPr>
          <w:rFonts w:cs="David" w:hint="cs"/>
          <w:sz w:val="28"/>
          <w:szCs w:val="28"/>
          <w:rtl/>
        </w:rPr>
        <w:t>ה</w:t>
      </w:r>
      <w:r w:rsidR="00AB5247" w:rsidRPr="0004275A">
        <w:rPr>
          <w:rFonts w:cs="David" w:hint="cs"/>
          <w:sz w:val="28"/>
          <w:szCs w:val="28"/>
          <w:rtl/>
        </w:rPr>
        <w:t xml:space="preserve"> הלמ"ס באומדן המקדים </w:t>
      </w:r>
      <w:r w:rsidRPr="0004275A">
        <w:rPr>
          <w:rFonts w:cs="David" w:hint="cs"/>
          <w:sz w:val="28"/>
          <w:szCs w:val="28"/>
          <w:rtl/>
        </w:rPr>
        <w:t xml:space="preserve">של 2013, אך בניכוי התרומה של הפקת הגז </w:t>
      </w:r>
      <w:r w:rsidR="00045C20" w:rsidRPr="0004275A">
        <w:rPr>
          <w:rFonts w:cs="David" w:hint="cs"/>
          <w:sz w:val="28"/>
          <w:szCs w:val="28"/>
          <w:rtl/>
        </w:rPr>
        <w:t>הטבעי</w:t>
      </w:r>
      <w:r w:rsidRPr="0004275A">
        <w:rPr>
          <w:rFonts w:cs="David" w:hint="cs"/>
          <w:sz w:val="28"/>
          <w:szCs w:val="28"/>
          <w:rtl/>
        </w:rPr>
        <w:t xml:space="preserve"> הצמיחה צפויה להאיץ מעט, </w:t>
      </w:r>
      <w:r w:rsidR="00045C20" w:rsidRPr="0004275A">
        <w:rPr>
          <w:rFonts w:cs="David" w:hint="cs"/>
          <w:sz w:val="28"/>
          <w:szCs w:val="28"/>
          <w:rtl/>
        </w:rPr>
        <w:t>מ-</w:t>
      </w:r>
      <w:r w:rsidRPr="0004275A">
        <w:rPr>
          <w:rFonts w:cs="David" w:hint="cs"/>
          <w:sz w:val="28"/>
          <w:szCs w:val="28"/>
          <w:rtl/>
        </w:rPr>
        <w:t>2.6 ל</w:t>
      </w:r>
      <w:r w:rsidR="00045C20" w:rsidRPr="0004275A">
        <w:rPr>
          <w:rFonts w:cs="David" w:hint="cs"/>
          <w:sz w:val="28"/>
          <w:szCs w:val="28"/>
          <w:rtl/>
        </w:rPr>
        <w:t>-</w:t>
      </w:r>
      <w:r w:rsidRPr="0004275A">
        <w:rPr>
          <w:rFonts w:cs="David" w:hint="cs"/>
          <w:sz w:val="28"/>
          <w:szCs w:val="28"/>
          <w:rtl/>
        </w:rPr>
        <w:t>2.9 אחוזים.</w:t>
      </w:r>
    </w:p>
    <w:p w:rsidR="00FD02C2" w:rsidRPr="0004275A" w:rsidRDefault="00FD02C2" w:rsidP="00802393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>נקודת החולשה במשק הישראלי הייתה בשנתיים האחרונות היצוא</w:t>
      </w:r>
      <w:r w:rsidR="00B316AC">
        <w:rPr>
          <w:rFonts w:cs="David" w:hint="cs"/>
          <w:sz w:val="28"/>
          <w:szCs w:val="28"/>
          <w:rtl/>
        </w:rPr>
        <w:t xml:space="preserve"> (שקף 7)</w:t>
      </w:r>
      <w:r w:rsidRPr="0004275A">
        <w:rPr>
          <w:rFonts w:cs="David" w:hint="cs"/>
          <w:sz w:val="28"/>
          <w:szCs w:val="28"/>
          <w:rtl/>
        </w:rPr>
        <w:t xml:space="preserve">, המדשדש תוך תנודתיות רבה, </w:t>
      </w:r>
      <w:r w:rsidR="00045C20" w:rsidRPr="0004275A">
        <w:rPr>
          <w:rFonts w:cs="David" w:hint="cs"/>
          <w:sz w:val="28"/>
          <w:szCs w:val="28"/>
          <w:rtl/>
        </w:rPr>
        <w:t>ו</w:t>
      </w:r>
      <w:r w:rsidRPr="0004275A">
        <w:rPr>
          <w:rFonts w:cs="David" w:hint="cs"/>
          <w:sz w:val="28"/>
          <w:szCs w:val="28"/>
          <w:rtl/>
        </w:rPr>
        <w:t xml:space="preserve">מושפע קודם כל מהביקוש העולמי הממותן, אך גם מהייסוף בשער החליפין. בהקשר זה ראוי לציין כי הרגישות של </w:t>
      </w:r>
      <w:r w:rsidR="000D6963" w:rsidRPr="0004275A">
        <w:rPr>
          <w:rFonts w:cs="David" w:hint="cs"/>
          <w:sz w:val="28"/>
          <w:szCs w:val="28"/>
          <w:rtl/>
        </w:rPr>
        <w:t xml:space="preserve">סך </w:t>
      </w:r>
      <w:r w:rsidRPr="0004275A">
        <w:rPr>
          <w:rFonts w:cs="David" w:hint="cs"/>
          <w:sz w:val="28"/>
          <w:szCs w:val="28"/>
          <w:rtl/>
        </w:rPr>
        <w:t>היצוא לשער החליפין אינה גבוהה</w:t>
      </w:r>
      <w:r w:rsidRPr="0004275A">
        <w:rPr>
          <w:rFonts w:cs="David"/>
          <w:sz w:val="28"/>
          <w:szCs w:val="28"/>
          <w:rtl/>
        </w:rPr>
        <w:t>—</w:t>
      </w:r>
      <w:r w:rsidR="00802393" w:rsidRPr="0004275A">
        <w:rPr>
          <w:rFonts w:cs="David" w:hint="cs"/>
          <w:sz w:val="28"/>
          <w:szCs w:val="28"/>
          <w:rtl/>
        </w:rPr>
        <w:t>ה</w:t>
      </w:r>
      <w:r w:rsidRPr="0004275A">
        <w:rPr>
          <w:rFonts w:cs="David" w:hint="cs"/>
          <w:sz w:val="28"/>
          <w:szCs w:val="28"/>
          <w:rtl/>
        </w:rPr>
        <w:t xml:space="preserve">גמישות </w:t>
      </w:r>
      <w:r w:rsidR="00802393" w:rsidRPr="0004275A">
        <w:rPr>
          <w:rFonts w:cs="David" w:hint="cs"/>
          <w:sz w:val="28"/>
          <w:szCs w:val="28"/>
          <w:rtl/>
        </w:rPr>
        <w:t xml:space="preserve">שנאמדה היא </w:t>
      </w:r>
      <w:r w:rsidRPr="0004275A">
        <w:rPr>
          <w:rFonts w:cs="David" w:hint="cs"/>
          <w:sz w:val="28"/>
          <w:szCs w:val="28"/>
          <w:rtl/>
        </w:rPr>
        <w:t xml:space="preserve">של 0.2, </w:t>
      </w:r>
      <w:r w:rsidR="006747A5" w:rsidRPr="0004275A">
        <w:rPr>
          <w:rFonts w:cs="David" w:hint="cs"/>
          <w:sz w:val="28"/>
          <w:szCs w:val="28"/>
          <w:rtl/>
        </w:rPr>
        <w:t>(כלומר, ייסוף של 1% מביא לירידה של 0.2% ביצוא, ולהיפך במקרה של פיחות)</w:t>
      </w:r>
      <w:r w:rsidR="00802393" w:rsidRPr="0004275A">
        <w:rPr>
          <w:rFonts w:cs="David" w:hint="cs"/>
          <w:sz w:val="28"/>
          <w:szCs w:val="28"/>
          <w:rtl/>
        </w:rPr>
        <w:t>, אך</w:t>
      </w:r>
      <w:r w:rsidR="006747A5" w:rsidRPr="0004275A">
        <w:rPr>
          <w:rFonts w:cs="David" w:hint="cs"/>
          <w:sz w:val="28"/>
          <w:szCs w:val="28"/>
          <w:rtl/>
        </w:rPr>
        <w:t xml:space="preserve"> </w:t>
      </w:r>
      <w:r w:rsidR="000D6963" w:rsidRPr="0004275A">
        <w:rPr>
          <w:rFonts w:cs="David" w:hint="cs"/>
          <w:sz w:val="28"/>
          <w:szCs w:val="28"/>
          <w:rtl/>
        </w:rPr>
        <w:t>חשוב לזכור כי שער החליפין משפיע גם על כושר התחרות של תעשיות המתחרות ביבוא. ה</w:t>
      </w:r>
      <w:r w:rsidRPr="0004275A">
        <w:rPr>
          <w:rFonts w:cs="David" w:hint="cs"/>
          <w:sz w:val="28"/>
          <w:szCs w:val="28"/>
          <w:rtl/>
        </w:rPr>
        <w:t xml:space="preserve">רגישות </w:t>
      </w:r>
      <w:r w:rsidR="000D6963" w:rsidRPr="0004275A">
        <w:rPr>
          <w:rFonts w:cs="David" w:hint="cs"/>
          <w:sz w:val="28"/>
          <w:szCs w:val="28"/>
          <w:rtl/>
        </w:rPr>
        <w:t xml:space="preserve">לשער החליפין </w:t>
      </w:r>
      <w:r w:rsidRPr="0004275A">
        <w:rPr>
          <w:rFonts w:cs="David" w:hint="cs"/>
          <w:sz w:val="28"/>
          <w:szCs w:val="28"/>
          <w:rtl/>
        </w:rPr>
        <w:t xml:space="preserve">גבוהה יותר בענפי התעשייה המסורתית והמעורבת מסורתית. אלה </w:t>
      </w:r>
      <w:r w:rsidR="009C664A" w:rsidRPr="0004275A">
        <w:rPr>
          <w:rFonts w:cs="David" w:hint="cs"/>
          <w:sz w:val="28"/>
          <w:szCs w:val="28"/>
          <w:rtl/>
        </w:rPr>
        <w:t xml:space="preserve">(ביחד) </w:t>
      </w:r>
      <w:r w:rsidRPr="0004275A">
        <w:rPr>
          <w:rFonts w:cs="David" w:hint="cs"/>
          <w:sz w:val="28"/>
          <w:szCs w:val="28"/>
          <w:rtl/>
        </w:rPr>
        <w:t xml:space="preserve">אמנם </w:t>
      </w:r>
      <w:r w:rsidR="009C664A" w:rsidRPr="0004275A">
        <w:rPr>
          <w:rFonts w:cs="David" w:hint="cs"/>
          <w:sz w:val="28"/>
          <w:szCs w:val="28"/>
          <w:rtl/>
        </w:rPr>
        <w:t>מהווים רק כ-20% מהיצוא של התעשייה, אך הם מהווים כ-42% מתוצר התעשייה (כל</w:t>
      </w:r>
      <w:r w:rsidR="000D6963" w:rsidRPr="0004275A">
        <w:rPr>
          <w:rFonts w:cs="David" w:hint="cs"/>
          <w:sz w:val="28"/>
          <w:szCs w:val="28"/>
          <w:rtl/>
        </w:rPr>
        <w:t>ו</w:t>
      </w:r>
      <w:r w:rsidR="009C664A" w:rsidRPr="0004275A">
        <w:rPr>
          <w:rFonts w:cs="David" w:hint="cs"/>
          <w:sz w:val="28"/>
          <w:szCs w:val="28"/>
          <w:rtl/>
        </w:rPr>
        <w:t xml:space="preserve">מר הם מייצרים גם תחליפי יבוא לשוק המקומי), ומעסיקים </w:t>
      </w:r>
      <w:r w:rsidR="00045C20" w:rsidRPr="0004275A">
        <w:rPr>
          <w:rFonts w:cs="David" w:hint="cs"/>
          <w:sz w:val="28"/>
          <w:szCs w:val="28"/>
          <w:rtl/>
        </w:rPr>
        <w:t>קרוב ל-</w:t>
      </w:r>
      <w:r w:rsidR="009C664A" w:rsidRPr="0004275A">
        <w:rPr>
          <w:rFonts w:cs="David" w:hint="cs"/>
          <w:sz w:val="28"/>
          <w:szCs w:val="28"/>
          <w:rtl/>
        </w:rPr>
        <w:t>60% מהמועסקים התעשייה</w:t>
      </w:r>
      <w:r w:rsidR="00B316AC">
        <w:rPr>
          <w:rFonts w:cs="David" w:hint="cs"/>
          <w:sz w:val="28"/>
          <w:szCs w:val="28"/>
          <w:rtl/>
        </w:rPr>
        <w:t xml:space="preserve"> (שקף 8)</w:t>
      </w:r>
      <w:r w:rsidR="009C664A" w:rsidRPr="0004275A">
        <w:rPr>
          <w:rFonts w:cs="David" w:hint="cs"/>
          <w:sz w:val="28"/>
          <w:szCs w:val="28"/>
          <w:rtl/>
        </w:rPr>
        <w:t xml:space="preserve">. לנקודה זו יש כמובן השלכה על הרגישות של </w:t>
      </w:r>
      <w:r w:rsidR="009C664A" w:rsidRPr="0004275A">
        <w:rPr>
          <w:rFonts w:cs="David" w:hint="cs"/>
          <w:b/>
          <w:bCs/>
          <w:sz w:val="28"/>
          <w:szCs w:val="28"/>
          <w:rtl/>
        </w:rPr>
        <w:t>התעסוקה</w:t>
      </w:r>
      <w:r w:rsidR="009C664A" w:rsidRPr="0004275A">
        <w:rPr>
          <w:rFonts w:cs="David" w:hint="cs"/>
          <w:sz w:val="28"/>
          <w:szCs w:val="28"/>
          <w:rtl/>
        </w:rPr>
        <w:t xml:space="preserve"> להתפתחות שער החליפין, ואחזור אליה כשאתייחס למדיניות של בנק ישראל.</w:t>
      </w:r>
    </w:p>
    <w:p w:rsidR="009C664A" w:rsidRPr="0004275A" w:rsidRDefault="009C664A" w:rsidP="00802393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 xml:space="preserve">התמונה בשוק העבודה, כאשר מסתכלים על המצרפים </w:t>
      </w:r>
      <w:r w:rsidR="000D6963" w:rsidRPr="0004275A">
        <w:rPr>
          <w:rFonts w:cs="David" w:hint="cs"/>
          <w:sz w:val="28"/>
          <w:szCs w:val="28"/>
          <w:rtl/>
        </w:rPr>
        <w:t xml:space="preserve">היא </w:t>
      </w:r>
      <w:r w:rsidRPr="0004275A">
        <w:rPr>
          <w:rFonts w:cs="David" w:hint="cs"/>
          <w:sz w:val="28"/>
          <w:szCs w:val="28"/>
          <w:rtl/>
        </w:rPr>
        <w:t>חיובית</w:t>
      </w:r>
      <w:r w:rsidR="00B316AC">
        <w:rPr>
          <w:rFonts w:cs="David" w:hint="cs"/>
          <w:sz w:val="28"/>
          <w:szCs w:val="28"/>
          <w:rtl/>
        </w:rPr>
        <w:t xml:space="preserve"> (שקף 10)</w:t>
      </w:r>
      <w:r w:rsidRPr="0004275A">
        <w:rPr>
          <w:rFonts w:cs="David" w:hint="cs"/>
          <w:sz w:val="28"/>
          <w:szCs w:val="28"/>
          <w:rtl/>
        </w:rPr>
        <w:t>: שעורי ההשתתפות והתעסוקה התייצבו ברמה גבוהה (78.7%,  ו-74.5 בהתאמה בקרב גילאי 24-64 ברביע השלישי של 2013) ושעור האבטלה הגיע לשפל של 5.3%. ו</w:t>
      </w:r>
      <w:r w:rsidR="006747A5" w:rsidRPr="0004275A">
        <w:rPr>
          <w:rFonts w:cs="David" w:hint="cs"/>
          <w:sz w:val="28"/>
          <w:szCs w:val="28"/>
          <w:rtl/>
        </w:rPr>
        <w:t>א</w:t>
      </w:r>
      <w:r w:rsidRPr="0004275A">
        <w:rPr>
          <w:rFonts w:cs="David" w:hint="cs"/>
          <w:sz w:val="28"/>
          <w:szCs w:val="28"/>
          <w:rtl/>
        </w:rPr>
        <w:t xml:space="preserve">ולם, מרבית המשרות החדשות נוצרו בשירותים הציבוריים, בעוד שמשרות השכיר במגזר </w:t>
      </w:r>
      <w:r w:rsidR="00B03A4B" w:rsidRPr="0004275A">
        <w:rPr>
          <w:rFonts w:cs="David" w:hint="cs"/>
          <w:sz w:val="28"/>
          <w:szCs w:val="28"/>
          <w:rtl/>
        </w:rPr>
        <w:t>העסקי</w:t>
      </w:r>
      <w:r w:rsidRPr="0004275A">
        <w:rPr>
          <w:rFonts w:cs="David" w:hint="cs"/>
          <w:sz w:val="28"/>
          <w:szCs w:val="28"/>
          <w:rtl/>
        </w:rPr>
        <w:t xml:space="preserve"> נמצאות בקיפאון (ועל פי נתוני התעסוקה מסקרי כ</w:t>
      </w:r>
      <w:r w:rsidR="00045C20" w:rsidRPr="0004275A">
        <w:rPr>
          <w:rFonts w:cs="David" w:hint="cs"/>
          <w:sz w:val="28"/>
          <w:szCs w:val="28"/>
          <w:rtl/>
        </w:rPr>
        <w:t>ו</w:t>
      </w:r>
      <w:r w:rsidRPr="0004275A">
        <w:rPr>
          <w:rFonts w:cs="David" w:hint="cs"/>
          <w:sz w:val="28"/>
          <w:szCs w:val="28"/>
          <w:rtl/>
        </w:rPr>
        <w:t xml:space="preserve">ח האדם, הגידול במספר המועסקים במגזר </w:t>
      </w:r>
      <w:r w:rsidR="00045C20" w:rsidRPr="0004275A">
        <w:rPr>
          <w:rFonts w:cs="David" w:hint="cs"/>
          <w:sz w:val="28"/>
          <w:szCs w:val="28"/>
          <w:rtl/>
        </w:rPr>
        <w:t>העסקי</w:t>
      </w:r>
      <w:r w:rsidRPr="0004275A">
        <w:rPr>
          <w:rFonts w:cs="David" w:hint="cs"/>
          <w:sz w:val="28"/>
          <w:szCs w:val="28"/>
          <w:rtl/>
        </w:rPr>
        <w:t xml:space="preserve"> היה</w:t>
      </w:r>
      <w:r w:rsidR="00045C20" w:rsidRPr="0004275A">
        <w:rPr>
          <w:rFonts w:cs="David" w:hint="cs"/>
          <w:sz w:val="28"/>
          <w:szCs w:val="28"/>
          <w:rtl/>
        </w:rPr>
        <w:t xml:space="preserve"> </w:t>
      </w:r>
      <w:r w:rsidRPr="0004275A">
        <w:rPr>
          <w:rFonts w:cs="David" w:hint="cs"/>
          <w:sz w:val="28"/>
          <w:szCs w:val="28"/>
          <w:rtl/>
        </w:rPr>
        <w:t>מת</w:t>
      </w:r>
      <w:r w:rsidR="00045C20" w:rsidRPr="0004275A">
        <w:rPr>
          <w:rFonts w:cs="David" w:hint="cs"/>
          <w:sz w:val="28"/>
          <w:szCs w:val="28"/>
          <w:rtl/>
        </w:rPr>
        <w:t>ו</w:t>
      </w:r>
      <w:r w:rsidRPr="0004275A">
        <w:rPr>
          <w:rFonts w:cs="David" w:hint="cs"/>
          <w:sz w:val="28"/>
          <w:szCs w:val="28"/>
          <w:rtl/>
        </w:rPr>
        <w:t>ן בשנה האחרונה).</w:t>
      </w:r>
    </w:p>
    <w:p w:rsidR="00B03A4B" w:rsidRDefault="00B03A4B">
      <w:pPr>
        <w:bidi w:val="0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br w:type="page"/>
      </w:r>
    </w:p>
    <w:p w:rsidR="00B03A4B" w:rsidRDefault="00B03A4B" w:rsidP="00AB5247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9C664A" w:rsidRPr="0004275A" w:rsidRDefault="009C664A" w:rsidP="00AB5247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 xml:space="preserve">בהסתכלות ארוכת טווח , אני רוצה להציג שתי מגמות </w:t>
      </w:r>
      <w:r w:rsidR="002227CC" w:rsidRPr="0004275A">
        <w:rPr>
          <w:rFonts w:cs="David" w:hint="cs"/>
          <w:sz w:val="28"/>
          <w:szCs w:val="28"/>
          <w:rtl/>
        </w:rPr>
        <w:t>מטרידות:</w:t>
      </w:r>
    </w:p>
    <w:p w:rsidR="002227CC" w:rsidRPr="0004275A" w:rsidRDefault="002227CC" w:rsidP="00B316AC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>האחת</w:t>
      </w:r>
      <w:r w:rsidRPr="0004275A">
        <w:rPr>
          <w:rFonts w:cs="David"/>
          <w:sz w:val="28"/>
          <w:szCs w:val="28"/>
          <w:rtl/>
        </w:rPr>
        <w:t>—</w:t>
      </w:r>
      <w:r w:rsidRPr="0004275A">
        <w:rPr>
          <w:rFonts w:cs="David" w:hint="cs"/>
          <w:sz w:val="28"/>
          <w:szCs w:val="28"/>
          <w:rtl/>
        </w:rPr>
        <w:t xml:space="preserve">גידול </w:t>
      </w:r>
      <w:r w:rsidR="00B03A4B" w:rsidRPr="0004275A">
        <w:rPr>
          <w:rFonts w:cs="David" w:hint="cs"/>
          <w:sz w:val="28"/>
          <w:szCs w:val="28"/>
          <w:rtl/>
        </w:rPr>
        <w:t>הפריון</w:t>
      </w:r>
      <w:r w:rsidR="00B316AC">
        <w:rPr>
          <w:rFonts w:cs="David" w:hint="cs"/>
          <w:sz w:val="28"/>
          <w:szCs w:val="28"/>
          <w:rtl/>
        </w:rPr>
        <w:t xml:space="preserve"> (שקף 12)</w:t>
      </w:r>
      <w:r w:rsidRPr="0004275A">
        <w:rPr>
          <w:rFonts w:cs="David" w:hint="cs"/>
          <w:sz w:val="28"/>
          <w:szCs w:val="28"/>
          <w:rtl/>
        </w:rPr>
        <w:t xml:space="preserve">, כלומר </w:t>
      </w:r>
      <w:r w:rsidR="00802393" w:rsidRPr="0004275A">
        <w:rPr>
          <w:rFonts w:cs="David" w:hint="cs"/>
          <w:sz w:val="28"/>
          <w:szCs w:val="28"/>
          <w:rtl/>
        </w:rPr>
        <w:t>הגידול ב</w:t>
      </w:r>
      <w:r w:rsidRPr="0004275A">
        <w:rPr>
          <w:rFonts w:cs="David" w:hint="cs"/>
          <w:sz w:val="28"/>
          <w:szCs w:val="28"/>
          <w:rtl/>
        </w:rPr>
        <w:t xml:space="preserve">תוצר לשעת עבודה בישראל איטי מזה שברבות מהמדינות המפותחות, ובפרט מזה שבארה"ב. הפער </w:t>
      </w:r>
      <w:r w:rsidR="00B03A4B" w:rsidRPr="0004275A">
        <w:rPr>
          <w:rFonts w:cs="David" w:hint="cs"/>
          <w:sz w:val="28"/>
          <w:szCs w:val="28"/>
          <w:rtl/>
        </w:rPr>
        <w:t>בפריון</w:t>
      </w:r>
      <w:r w:rsidR="004A0AFD" w:rsidRPr="0004275A">
        <w:rPr>
          <w:rFonts w:cs="David" w:hint="cs"/>
          <w:sz w:val="28"/>
          <w:szCs w:val="28"/>
          <w:rtl/>
        </w:rPr>
        <w:t xml:space="preserve"> העבודה </w:t>
      </w:r>
      <w:r w:rsidRPr="0004275A">
        <w:rPr>
          <w:rFonts w:cs="David" w:hint="cs"/>
          <w:sz w:val="28"/>
          <w:szCs w:val="28"/>
          <w:rtl/>
        </w:rPr>
        <w:t xml:space="preserve">ביננו לבין המדינות המפותחות לא נסגר, ונצטרך לעבוד קשה כדי לסגור אותו. </w:t>
      </w:r>
      <w:r w:rsidR="004A0AFD" w:rsidRPr="0004275A">
        <w:rPr>
          <w:rFonts w:cs="David" w:hint="cs"/>
          <w:sz w:val="28"/>
          <w:szCs w:val="28"/>
          <w:rtl/>
        </w:rPr>
        <w:t xml:space="preserve">ההסבר </w:t>
      </w:r>
      <w:r w:rsidRPr="0004275A">
        <w:rPr>
          <w:rFonts w:cs="David" w:hint="cs"/>
          <w:sz w:val="28"/>
          <w:szCs w:val="28"/>
          <w:rtl/>
        </w:rPr>
        <w:t>לפער</w:t>
      </w:r>
      <w:r w:rsidR="004A0AFD" w:rsidRPr="0004275A">
        <w:rPr>
          <w:rFonts w:cs="David" w:hint="cs"/>
          <w:sz w:val="28"/>
          <w:szCs w:val="28"/>
          <w:rtl/>
        </w:rPr>
        <w:t xml:space="preserve"> המתרחב</w:t>
      </w:r>
      <w:r w:rsidR="00802393" w:rsidRPr="0004275A">
        <w:rPr>
          <w:rFonts w:cs="David" w:hint="cs"/>
          <w:sz w:val="28"/>
          <w:szCs w:val="28"/>
          <w:rtl/>
        </w:rPr>
        <w:t xml:space="preserve"> </w:t>
      </w:r>
      <w:r w:rsidRPr="0004275A">
        <w:rPr>
          <w:rFonts w:cs="David" w:hint="cs"/>
          <w:sz w:val="28"/>
          <w:szCs w:val="28"/>
          <w:rtl/>
        </w:rPr>
        <w:t>בפריון נעו</w:t>
      </w:r>
      <w:r w:rsidR="004A0AFD" w:rsidRPr="0004275A">
        <w:rPr>
          <w:rFonts w:cs="David" w:hint="cs"/>
          <w:sz w:val="28"/>
          <w:szCs w:val="28"/>
          <w:rtl/>
        </w:rPr>
        <w:t>ץ</w:t>
      </w:r>
      <w:r w:rsidRPr="0004275A">
        <w:rPr>
          <w:rFonts w:cs="David" w:hint="cs"/>
          <w:sz w:val="28"/>
          <w:szCs w:val="28"/>
          <w:rtl/>
        </w:rPr>
        <w:t xml:space="preserve"> בשורה של גורמים</w:t>
      </w:r>
      <w:r w:rsidR="00802393" w:rsidRPr="0004275A">
        <w:rPr>
          <w:rFonts w:cs="David" w:hint="cs"/>
          <w:sz w:val="28"/>
          <w:szCs w:val="28"/>
          <w:rtl/>
        </w:rPr>
        <w:t>,</w:t>
      </w:r>
      <w:r w:rsidRPr="0004275A">
        <w:rPr>
          <w:rFonts w:cs="David" w:hint="cs"/>
          <w:sz w:val="28"/>
          <w:szCs w:val="28"/>
          <w:rtl/>
        </w:rPr>
        <w:t xml:space="preserve"> ב</w:t>
      </w:r>
      <w:r w:rsidR="00802393" w:rsidRPr="0004275A">
        <w:rPr>
          <w:rFonts w:cs="David" w:hint="cs"/>
          <w:sz w:val="28"/>
          <w:szCs w:val="28"/>
          <w:rtl/>
        </w:rPr>
        <w:t>י</w:t>
      </w:r>
      <w:r w:rsidRPr="0004275A">
        <w:rPr>
          <w:rFonts w:cs="David" w:hint="cs"/>
          <w:sz w:val="28"/>
          <w:szCs w:val="28"/>
          <w:rtl/>
        </w:rPr>
        <w:t xml:space="preserve">ניהם איכות התשתיות, </w:t>
      </w:r>
      <w:r w:rsidR="00045C20" w:rsidRPr="0004275A">
        <w:rPr>
          <w:rFonts w:cs="David" w:hint="cs"/>
          <w:sz w:val="28"/>
          <w:szCs w:val="28"/>
          <w:rtl/>
        </w:rPr>
        <w:t xml:space="preserve">שיעור ההשקעה במשק, </w:t>
      </w:r>
      <w:r w:rsidRPr="0004275A">
        <w:rPr>
          <w:rFonts w:cs="David" w:hint="cs"/>
          <w:sz w:val="28"/>
          <w:szCs w:val="28"/>
          <w:rtl/>
        </w:rPr>
        <w:t xml:space="preserve"> הסביבה </w:t>
      </w:r>
      <w:r w:rsidR="00B03A4B" w:rsidRPr="0004275A">
        <w:rPr>
          <w:rFonts w:cs="David" w:hint="cs"/>
          <w:sz w:val="28"/>
          <w:szCs w:val="28"/>
          <w:rtl/>
        </w:rPr>
        <w:t>העסקית</w:t>
      </w:r>
      <w:r w:rsidRPr="0004275A">
        <w:rPr>
          <w:rFonts w:cs="David" w:hint="cs"/>
          <w:sz w:val="28"/>
          <w:szCs w:val="28"/>
          <w:rtl/>
        </w:rPr>
        <w:t xml:space="preserve">, </w:t>
      </w:r>
      <w:r w:rsidR="00045C20" w:rsidRPr="0004275A">
        <w:rPr>
          <w:rFonts w:cs="David" w:hint="cs"/>
          <w:sz w:val="28"/>
          <w:szCs w:val="28"/>
          <w:rtl/>
        </w:rPr>
        <w:t xml:space="preserve">רמת תחרות נמוכה בחלק מהענפים, </w:t>
      </w:r>
      <w:r w:rsidRPr="0004275A">
        <w:rPr>
          <w:rFonts w:cs="David" w:hint="cs"/>
          <w:sz w:val="28"/>
          <w:szCs w:val="28"/>
          <w:rtl/>
        </w:rPr>
        <w:t>ועוד</w:t>
      </w:r>
      <w:r w:rsidR="00802393" w:rsidRPr="0004275A">
        <w:rPr>
          <w:rFonts w:cs="David" w:hint="cs"/>
          <w:sz w:val="28"/>
          <w:szCs w:val="28"/>
          <w:rtl/>
        </w:rPr>
        <w:t>.</w:t>
      </w:r>
      <w:r w:rsidRPr="0004275A">
        <w:rPr>
          <w:rFonts w:cs="David" w:hint="cs"/>
          <w:sz w:val="28"/>
          <w:szCs w:val="28"/>
          <w:rtl/>
        </w:rPr>
        <w:t xml:space="preserve"> </w:t>
      </w:r>
    </w:p>
    <w:p w:rsidR="002227CC" w:rsidRPr="0004275A" w:rsidRDefault="002227CC" w:rsidP="00AB5247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 xml:space="preserve">התופעה השנייה </w:t>
      </w:r>
      <w:r w:rsidR="00BE0BD9" w:rsidRPr="0004275A">
        <w:rPr>
          <w:rFonts w:cs="David" w:hint="cs"/>
          <w:sz w:val="28"/>
          <w:szCs w:val="28"/>
          <w:rtl/>
        </w:rPr>
        <w:t xml:space="preserve">אותה אני מבקשת להזכיר </w:t>
      </w:r>
      <w:r w:rsidRPr="0004275A">
        <w:rPr>
          <w:rFonts w:cs="David" w:hint="cs"/>
          <w:sz w:val="28"/>
          <w:szCs w:val="28"/>
          <w:rtl/>
        </w:rPr>
        <w:t>היא מגמת הגידול בשיעורי העוני של אנשים עובדים</w:t>
      </w:r>
      <w:r w:rsidR="00B316AC">
        <w:rPr>
          <w:rFonts w:cs="David" w:hint="cs"/>
          <w:sz w:val="28"/>
          <w:szCs w:val="28"/>
          <w:rtl/>
        </w:rPr>
        <w:t xml:space="preserve"> (שקף 13)</w:t>
      </w:r>
      <w:r w:rsidRPr="0004275A">
        <w:rPr>
          <w:rFonts w:cs="David" w:hint="cs"/>
          <w:sz w:val="28"/>
          <w:szCs w:val="28"/>
          <w:rtl/>
        </w:rPr>
        <w:t xml:space="preserve">. עצם הגידול בשיעור ההשתתפות ובשעורי התעסוקה הוא מבורך, </w:t>
      </w:r>
      <w:r w:rsidR="00045C20" w:rsidRPr="0004275A">
        <w:rPr>
          <w:rFonts w:cs="David" w:hint="cs"/>
          <w:sz w:val="28"/>
          <w:szCs w:val="28"/>
          <w:rtl/>
        </w:rPr>
        <w:t>ומשתקף בבלימת העלייה של ש</w:t>
      </w:r>
      <w:r w:rsidR="00BE0BD9" w:rsidRPr="0004275A">
        <w:rPr>
          <w:rFonts w:cs="David" w:hint="cs"/>
          <w:sz w:val="28"/>
          <w:szCs w:val="28"/>
          <w:rtl/>
        </w:rPr>
        <w:t>י</w:t>
      </w:r>
      <w:r w:rsidR="00045C20" w:rsidRPr="0004275A">
        <w:rPr>
          <w:rFonts w:cs="David" w:hint="cs"/>
          <w:sz w:val="28"/>
          <w:szCs w:val="28"/>
          <w:rtl/>
        </w:rPr>
        <w:t xml:space="preserve">עור העוני בכלל האוכלוסייה. </w:t>
      </w:r>
      <w:r w:rsidRPr="0004275A">
        <w:rPr>
          <w:rFonts w:cs="David" w:hint="cs"/>
          <w:sz w:val="28"/>
          <w:szCs w:val="28"/>
          <w:rtl/>
        </w:rPr>
        <w:t xml:space="preserve">אבל </w:t>
      </w:r>
      <w:r w:rsidR="00045C20" w:rsidRPr="0004275A">
        <w:rPr>
          <w:rFonts w:cs="David" w:hint="cs"/>
          <w:sz w:val="28"/>
          <w:szCs w:val="28"/>
          <w:rtl/>
        </w:rPr>
        <w:t xml:space="preserve">העוני בקרב משפחות עם מפרנס </w:t>
      </w:r>
      <w:r w:rsidR="00BE0BD9" w:rsidRPr="0004275A">
        <w:rPr>
          <w:rFonts w:cs="David" w:hint="cs"/>
          <w:sz w:val="28"/>
          <w:szCs w:val="28"/>
          <w:rtl/>
        </w:rPr>
        <w:t xml:space="preserve">אחד, </w:t>
      </w:r>
      <w:r w:rsidR="00045C20" w:rsidRPr="0004275A">
        <w:rPr>
          <w:rFonts w:cs="David" w:hint="cs"/>
          <w:sz w:val="28"/>
          <w:szCs w:val="28"/>
          <w:rtl/>
        </w:rPr>
        <w:t xml:space="preserve">ואפילו שניים, </w:t>
      </w:r>
      <w:r w:rsidRPr="0004275A">
        <w:rPr>
          <w:rFonts w:cs="David" w:hint="cs"/>
          <w:sz w:val="28"/>
          <w:szCs w:val="28"/>
          <w:rtl/>
        </w:rPr>
        <w:t>מציב בפנינו אתגר גדול של העלאת ההכשרה והמיומנויות של המצטרפים לתעסוקה. אחד הכלים שיכולים לסייע בצמצום העוני בקרב עובדים הוא הרחבת מענק ההכנסה (מס הכנסה שלילי).</w:t>
      </w:r>
    </w:p>
    <w:p w:rsidR="002227CC" w:rsidRPr="0004275A" w:rsidRDefault="002227CC" w:rsidP="00BE0BD9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 xml:space="preserve">אעבור כעת למדיניות המקרו כלכלית, </w:t>
      </w:r>
      <w:r w:rsidR="00BE0BD9" w:rsidRPr="0004275A">
        <w:rPr>
          <w:rFonts w:cs="David" w:hint="cs"/>
          <w:sz w:val="28"/>
          <w:szCs w:val="28"/>
          <w:rtl/>
        </w:rPr>
        <w:t xml:space="preserve">ואפתח בתיאור המדיניות של </w:t>
      </w:r>
      <w:r w:rsidRPr="0004275A">
        <w:rPr>
          <w:rFonts w:cs="David" w:hint="cs"/>
          <w:sz w:val="28"/>
          <w:szCs w:val="28"/>
          <w:rtl/>
        </w:rPr>
        <w:t xml:space="preserve">בנק ישראל. </w:t>
      </w:r>
    </w:p>
    <w:p w:rsidR="002227CC" w:rsidRPr="0004275A" w:rsidRDefault="002227CC" w:rsidP="00BE0BD9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>כזכור</w:t>
      </w:r>
      <w:r w:rsidR="00BE0BD9" w:rsidRPr="0004275A">
        <w:rPr>
          <w:rFonts w:cs="David" w:hint="cs"/>
          <w:sz w:val="28"/>
          <w:szCs w:val="28"/>
          <w:rtl/>
        </w:rPr>
        <w:t>,</w:t>
      </w:r>
      <w:r w:rsidRPr="0004275A">
        <w:rPr>
          <w:rFonts w:cs="David" w:hint="cs"/>
          <w:sz w:val="28"/>
          <w:szCs w:val="28"/>
          <w:rtl/>
        </w:rPr>
        <w:t xml:space="preserve"> </w:t>
      </w:r>
      <w:r w:rsidR="00BE0BD9" w:rsidRPr="0004275A">
        <w:rPr>
          <w:rFonts w:cs="David" w:hint="cs"/>
          <w:sz w:val="28"/>
          <w:szCs w:val="28"/>
          <w:rtl/>
        </w:rPr>
        <w:t>על פי</w:t>
      </w:r>
      <w:r w:rsidR="00B316AC">
        <w:rPr>
          <w:rFonts w:cs="David" w:hint="cs"/>
          <w:sz w:val="28"/>
          <w:szCs w:val="28"/>
          <w:rtl/>
        </w:rPr>
        <w:t xml:space="preserve"> </w:t>
      </w:r>
      <w:r w:rsidR="00BE0BD9" w:rsidRPr="0004275A">
        <w:rPr>
          <w:rFonts w:cs="David" w:hint="cs"/>
          <w:sz w:val="28"/>
          <w:szCs w:val="28"/>
          <w:rtl/>
        </w:rPr>
        <w:t>חוק בנק ישראל החדש פועל בנק ישראל</w:t>
      </w:r>
      <w:r w:rsidRPr="0004275A">
        <w:rPr>
          <w:rFonts w:cs="David" w:hint="cs"/>
          <w:sz w:val="28"/>
          <w:szCs w:val="28"/>
          <w:rtl/>
        </w:rPr>
        <w:t xml:space="preserve"> במטרה לשמור על יציבות מחירים כמטרה מרכזית</w:t>
      </w:r>
      <w:r w:rsidR="00B316AC">
        <w:rPr>
          <w:rFonts w:cs="David" w:hint="cs"/>
          <w:sz w:val="28"/>
          <w:szCs w:val="28"/>
          <w:rtl/>
        </w:rPr>
        <w:t xml:space="preserve"> (שקף 14)</w:t>
      </w:r>
      <w:r w:rsidRPr="0004275A">
        <w:rPr>
          <w:rFonts w:cs="David" w:hint="cs"/>
          <w:sz w:val="28"/>
          <w:szCs w:val="28"/>
          <w:rtl/>
        </w:rPr>
        <w:t>, ובכפו</w:t>
      </w:r>
      <w:r w:rsidR="00045C20" w:rsidRPr="0004275A">
        <w:rPr>
          <w:rFonts w:cs="David" w:hint="cs"/>
          <w:sz w:val="28"/>
          <w:szCs w:val="28"/>
          <w:rtl/>
        </w:rPr>
        <w:t>ף</w:t>
      </w:r>
      <w:r w:rsidRPr="0004275A">
        <w:rPr>
          <w:rFonts w:cs="David" w:hint="cs"/>
          <w:sz w:val="28"/>
          <w:szCs w:val="28"/>
          <w:rtl/>
        </w:rPr>
        <w:t xml:space="preserve"> לכך</w:t>
      </w:r>
      <w:r w:rsidR="00045C20" w:rsidRPr="0004275A">
        <w:rPr>
          <w:rFonts w:cs="David" w:hint="cs"/>
          <w:sz w:val="28"/>
          <w:szCs w:val="28"/>
          <w:rtl/>
        </w:rPr>
        <w:t>,</w:t>
      </w:r>
      <w:r w:rsidRPr="0004275A">
        <w:rPr>
          <w:rFonts w:cs="David" w:hint="cs"/>
          <w:sz w:val="28"/>
          <w:szCs w:val="28"/>
          <w:rtl/>
        </w:rPr>
        <w:t xml:space="preserve"> לתמוך במדיניות הכלכלית של הממשלה ובמיוחד בצמיחה, בתעסוקה ובצמצום פערים, וכן ביציבות המערכת הפיננסית ובפעילותה הסדירה. ב</w:t>
      </w:r>
      <w:r w:rsidR="00045C20" w:rsidRPr="0004275A">
        <w:rPr>
          <w:rFonts w:cs="David" w:hint="cs"/>
          <w:sz w:val="28"/>
          <w:szCs w:val="28"/>
          <w:rtl/>
        </w:rPr>
        <w:t>מ</w:t>
      </w:r>
      <w:r w:rsidRPr="0004275A">
        <w:rPr>
          <w:rFonts w:cs="David" w:hint="cs"/>
          <w:sz w:val="28"/>
          <w:szCs w:val="28"/>
          <w:rtl/>
        </w:rPr>
        <w:t>סגרת זו הפעי</w:t>
      </w:r>
      <w:r w:rsidR="003E4C25" w:rsidRPr="0004275A">
        <w:rPr>
          <w:rFonts w:cs="David" w:hint="cs"/>
          <w:sz w:val="28"/>
          <w:szCs w:val="28"/>
          <w:rtl/>
        </w:rPr>
        <w:t>ל</w:t>
      </w:r>
      <w:r w:rsidRPr="0004275A">
        <w:rPr>
          <w:rFonts w:cs="David" w:hint="cs"/>
          <w:sz w:val="28"/>
          <w:szCs w:val="28"/>
          <w:rtl/>
        </w:rPr>
        <w:t xml:space="preserve"> בנק ישראל בתקופה </w:t>
      </w:r>
      <w:r w:rsidR="00045C20" w:rsidRPr="0004275A">
        <w:rPr>
          <w:rFonts w:cs="David" w:hint="cs"/>
          <w:sz w:val="28"/>
          <w:szCs w:val="28"/>
          <w:rtl/>
        </w:rPr>
        <w:t>ה</w:t>
      </w:r>
      <w:r w:rsidRPr="0004275A">
        <w:rPr>
          <w:rFonts w:cs="David" w:hint="cs"/>
          <w:sz w:val="28"/>
          <w:szCs w:val="28"/>
          <w:rtl/>
        </w:rPr>
        <w:t>אחרונה את מגוון הכלים העומדים לרשותו</w:t>
      </w:r>
      <w:r w:rsidRPr="0004275A">
        <w:rPr>
          <w:rFonts w:cs="David"/>
          <w:sz w:val="28"/>
          <w:szCs w:val="28"/>
          <w:rtl/>
        </w:rPr>
        <w:t>—</w:t>
      </w:r>
      <w:r w:rsidR="006747A5" w:rsidRPr="0004275A">
        <w:rPr>
          <w:rFonts w:cs="David" w:hint="cs"/>
          <w:sz w:val="28"/>
          <w:szCs w:val="28"/>
          <w:rtl/>
        </w:rPr>
        <w:t>שינויים ב</w:t>
      </w:r>
      <w:r w:rsidRPr="0004275A">
        <w:rPr>
          <w:rFonts w:cs="David" w:hint="cs"/>
          <w:sz w:val="28"/>
          <w:szCs w:val="28"/>
          <w:rtl/>
        </w:rPr>
        <w:t>ריבית בנק ישראל, התערבות בשוק המט"ח, וכן שורה של צעדים מקרו-יציבותיים בשוק המשכנתאות.</w:t>
      </w:r>
    </w:p>
    <w:p w:rsidR="003E4C25" w:rsidRPr="0004275A" w:rsidRDefault="003E4C25" w:rsidP="00516F52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>בתחום יציבות המח</w:t>
      </w:r>
      <w:r w:rsidR="00045C20" w:rsidRPr="0004275A">
        <w:rPr>
          <w:rFonts w:cs="David" w:hint="cs"/>
          <w:sz w:val="28"/>
          <w:szCs w:val="28"/>
          <w:rtl/>
        </w:rPr>
        <w:t>י</w:t>
      </w:r>
      <w:r w:rsidRPr="0004275A">
        <w:rPr>
          <w:rFonts w:cs="David" w:hint="cs"/>
          <w:sz w:val="28"/>
          <w:szCs w:val="28"/>
          <w:rtl/>
        </w:rPr>
        <w:t xml:space="preserve">רים ראוי לציין כי זו </w:t>
      </w:r>
      <w:r w:rsidR="00B03A4B" w:rsidRPr="0004275A">
        <w:rPr>
          <w:rFonts w:cs="David" w:hint="cs"/>
          <w:sz w:val="28"/>
          <w:szCs w:val="28"/>
          <w:rtl/>
        </w:rPr>
        <w:t>נשמרה</w:t>
      </w:r>
      <w:r w:rsidRPr="0004275A">
        <w:rPr>
          <w:rFonts w:cs="David" w:hint="cs"/>
          <w:sz w:val="28"/>
          <w:szCs w:val="28"/>
          <w:rtl/>
        </w:rPr>
        <w:t xml:space="preserve"> בשנים האחרונות</w:t>
      </w:r>
      <w:r w:rsidR="00B316AC">
        <w:rPr>
          <w:rFonts w:cs="David" w:hint="cs"/>
          <w:sz w:val="28"/>
          <w:szCs w:val="28"/>
          <w:rtl/>
        </w:rPr>
        <w:t xml:space="preserve"> (שקף 16)</w:t>
      </w:r>
      <w:r w:rsidRPr="0004275A">
        <w:rPr>
          <w:rFonts w:cs="David" w:hint="cs"/>
          <w:sz w:val="28"/>
          <w:szCs w:val="28"/>
          <w:rtl/>
        </w:rPr>
        <w:t xml:space="preserve">, כאשר האינפלציה מצויה בתוך תחום היעד שקבעה הממשלה (1-3 אחוזים) וגם הציפיות </w:t>
      </w:r>
      <w:r w:rsidR="006747A5" w:rsidRPr="0004275A">
        <w:rPr>
          <w:rFonts w:cs="David" w:hint="cs"/>
          <w:sz w:val="28"/>
          <w:szCs w:val="28"/>
          <w:rtl/>
        </w:rPr>
        <w:t>העולות מ</w:t>
      </w:r>
      <w:r w:rsidRPr="0004275A">
        <w:rPr>
          <w:rFonts w:cs="David" w:hint="cs"/>
          <w:sz w:val="28"/>
          <w:szCs w:val="28"/>
          <w:rtl/>
        </w:rPr>
        <w:t>השווקים לשנים הבאות הן שהאינפלציה ת</w:t>
      </w:r>
      <w:r w:rsidR="00045C20" w:rsidRPr="0004275A">
        <w:rPr>
          <w:rFonts w:cs="David" w:hint="cs"/>
          <w:sz w:val="28"/>
          <w:szCs w:val="28"/>
          <w:rtl/>
        </w:rPr>
        <w:t>י</w:t>
      </w:r>
      <w:r w:rsidRPr="0004275A">
        <w:rPr>
          <w:rFonts w:cs="David" w:hint="cs"/>
          <w:sz w:val="28"/>
          <w:szCs w:val="28"/>
          <w:rtl/>
        </w:rPr>
        <w:t xml:space="preserve">שאר בתחום היעד. </w:t>
      </w:r>
      <w:r w:rsidR="00045C20" w:rsidRPr="0004275A">
        <w:rPr>
          <w:rFonts w:cs="David" w:hint="cs"/>
          <w:sz w:val="28"/>
          <w:szCs w:val="28"/>
          <w:rtl/>
        </w:rPr>
        <w:t xml:space="preserve">הציפיות </w:t>
      </w:r>
      <w:r w:rsidR="00B03A4B" w:rsidRPr="0004275A">
        <w:rPr>
          <w:rFonts w:cs="David" w:hint="cs"/>
          <w:sz w:val="28"/>
          <w:szCs w:val="28"/>
          <w:rtl/>
        </w:rPr>
        <w:t>לאינפלציה</w:t>
      </w:r>
      <w:r w:rsidR="00045C20" w:rsidRPr="0004275A">
        <w:rPr>
          <w:rFonts w:cs="David" w:hint="cs"/>
          <w:sz w:val="28"/>
          <w:szCs w:val="28"/>
          <w:rtl/>
        </w:rPr>
        <w:t xml:space="preserve"> לטווח ארוך מצביעות על ה</w:t>
      </w:r>
      <w:r w:rsidRPr="0004275A">
        <w:rPr>
          <w:rFonts w:cs="David" w:hint="cs"/>
          <w:sz w:val="28"/>
          <w:szCs w:val="28"/>
          <w:rtl/>
        </w:rPr>
        <w:t>אמינות של המדיניות</w:t>
      </w:r>
      <w:r w:rsidR="00516F52" w:rsidRPr="0004275A">
        <w:rPr>
          <w:rFonts w:cs="David" w:hint="cs"/>
          <w:sz w:val="28"/>
          <w:szCs w:val="28"/>
          <w:rtl/>
        </w:rPr>
        <w:t xml:space="preserve"> המוניטרית</w:t>
      </w:r>
      <w:r w:rsidR="00045C20" w:rsidRPr="0004275A">
        <w:rPr>
          <w:rFonts w:cs="David" w:hint="cs"/>
          <w:sz w:val="28"/>
          <w:szCs w:val="28"/>
          <w:rtl/>
        </w:rPr>
        <w:t xml:space="preserve">, </w:t>
      </w:r>
      <w:r w:rsidR="00516F52" w:rsidRPr="0004275A">
        <w:rPr>
          <w:rFonts w:cs="David" w:hint="cs"/>
          <w:sz w:val="28"/>
          <w:szCs w:val="28"/>
          <w:rtl/>
        </w:rPr>
        <w:t>ולכך יש חשיבות, היות ו</w:t>
      </w:r>
      <w:r w:rsidRPr="0004275A">
        <w:rPr>
          <w:rFonts w:cs="David" w:hint="cs"/>
          <w:sz w:val="28"/>
          <w:szCs w:val="28"/>
          <w:rtl/>
        </w:rPr>
        <w:t>השחקנים בשוק פועלים על סמך הציפיות שלהם (למשל בהסכמי השכר, ובמגוון חוזים לטווח ארוך).</w:t>
      </w:r>
    </w:p>
    <w:p w:rsidR="002227CC" w:rsidRDefault="002227CC" w:rsidP="00516F52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 xml:space="preserve"> </w:t>
      </w:r>
      <w:r w:rsidR="003E4C25" w:rsidRPr="0004275A">
        <w:rPr>
          <w:rFonts w:cs="David" w:hint="cs"/>
          <w:sz w:val="28"/>
          <w:szCs w:val="28"/>
          <w:rtl/>
        </w:rPr>
        <w:t>ביחס לשער החליפין</w:t>
      </w:r>
      <w:r w:rsidR="00B316AC">
        <w:rPr>
          <w:rFonts w:cs="David" w:hint="cs"/>
          <w:sz w:val="28"/>
          <w:szCs w:val="28"/>
          <w:rtl/>
        </w:rPr>
        <w:t xml:space="preserve"> (שקף 17)</w:t>
      </w:r>
      <w:r w:rsidR="003E4C25" w:rsidRPr="0004275A">
        <w:rPr>
          <w:rFonts w:cs="David" w:hint="cs"/>
          <w:sz w:val="28"/>
          <w:szCs w:val="28"/>
          <w:rtl/>
        </w:rPr>
        <w:t>, אנחנו מתמקדים בשער החליפין האפקטיבי של השקל מול סל המטבעות המ</w:t>
      </w:r>
      <w:r w:rsidR="00F10464" w:rsidRPr="0004275A">
        <w:rPr>
          <w:rFonts w:cs="David" w:hint="cs"/>
          <w:sz w:val="28"/>
          <w:szCs w:val="28"/>
          <w:rtl/>
        </w:rPr>
        <w:t>ייצ</w:t>
      </w:r>
      <w:r w:rsidR="003E4C25" w:rsidRPr="0004275A">
        <w:rPr>
          <w:rFonts w:cs="David" w:hint="cs"/>
          <w:sz w:val="28"/>
          <w:szCs w:val="28"/>
          <w:rtl/>
        </w:rPr>
        <w:t xml:space="preserve">ג </w:t>
      </w:r>
      <w:r w:rsidR="00F10464" w:rsidRPr="0004275A">
        <w:rPr>
          <w:rFonts w:cs="David" w:hint="cs"/>
          <w:sz w:val="28"/>
          <w:szCs w:val="28"/>
          <w:rtl/>
        </w:rPr>
        <w:t>את שותפות הסחר של ישראל. כפי שניתן לראות</w:t>
      </w:r>
      <w:r w:rsidR="00516F52" w:rsidRPr="0004275A">
        <w:rPr>
          <w:rFonts w:cs="David" w:hint="cs"/>
          <w:sz w:val="28"/>
          <w:szCs w:val="28"/>
          <w:rtl/>
        </w:rPr>
        <w:t>,</w:t>
      </w:r>
      <w:r w:rsidR="00F10464" w:rsidRPr="0004275A">
        <w:rPr>
          <w:rFonts w:cs="David" w:hint="cs"/>
          <w:sz w:val="28"/>
          <w:szCs w:val="28"/>
          <w:rtl/>
        </w:rPr>
        <w:t xml:space="preserve"> לאחר שהשער פוחת בקיץ 2012 כתוצאה מעלייה בפרמיית הסיכון של ישראל בשל המתח </w:t>
      </w:r>
      <w:r w:rsidR="00B03A4B" w:rsidRPr="0004275A">
        <w:rPr>
          <w:rFonts w:cs="David" w:hint="cs"/>
          <w:sz w:val="28"/>
          <w:szCs w:val="28"/>
          <w:rtl/>
        </w:rPr>
        <w:t>הגיאופוליטי</w:t>
      </w:r>
      <w:r w:rsidR="00F10464" w:rsidRPr="0004275A">
        <w:rPr>
          <w:rFonts w:cs="David" w:hint="cs"/>
          <w:sz w:val="28"/>
          <w:szCs w:val="28"/>
          <w:rtl/>
        </w:rPr>
        <w:t xml:space="preserve"> באזורנו סביב סוגיית אירן, חלה ירידה במתח לאחר נאום רוה"מ באו"ם, ולכך הצטרפו הציפיות לשיפור ניכר בחשבון השוטף של מאזן התשלומים כתוצאה מההתחלה של הפקת הגז </w:t>
      </w:r>
      <w:r w:rsidR="00B03A4B" w:rsidRPr="0004275A">
        <w:rPr>
          <w:rFonts w:cs="David" w:hint="cs"/>
          <w:sz w:val="28"/>
          <w:szCs w:val="28"/>
          <w:rtl/>
        </w:rPr>
        <w:t>הטבעי</w:t>
      </w:r>
      <w:r w:rsidR="00516F52" w:rsidRPr="0004275A">
        <w:rPr>
          <w:rFonts w:cs="David" w:hint="cs"/>
          <w:sz w:val="28"/>
          <w:szCs w:val="28"/>
          <w:rtl/>
        </w:rPr>
        <w:t>,</w:t>
      </w:r>
      <w:r w:rsidR="00F10464" w:rsidRPr="0004275A">
        <w:rPr>
          <w:rFonts w:cs="David" w:hint="cs"/>
          <w:sz w:val="28"/>
          <w:szCs w:val="28"/>
          <w:rtl/>
        </w:rPr>
        <w:t xml:space="preserve"> </w:t>
      </w:r>
      <w:r w:rsidR="00516F52" w:rsidRPr="0004275A">
        <w:rPr>
          <w:rFonts w:cs="David" w:hint="cs"/>
          <w:sz w:val="28"/>
          <w:szCs w:val="28"/>
          <w:rtl/>
        </w:rPr>
        <w:t>אשר</w:t>
      </w:r>
      <w:r w:rsidR="00F10464" w:rsidRPr="0004275A">
        <w:rPr>
          <w:rFonts w:cs="David" w:hint="cs"/>
          <w:sz w:val="28"/>
          <w:szCs w:val="28"/>
          <w:rtl/>
        </w:rPr>
        <w:t xml:space="preserve"> השתקפו בייסוף מהיר של השקל. </w:t>
      </w:r>
      <w:r w:rsidR="00395856" w:rsidRPr="0004275A">
        <w:rPr>
          <w:rFonts w:cs="David" w:hint="cs"/>
          <w:sz w:val="28"/>
          <w:szCs w:val="28"/>
          <w:rtl/>
        </w:rPr>
        <w:t xml:space="preserve">לאורך זמן, </w:t>
      </w:r>
      <w:r w:rsidR="00F10464" w:rsidRPr="0004275A">
        <w:rPr>
          <w:rFonts w:cs="David" w:hint="cs"/>
          <w:sz w:val="28"/>
          <w:szCs w:val="28"/>
          <w:rtl/>
        </w:rPr>
        <w:t>הפחתת ריבית בנק ישראל  יחד עם הכרזה על רכישות מט"ח לקיזוז השפעת הגז על החשבון השוטף מיתנה מגמות אלה.</w:t>
      </w:r>
    </w:p>
    <w:p w:rsidR="00B03A4B" w:rsidRDefault="00B03A4B">
      <w:pPr>
        <w:bidi w:val="0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br w:type="page"/>
      </w:r>
    </w:p>
    <w:p w:rsidR="00B03A4B" w:rsidRPr="0004275A" w:rsidRDefault="00B03A4B" w:rsidP="00516F52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F10464" w:rsidRPr="0004275A" w:rsidRDefault="00F10464" w:rsidP="00516F52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B316AC">
        <w:rPr>
          <w:rFonts w:cs="David" w:hint="cs"/>
          <w:sz w:val="28"/>
          <w:szCs w:val="28"/>
          <w:rtl/>
        </w:rPr>
        <w:t xml:space="preserve">ביחס לשוק הדיור </w:t>
      </w:r>
      <w:r w:rsidR="00B316AC">
        <w:rPr>
          <w:rFonts w:cs="David" w:hint="cs"/>
          <w:sz w:val="28"/>
          <w:szCs w:val="28"/>
          <w:rtl/>
        </w:rPr>
        <w:t xml:space="preserve">(שקף 18) </w:t>
      </w:r>
      <w:r w:rsidRPr="00B316AC">
        <w:rPr>
          <w:rFonts w:cs="David" w:hint="cs"/>
          <w:sz w:val="28"/>
          <w:szCs w:val="28"/>
          <w:rtl/>
        </w:rPr>
        <w:t xml:space="preserve">אנו עדים מאז תחילת </w:t>
      </w:r>
      <w:r w:rsidR="00C36836">
        <w:rPr>
          <w:rFonts w:cs="David" w:hint="cs"/>
          <w:sz w:val="28"/>
          <w:szCs w:val="28"/>
          <w:rtl/>
        </w:rPr>
        <w:t>2007 לעלייה</w:t>
      </w:r>
      <w:bookmarkStart w:id="0" w:name="_GoBack"/>
      <w:bookmarkEnd w:id="0"/>
      <w:r w:rsidRPr="00B316AC">
        <w:rPr>
          <w:rFonts w:cs="David" w:hint="cs"/>
          <w:sz w:val="28"/>
          <w:szCs w:val="28"/>
          <w:rtl/>
        </w:rPr>
        <w:t xml:space="preserve"> מהירה של מחירי הדירות</w:t>
      </w:r>
      <w:r w:rsidR="00516F52" w:rsidRPr="00B316AC">
        <w:rPr>
          <w:rFonts w:cs="David" w:hint="cs"/>
          <w:sz w:val="28"/>
          <w:szCs w:val="28"/>
          <w:rtl/>
        </w:rPr>
        <w:t xml:space="preserve">. עלייה זו נבעה ממספר גורמים: </w:t>
      </w:r>
      <w:r w:rsidR="004A0AFD" w:rsidRPr="00B316AC">
        <w:rPr>
          <w:rFonts w:cs="David" w:hint="cs"/>
          <w:sz w:val="28"/>
          <w:szCs w:val="28"/>
          <w:rtl/>
        </w:rPr>
        <w:t>מחסור בדירות למגורים</w:t>
      </w:r>
      <w:r w:rsidR="00516F52" w:rsidRPr="00B316AC">
        <w:rPr>
          <w:rFonts w:cs="David" w:hint="cs"/>
          <w:sz w:val="28"/>
          <w:szCs w:val="28"/>
          <w:rtl/>
        </w:rPr>
        <w:t xml:space="preserve">, </w:t>
      </w:r>
      <w:r w:rsidR="004A0AFD" w:rsidRPr="00B316AC">
        <w:rPr>
          <w:rFonts w:cs="David" w:hint="cs"/>
          <w:sz w:val="28"/>
          <w:szCs w:val="28"/>
          <w:rtl/>
        </w:rPr>
        <w:t xml:space="preserve">הירידה באטרקטיביות של אפיקי השקעה  </w:t>
      </w:r>
      <w:r w:rsidR="00516F52" w:rsidRPr="00B316AC">
        <w:rPr>
          <w:rFonts w:cs="David" w:hint="cs"/>
          <w:sz w:val="28"/>
          <w:szCs w:val="28"/>
          <w:rtl/>
        </w:rPr>
        <w:t>אלטרנטיב</w:t>
      </w:r>
      <w:r w:rsidR="004A0AFD" w:rsidRPr="00B316AC">
        <w:rPr>
          <w:rFonts w:cs="David" w:hint="cs"/>
          <w:sz w:val="28"/>
          <w:szCs w:val="28"/>
          <w:rtl/>
        </w:rPr>
        <w:t>יים</w:t>
      </w:r>
      <w:r w:rsidR="003D5CA0" w:rsidRPr="00B316AC">
        <w:rPr>
          <w:rFonts w:cs="David" w:hint="cs"/>
          <w:sz w:val="28"/>
          <w:szCs w:val="28"/>
          <w:rtl/>
        </w:rPr>
        <w:t xml:space="preserve"> החל מסוף 2008,</w:t>
      </w:r>
      <w:r w:rsidRPr="00B316AC">
        <w:rPr>
          <w:rFonts w:cs="David" w:hint="cs"/>
          <w:sz w:val="28"/>
          <w:szCs w:val="28"/>
          <w:rtl/>
        </w:rPr>
        <w:t xml:space="preserve"> הריביות הנמוכות על המשכנתאות (המושפעות מהריביות הארוכות ומריבית בנק ישראל)</w:t>
      </w:r>
      <w:r w:rsidR="00516F52" w:rsidRPr="00B316AC">
        <w:rPr>
          <w:rFonts w:cs="David" w:hint="cs"/>
          <w:sz w:val="28"/>
          <w:szCs w:val="28"/>
          <w:rtl/>
        </w:rPr>
        <w:t xml:space="preserve">, ובמיוחד </w:t>
      </w:r>
      <w:r w:rsidRPr="00B316AC">
        <w:rPr>
          <w:rFonts w:cs="David" w:hint="cs"/>
          <w:sz w:val="28"/>
          <w:szCs w:val="28"/>
          <w:rtl/>
        </w:rPr>
        <w:t xml:space="preserve">התגובה האיטית של היצע הדירות </w:t>
      </w:r>
      <w:r w:rsidR="004A0AFD" w:rsidRPr="00B316AC">
        <w:rPr>
          <w:rFonts w:cs="David" w:hint="cs"/>
          <w:sz w:val="28"/>
          <w:szCs w:val="28"/>
          <w:rtl/>
        </w:rPr>
        <w:t>לביקושים</w:t>
      </w:r>
      <w:r w:rsidR="00516F52" w:rsidRPr="00B316AC">
        <w:rPr>
          <w:rFonts w:cs="David" w:hint="cs"/>
          <w:sz w:val="28"/>
          <w:szCs w:val="28"/>
          <w:rtl/>
        </w:rPr>
        <w:t xml:space="preserve">, </w:t>
      </w:r>
      <w:r w:rsidRPr="00B316AC">
        <w:rPr>
          <w:rFonts w:cs="David" w:hint="cs"/>
          <w:sz w:val="28"/>
          <w:szCs w:val="28"/>
          <w:rtl/>
        </w:rPr>
        <w:t xml:space="preserve">בשל איטיות </w:t>
      </w:r>
      <w:r w:rsidR="002815D0" w:rsidRPr="00B316AC">
        <w:rPr>
          <w:rFonts w:cs="David" w:hint="cs"/>
          <w:sz w:val="28"/>
          <w:szCs w:val="28"/>
          <w:rtl/>
        </w:rPr>
        <w:t xml:space="preserve">של </w:t>
      </w:r>
      <w:r w:rsidRPr="00B316AC">
        <w:rPr>
          <w:rFonts w:cs="David" w:hint="cs"/>
          <w:sz w:val="28"/>
          <w:szCs w:val="28"/>
          <w:rtl/>
        </w:rPr>
        <w:t xml:space="preserve">שווק קרקעות </w:t>
      </w:r>
      <w:r w:rsidR="004A0AFD" w:rsidRPr="00B316AC">
        <w:rPr>
          <w:rFonts w:cs="David" w:hint="cs"/>
          <w:sz w:val="28"/>
          <w:szCs w:val="28"/>
          <w:rtl/>
        </w:rPr>
        <w:t>ומתן היתרים לבניה</w:t>
      </w:r>
      <w:r w:rsidR="00516F52" w:rsidRPr="00B316AC">
        <w:rPr>
          <w:rFonts w:cs="David" w:hint="cs"/>
          <w:sz w:val="28"/>
          <w:szCs w:val="28"/>
          <w:rtl/>
        </w:rPr>
        <w:t xml:space="preserve">, </w:t>
      </w:r>
      <w:r w:rsidR="004A0AFD" w:rsidRPr="00B316AC">
        <w:rPr>
          <w:rFonts w:cs="David" w:hint="cs"/>
          <w:sz w:val="28"/>
          <w:szCs w:val="28"/>
          <w:rtl/>
        </w:rPr>
        <w:t xml:space="preserve"> </w:t>
      </w:r>
      <w:r w:rsidR="00516F52" w:rsidRPr="00B316AC">
        <w:rPr>
          <w:rFonts w:cs="David" w:hint="cs"/>
          <w:sz w:val="28"/>
          <w:szCs w:val="28"/>
          <w:rtl/>
        </w:rPr>
        <w:t xml:space="preserve">בין היתר </w:t>
      </w:r>
      <w:r w:rsidRPr="00B316AC">
        <w:rPr>
          <w:rFonts w:cs="David" w:hint="cs"/>
          <w:sz w:val="28"/>
          <w:szCs w:val="28"/>
          <w:rtl/>
        </w:rPr>
        <w:t>בשל מלאי תכנוני לא מספיק.</w:t>
      </w:r>
    </w:p>
    <w:p w:rsidR="00395856" w:rsidRPr="0004275A" w:rsidRDefault="00F10464" w:rsidP="00561FDE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>על רקע ההתפתחויות האלה</w:t>
      </w:r>
      <w:r w:rsidR="00503CD9" w:rsidRPr="0004275A">
        <w:rPr>
          <w:rFonts w:cs="David" w:hint="cs"/>
          <w:sz w:val="28"/>
          <w:szCs w:val="28"/>
          <w:rtl/>
        </w:rPr>
        <w:t>,</w:t>
      </w:r>
      <w:r w:rsidR="002815D0" w:rsidRPr="0004275A">
        <w:rPr>
          <w:rFonts w:cs="David" w:hint="cs"/>
          <w:sz w:val="28"/>
          <w:szCs w:val="28"/>
          <w:rtl/>
        </w:rPr>
        <w:t xml:space="preserve"> קרי</w:t>
      </w:r>
      <w:r w:rsidR="001E68EB" w:rsidRPr="0004275A">
        <w:rPr>
          <w:rFonts w:cs="David" w:hint="cs"/>
          <w:sz w:val="28"/>
          <w:szCs w:val="28"/>
          <w:rtl/>
        </w:rPr>
        <w:t>: (1)</w:t>
      </w:r>
      <w:r w:rsidR="00503CD9" w:rsidRPr="0004275A">
        <w:rPr>
          <w:rFonts w:cs="David" w:hint="cs"/>
          <w:sz w:val="28"/>
          <w:szCs w:val="28"/>
          <w:rtl/>
        </w:rPr>
        <w:t xml:space="preserve"> </w:t>
      </w:r>
      <w:r w:rsidRPr="0004275A">
        <w:rPr>
          <w:rFonts w:cs="David" w:hint="cs"/>
          <w:sz w:val="28"/>
          <w:szCs w:val="28"/>
          <w:rtl/>
        </w:rPr>
        <w:t xml:space="preserve">האינפלציה </w:t>
      </w:r>
      <w:r w:rsidR="00503CD9" w:rsidRPr="0004275A">
        <w:rPr>
          <w:rFonts w:cs="David" w:hint="cs"/>
          <w:sz w:val="28"/>
          <w:szCs w:val="28"/>
          <w:rtl/>
        </w:rPr>
        <w:t>המצו</w:t>
      </w:r>
      <w:r w:rsidR="001E68EB" w:rsidRPr="0004275A">
        <w:rPr>
          <w:rFonts w:cs="David" w:hint="cs"/>
          <w:sz w:val="28"/>
          <w:szCs w:val="28"/>
          <w:rtl/>
        </w:rPr>
        <w:t xml:space="preserve">יה </w:t>
      </w:r>
      <w:r w:rsidRPr="0004275A">
        <w:rPr>
          <w:rFonts w:cs="David" w:hint="cs"/>
          <w:sz w:val="28"/>
          <w:szCs w:val="28"/>
          <w:rtl/>
        </w:rPr>
        <w:t xml:space="preserve">בתוך תחום היעד, </w:t>
      </w:r>
      <w:r w:rsidR="001E68EB" w:rsidRPr="0004275A">
        <w:rPr>
          <w:rFonts w:cs="David" w:hint="cs"/>
          <w:sz w:val="28"/>
          <w:szCs w:val="28"/>
          <w:rtl/>
        </w:rPr>
        <w:t>(2)</w:t>
      </w:r>
      <w:r w:rsidR="00503CD9" w:rsidRPr="0004275A">
        <w:rPr>
          <w:rFonts w:cs="David" w:hint="cs"/>
          <w:sz w:val="28"/>
          <w:szCs w:val="28"/>
          <w:rtl/>
        </w:rPr>
        <w:t xml:space="preserve"> </w:t>
      </w:r>
      <w:r w:rsidRPr="0004275A">
        <w:rPr>
          <w:rFonts w:cs="David" w:hint="cs"/>
          <w:sz w:val="28"/>
          <w:szCs w:val="28"/>
          <w:rtl/>
        </w:rPr>
        <w:t xml:space="preserve">הצמיחה המתונה וחולשת היצוא, </w:t>
      </w:r>
      <w:r w:rsidR="001E68EB" w:rsidRPr="0004275A">
        <w:rPr>
          <w:rFonts w:cs="David" w:hint="cs"/>
          <w:sz w:val="28"/>
          <w:szCs w:val="28"/>
          <w:rtl/>
        </w:rPr>
        <w:t>(3)</w:t>
      </w:r>
      <w:r w:rsidR="00503CD9" w:rsidRPr="0004275A">
        <w:rPr>
          <w:rFonts w:cs="David" w:hint="cs"/>
          <w:sz w:val="28"/>
          <w:szCs w:val="28"/>
          <w:rtl/>
        </w:rPr>
        <w:t xml:space="preserve"> </w:t>
      </w:r>
      <w:r w:rsidRPr="0004275A">
        <w:rPr>
          <w:rFonts w:cs="David" w:hint="cs"/>
          <w:sz w:val="28"/>
          <w:szCs w:val="28"/>
          <w:rtl/>
        </w:rPr>
        <w:t>הלחצים לייסוף</w:t>
      </w:r>
      <w:r w:rsidR="00503CD9" w:rsidRPr="0004275A">
        <w:rPr>
          <w:rFonts w:cs="David" w:hint="cs"/>
          <w:sz w:val="28"/>
          <w:szCs w:val="28"/>
          <w:rtl/>
        </w:rPr>
        <w:t>,</w:t>
      </w:r>
      <w:r w:rsidR="001E68EB" w:rsidRPr="0004275A">
        <w:rPr>
          <w:rFonts w:cs="David" w:hint="cs"/>
          <w:sz w:val="28"/>
          <w:szCs w:val="28"/>
          <w:rtl/>
        </w:rPr>
        <w:t xml:space="preserve"> בין היתר על רקע ריבית אפסית והרחבה כמותית של הבנקים המרכזיים החשובים</w:t>
      </w:r>
      <w:r w:rsidR="002815D0" w:rsidRPr="0004275A">
        <w:rPr>
          <w:rFonts w:cs="David" w:hint="cs"/>
          <w:sz w:val="28"/>
          <w:szCs w:val="28"/>
          <w:rtl/>
        </w:rPr>
        <w:t>, ו</w:t>
      </w:r>
      <w:r w:rsidR="001E68EB" w:rsidRPr="0004275A">
        <w:rPr>
          <w:rFonts w:cs="David" w:hint="cs"/>
          <w:sz w:val="28"/>
          <w:szCs w:val="28"/>
          <w:rtl/>
        </w:rPr>
        <w:t>גם על רקע הפקת הגז</w:t>
      </w:r>
      <w:r w:rsidR="00B316AC">
        <w:rPr>
          <w:rFonts w:cs="David" w:hint="cs"/>
          <w:sz w:val="28"/>
          <w:szCs w:val="28"/>
          <w:rtl/>
        </w:rPr>
        <w:t xml:space="preserve"> הט</w:t>
      </w:r>
      <w:r w:rsidR="001E68EB" w:rsidRPr="0004275A">
        <w:rPr>
          <w:rFonts w:cs="David" w:hint="cs"/>
          <w:sz w:val="28"/>
          <w:szCs w:val="28"/>
          <w:rtl/>
        </w:rPr>
        <w:t>בעי, ו</w:t>
      </w:r>
      <w:r w:rsidR="00395856" w:rsidRPr="0004275A">
        <w:rPr>
          <w:rFonts w:cs="David" w:hint="cs"/>
          <w:sz w:val="28"/>
          <w:szCs w:val="28"/>
          <w:rtl/>
        </w:rPr>
        <w:t>-</w:t>
      </w:r>
      <w:r w:rsidR="001E68EB" w:rsidRPr="0004275A">
        <w:rPr>
          <w:rFonts w:cs="David" w:hint="cs"/>
          <w:sz w:val="28"/>
          <w:szCs w:val="28"/>
          <w:rtl/>
        </w:rPr>
        <w:t>(4)</w:t>
      </w:r>
      <w:r w:rsidR="00503CD9" w:rsidRPr="0004275A">
        <w:rPr>
          <w:rFonts w:cs="David" w:hint="cs"/>
          <w:sz w:val="28"/>
          <w:szCs w:val="28"/>
          <w:rtl/>
        </w:rPr>
        <w:t xml:space="preserve"> </w:t>
      </w:r>
      <w:r w:rsidR="001E68EB" w:rsidRPr="0004275A">
        <w:rPr>
          <w:rFonts w:cs="David" w:hint="cs"/>
          <w:sz w:val="28"/>
          <w:szCs w:val="28"/>
          <w:rtl/>
        </w:rPr>
        <w:t>הלחצים בשוק הדיור</w:t>
      </w:r>
      <w:r w:rsidR="00503CD9" w:rsidRPr="0004275A">
        <w:rPr>
          <w:rFonts w:cs="David" w:hint="cs"/>
          <w:sz w:val="28"/>
          <w:szCs w:val="28"/>
          <w:rtl/>
        </w:rPr>
        <w:t>,</w:t>
      </w:r>
      <w:r w:rsidR="00395856" w:rsidRPr="0004275A">
        <w:rPr>
          <w:rFonts w:cs="David" w:hint="cs"/>
          <w:sz w:val="28"/>
          <w:szCs w:val="28"/>
          <w:rtl/>
        </w:rPr>
        <w:t xml:space="preserve"> </w:t>
      </w:r>
      <w:r w:rsidR="001E68EB" w:rsidRPr="0004275A">
        <w:rPr>
          <w:rFonts w:cs="David" w:hint="cs"/>
          <w:sz w:val="28"/>
          <w:szCs w:val="28"/>
          <w:rtl/>
        </w:rPr>
        <w:t xml:space="preserve">נקט בנק ישראל במדיניות תוך שימוש במגוון הכלים: ריבית נמוכה </w:t>
      </w:r>
      <w:r w:rsidR="00B316AC">
        <w:rPr>
          <w:rFonts w:cs="David" w:hint="cs"/>
          <w:sz w:val="28"/>
          <w:szCs w:val="28"/>
          <w:rtl/>
        </w:rPr>
        <w:t xml:space="preserve">(שקף 19) </w:t>
      </w:r>
      <w:r w:rsidR="001E68EB" w:rsidRPr="0004275A">
        <w:rPr>
          <w:rFonts w:cs="David" w:hint="cs"/>
          <w:sz w:val="28"/>
          <w:szCs w:val="28"/>
          <w:rtl/>
        </w:rPr>
        <w:t xml:space="preserve">שנועדה לתמוך בצמיחה ולמתן את לחצי הייסוף; שורה של צעדים להגבלת הסיכונים הגלומים במשכנתאות </w:t>
      </w:r>
      <w:r w:rsidR="00B316AC">
        <w:rPr>
          <w:rFonts w:cs="David" w:hint="cs"/>
          <w:sz w:val="28"/>
          <w:szCs w:val="28"/>
          <w:rtl/>
        </w:rPr>
        <w:t>(שקף 20)</w:t>
      </w:r>
      <w:r w:rsidR="001E68EB" w:rsidRPr="0004275A">
        <w:rPr>
          <w:rFonts w:cs="David" w:hint="cs"/>
          <w:sz w:val="28"/>
          <w:szCs w:val="28"/>
          <w:rtl/>
        </w:rPr>
        <w:t xml:space="preserve"> ובראשם הגבלת הח</w:t>
      </w:r>
      <w:r w:rsidR="00503CD9" w:rsidRPr="0004275A">
        <w:rPr>
          <w:rFonts w:cs="David" w:hint="cs"/>
          <w:sz w:val="28"/>
          <w:szCs w:val="28"/>
          <w:rtl/>
        </w:rPr>
        <w:t xml:space="preserve">לק במשכנתא בריבית משתנה, הגבלת יחס המימון במשכנתאות, </w:t>
      </w:r>
      <w:r w:rsidR="001E68EB" w:rsidRPr="0004275A">
        <w:rPr>
          <w:rFonts w:cs="David" w:hint="cs"/>
          <w:sz w:val="28"/>
          <w:szCs w:val="28"/>
          <w:rtl/>
        </w:rPr>
        <w:t xml:space="preserve">הגבלת שיעור ההחזר מההכנסה, </w:t>
      </w:r>
      <w:r w:rsidR="00E54D6B" w:rsidRPr="0004275A">
        <w:rPr>
          <w:rFonts w:cs="David" w:hint="cs"/>
          <w:sz w:val="28"/>
          <w:szCs w:val="28"/>
          <w:rtl/>
        </w:rPr>
        <w:t>והגדלת כריות ההון לספיגת הפסדים. כמו כן, התערב בנק ישראל באופן ישיר</w:t>
      </w:r>
      <w:r w:rsidR="002815D0" w:rsidRPr="0004275A">
        <w:rPr>
          <w:rFonts w:cs="David" w:hint="cs"/>
          <w:sz w:val="28"/>
          <w:szCs w:val="28"/>
          <w:rtl/>
        </w:rPr>
        <w:t xml:space="preserve"> </w:t>
      </w:r>
      <w:r w:rsidR="001E68EB" w:rsidRPr="0004275A">
        <w:rPr>
          <w:rFonts w:cs="David" w:hint="cs"/>
          <w:sz w:val="28"/>
          <w:szCs w:val="28"/>
          <w:rtl/>
        </w:rPr>
        <w:t>בשוק המט"ח</w:t>
      </w:r>
      <w:r w:rsidR="00B316AC">
        <w:rPr>
          <w:rFonts w:cs="David" w:hint="cs"/>
          <w:sz w:val="28"/>
          <w:szCs w:val="28"/>
          <w:rtl/>
        </w:rPr>
        <w:t xml:space="preserve"> (שקף 21)</w:t>
      </w:r>
      <w:r w:rsidR="002815D0" w:rsidRPr="00B316AC">
        <w:rPr>
          <w:rFonts w:cs="David" w:hint="cs"/>
          <w:sz w:val="28"/>
          <w:szCs w:val="28"/>
          <w:rtl/>
        </w:rPr>
        <w:t>.</w:t>
      </w:r>
      <w:r w:rsidR="001E68EB" w:rsidRPr="00B316AC">
        <w:rPr>
          <w:rFonts w:cs="David" w:hint="cs"/>
          <w:sz w:val="28"/>
          <w:szCs w:val="28"/>
          <w:rtl/>
        </w:rPr>
        <w:t xml:space="preserve"> </w:t>
      </w:r>
      <w:r w:rsidR="00E54D6B" w:rsidRPr="00B316AC">
        <w:rPr>
          <w:rFonts w:cs="David" w:hint="cs"/>
          <w:sz w:val="28"/>
          <w:szCs w:val="28"/>
          <w:rtl/>
        </w:rPr>
        <w:t xml:space="preserve"> התערבות </w:t>
      </w:r>
      <w:r w:rsidR="002815D0" w:rsidRPr="00B316AC">
        <w:rPr>
          <w:rFonts w:cs="David" w:hint="cs"/>
          <w:sz w:val="28"/>
          <w:szCs w:val="28"/>
          <w:rtl/>
        </w:rPr>
        <w:t xml:space="preserve">זו נועדה </w:t>
      </w:r>
      <w:r w:rsidR="001E68EB" w:rsidRPr="00B316AC">
        <w:rPr>
          <w:rFonts w:cs="David" w:hint="cs"/>
          <w:sz w:val="28"/>
          <w:szCs w:val="28"/>
          <w:rtl/>
        </w:rPr>
        <w:t>הן כדי למתן תנודות חריפות בשער החליפין שאינן ת</w:t>
      </w:r>
      <w:r w:rsidR="002F1DDB" w:rsidRPr="00B316AC">
        <w:rPr>
          <w:rFonts w:cs="David" w:hint="cs"/>
          <w:sz w:val="28"/>
          <w:szCs w:val="28"/>
          <w:rtl/>
        </w:rPr>
        <w:t>ו</w:t>
      </w:r>
      <w:r w:rsidR="001E68EB" w:rsidRPr="00B316AC">
        <w:rPr>
          <w:rFonts w:cs="David" w:hint="cs"/>
          <w:sz w:val="28"/>
          <w:szCs w:val="28"/>
          <w:rtl/>
        </w:rPr>
        <w:t>אמות את התנאים הכלכליים הבסיסיים, והן כדי לקזז את תגובת היתר של שער החליפין להשפעה של הפקת הגז.</w:t>
      </w:r>
      <w:r w:rsidR="00395856" w:rsidRPr="00B316AC">
        <w:rPr>
          <w:rFonts w:cs="David" w:hint="cs"/>
          <w:sz w:val="28"/>
          <w:szCs w:val="28"/>
          <w:rtl/>
        </w:rPr>
        <w:t xml:space="preserve"> </w:t>
      </w:r>
      <w:r w:rsidR="003D5CA0" w:rsidRPr="00B316AC">
        <w:rPr>
          <w:rFonts w:cs="David" w:hint="cs"/>
          <w:sz w:val="28"/>
          <w:szCs w:val="28"/>
          <w:rtl/>
        </w:rPr>
        <w:t xml:space="preserve">במשק קטן ופתוח יש לשער החליפין תפקיד חשוב, כפי שציינתי קודם גם על התעסוקה, ולכן, </w:t>
      </w:r>
      <w:r w:rsidR="00395856" w:rsidRPr="00B316AC">
        <w:rPr>
          <w:rFonts w:cs="David" w:hint="cs"/>
          <w:sz w:val="28"/>
          <w:szCs w:val="28"/>
          <w:rtl/>
        </w:rPr>
        <w:t>כפי שאפשר להבין מהמדינ</w:t>
      </w:r>
      <w:r w:rsidR="003D5CA0" w:rsidRPr="00B316AC">
        <w:rPr>
          <w:rFonts w:cs="David" w:hint="cs"/>
          <w:sz w:val="28"/>
          <w:szCs w:val="28"/>
          <w:rtl/>
        </w:rPr>
        <w:t>י</w:t>
      </w:r>
      <w:r w:rsidR="00395856" w:rsidRPr="00B316AC">
        <w:rPr>
          <w:rFonts w:cs="David" w:hint="cs"/>
          <w:sz w:val="28"/>
          <w:szCs w:val="28"/>
          <w:rtl/>
        </w:rPr>
        <w:t>ות שנקטנו גם לאחרונה, אנחנו לא אדישים להתפתחויות בשער החליפין. אמנם מגמת הייסוף משקפת בין היתר את השיפור היחסי בכלכלת ישראל ביחס למדינות המפותחות האחרות</w:t>
      </w:r>
      <w:r w:rsidR="002815D0" w:rsidRPr="00B316AC">
        <w:rPr>
          <w:rFonts w:cs="David" w:hint="cs"/>
          <w:sz w:val="28"/>
          <w:szCs w:val="28"/>
          <w:rtl/>
        </w:rPr>
        <w:t>.</w:t>
      </w:r>
      <w:r w:rsidR="00395856" w:rsidRPr="00B316AC">
        <w:rPr>
          <w:rFonts w:cs="David" w:hint="cs"/>
          <w:sz w:val="28"/>
          <w:szCs w:val="28"/>
          <w:rtl/>
        </w:rPr>
        <w:t xml:space="preserve"> </w:t>
      </w:r>
      <w:r w:rsidR="002815D0" w:rsidRPr="00B316AC">
        <w:rPr>
          <w:rFonts w:cs="David" w:hint="cs"/>
          <w:sz w:val="28"/>
          <w:szCs w:val="28"/>
          <w:rtl/>
        </w:rPr>
        <w:t>ואולם</w:t>
      </w:r>
      <w:r w:rsidR="00E54D6B" w:rsidRPr="00B316AC">
        <w:rPr>
          <w:rFonts w:cs="David" w:hint="cs"/>
          <w:sz w:val="28"/>
          <w:szCs w:val="28"/>
          <w:rtl/>
        </w:rPr>
        <w:t>,</w:t>
      </w:r>
      <w:r w:rsidR="002815D0" w:rsidRPr="00B316AC">
        <w:rPr>
          <w:rFonts w:cs="David" w:hint="cs"/>
          <w:sz w:val="28"/>
          <w:szCs w:val="28"/>
          <w:rtl/>
        </w:rPr>
        <w:t xml:space="preserve"> </w:t>
      </w:r>
      <w:r w:rsidR="00395856" w:rsidRPr="00B316AC">
        <w:rPr>
          <w:rFonts w:cs="David" w:hint="cs"/>
          <w:sz w:val="28"/>
          <w:szCs w:val="28"/>
          <w:rtl/>
        </w:rPr>
        <w:t xml:space="preserve">שינוי </w:t>
      </w:r>
      <w:r w:rsidR="002815D0" w:rsidRPr="00B316AC">
        <w:rPr>
          <w:rFonts w:cs="David" w:hint="cs"/>
          <w:sz w:val="28"/>
          <w:szCs w:val="28"/>
          <w:rtl/>
        </w:rPr>
        <w:t>ה</w:t>
      </w:r>
      <w:r w:rsidR="00395856" w:rsidRPr="00B316AC">
        <w:rPr>
          <w:rFonts w:cs="David" w:hint="cs"/>
          <w:sz w:val="28"/>
          <w:szCs w:val="28"/>
          <w:rtl/>
        </w:rPr>
        <w:t xml:space="preserve">מתרחש באופן חד ומהיר, </w:t>
      </w:r>
      <w:r w:rsidR="002815D0" w:rsidRPr="00B316AC">
        <w:rPr>
          <w:rFonts w:cs="David" w:hint="cs"/>
          <w:sz w:val="28"/>
          <w:szCs w:val="28"/>
          <w:rtl/>
        </w:rPr>
        <w:t>בנגוד לשי</w:t>
      </w:r>
      <w:r w:rsidR="00561FDE">
        <w:rPr>
          <w:rFonts w:cs="David" w:hint="cs"/>
          <w:sz w:val="28"/>
          <w:szCs w:val="28"/>
          <w:rtl/>
        </w:rPr>
        <w:t>נויים של הכוחות הבסיסיים שהם מט</w:t>
      </w:r>
      <w:r w:rsidR="002815D0" w:rsidRPr="00B316AC">
        <w:rPr>
          <w:rFonts w:cs="David" w:hint="cs"/>
          <w:sz w:val="28"/>
          <w:szCs w:val="28"/>
          <w:rtl/>
        </w:rPr>
        <w:t xml:space="preserve">בעם הדרגתיים, </w:t>
      </w:r>
      <w:r w:rsidR="00395856" w:rsidRPr="00B316AC">
        <w:rPr>
          <w:rFonts w:cs="David" w:hint="cs"/>
          <w:sz w:val="28"/>
          <w:szCs w:val="28"/>
          <w:rtl/>
        </w:rPr>
        <w:t xml:space="preserve">מקשה על </w:t>
      </w:r>
      <w:r w:rsidR="00E54D6B" w:rsidRPr="00B316AC">
        <w:rPr>
          <w:rFonts w:cs="David" w:hint="cs"/>
          <w:sz w:val="28"/>
          <w:szCs w:val="28"/>
          <w:rtl/>
        </w:rPr>
        <w:t>הענפים</w:t>
      </w:r>
      <w:r w:rsidR="00395856" w:rsidRPr="00B316AC">
        <w:rPr>
          <w:rFonts w:cs="David" w:hint="cs"/>
          <w:sz w:val="28"/>
          <w:szCs w:val="28"/>
          <w:rtl/>
        </w:rPr>
        <w:t xml:space="preserve"> הסחיר</w:t>
      </w:r>
      <w:r w:rsidR="00E54D6B" w:rsidRPr="00B316AC">
        <w:rPr>
          <w:rFonts w:cs="David" w:hint="cs"/>
          <w:sz w:val="28"/>
          <w:szCs w:val="28"/>
          <w:rtl/>
        </w:rPr>
        <w:t>ים במשק</w:t>
      </w:r>
      <w:r w:rsidR="00395856" w:rsidRPr="00B316AC">
        <w:rPr>
          <w:rFonts w:cs="David" w:hint="cs"/>
          <w:sz w:val="28"/>
          <w:szCs w:val="28"/>
          <w:rtl/>
        </w:rPr>
        <w:t xml:space="preserve"> לה</w:t>
      </w:r>
      <w:r w:rsidR="002815D0" w:rsidRPr="00B316AC">
        <w:rPr>
          <w:rFonts w:cs="David" w:hint="cs"/>
          <w:sz w:val="28"/>
          <w:szCs w:val="28"/>
          <w:rtl/>
        </w:rPr>
        <w:t>י</w:t>
      </w:r>
      <w:r w:rsidR="00E54D6B" w:rsidRPr="00B316AC">
        <w:rPr>
          <w:rFonts w:cs="David" w:hint="cs"/>
          <w:sz w:val="28"/>
          <w:szCs w:val="28"/>
          <w:rtl/>
        </w:rPr>
        <w:t>ערך ולהתאים עצמם,</w:t>
      </w:r>
      <w:r w:rsidR="00212A4C" w:rsidRPr="00B316AC">
        <w:rPr>
          <w:rFonts w:cs="David" w:hint="cs"/>
          <w:sz w:val="28"/>
          <w:szCs w:val="28"/>
          <w:rtl/>
        </w:rPr>
        <w:t xml:space="preserve"> בפרט בתקופה בה הביקושים העולמיים מתונים</w:t>
      </w:r>
      <w:r w:rsidR="00395856" w:rsidRPr="00B316AC">
        <w:rPr>
          <w:rFonts w:cs="David" w:hint="cs"/>
          <w:sz w:val="28"/>
          <w:szCs w:val="28"/>
          <w:rtl/>
        </w:rPr>
        <w:t>.</w:t>
      </w:r>
      <w:r w:rsidR="002815D0" w:rsidRPr="00B316AC">
        <w:rPr>
          <w:rFonts w:cs="David" w:hint="cs"/>
          <w:sz w:val="28"/>
          <w:szCs w:val="28"/>
          <w:rtl/>
        </w:rPr>
        <w:t xml:space="preserve"> מדיניות בנק ישראל בתחום זו נועדה להקל את תהליך ההתאמה</w:t>
      </w:r>
      <w:r w:rsidR="00793795" w:rsidRPr="00B316AC">
        <w:rPr>
          <w:rFonts w:cs="David" w:hint="cs"/>
          <w:sz w:val="28"/>
          <w:szCs w:val="28"/>
          <w:rtl/>
        </w:rPr>
        <w:t>, ואף למנוע פגיעה מיותרת במגזר הסחיר כתוצאה מתגובת יתר (</w:t>
      </w:r>
      <w:r w:rsidR="00793795" w:rsidRPr="00B03A4B">
        <w:rPr>
          <w:rFonts w:asciiTheme="majorBidi" w:hAnsiTheme="majorBidi" w:cstheme="majorBidi"/>
          <w:sz w:val="28"/>
          <w:szCs w:val="28"/>
        </w:rPr>
        <w:t>overshooting</w:t>
      </w:r>
      <w:r w:rsidR="00793795" w:rsidRPr="00B316AC">
        <w:rPr>
          <w:rFonts w:cs="David" w:hint="cs"/>
          <w:sz w:val="28"/>
          <w:szCs w:val="28"/>
          <w:rtl/>
        </w:rPr>
        <w:t>) של שער החליפין.</w:t>
      </w:r>
    </w:p>
    <w:p w:rsidR="00F10464" w:rsidRPr="0004275A" w:rsidRDefault="00065316" w:rsidP="0004275A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942CFE">
        <w:rPr>
          <w:rFonts w:cs="David" w:hint="cs"/>
          <w:sz w:val="28"/>
          <w:szCs w:val="28"/>
          <w:rtl/>
        </w:rPr>
        <w:t>בנוגע למדיניות התקציבית</w:t>
      </w:r>
      <w:r w:rsidR="00942CFE" w:rsidRPr="00942CFE">
        <w:rPr>
          <w:rFonts w:cs="David" w:hint="cs"/>
          <w:sz w:val="28"/>
          <w:szCs w:val="28"/>
          <w:rtl/>
        </w:rPr>
        <w:t xml:space="preserve"> (שקף 24)</w:t>
      </w:r>
      <w:r w:rsidRPr="00942CFE">
        <w:rPr>
          <w:rFonts w:cs="David" w:hint="cs"/>
          <w:sz w:val="28"/>
          <w:szCs w:val="28"/>
          <w:rtl/>
        </w:rPr>
        <w:t xml:space="preserve">, לאחר עלייה חדה בגירעון, הוחזרה השליטה למדיניות התקציבית, והדבר כבר בא לידי ביטוי </w:t>
      </w:r>
      <w:r w:rsidR="004F718B" w:rsidRPr="00942CFE">
        <w:rPr>
          <w:rFonts w:cs="David" w:hint="cs"/>
          <w:sz w:val="28"/>
          <w:szCs w:val="28"/>
          <w:rtl/>
        </w:rPr>
        <w:t>ב</w:t>
      </w:r>
      <w:r w:rsidRPr="00942CFE">
        <w:rPr>
          <w:rFonts w:cs="David" w:hint="cs"/>
          <w:sz w:val="28"/>
          <w:szCs w:val="28"/>
          <w:rtl/>
        </w:rPr>
        <w:t xml:space="preserve">ירידת </w:t>
      </w:r>
      <w:r w:rsidR="004F718B" w:rsidRPr="00942CFE">
        <w:rPr>
          <w:rFonts w:cs="David" w:hint="cs"/>
          <w:sz w:val="28"/>
          <w:szCs w:val="28"/>
          <w:rtl/>
        </w:rPr>
        <w:t xml:space="preserve">העלות </w:t>
      </w:r>
      <w:r w:rsidRPr="00942CFE">
        <w:rPr>
          <w:rFonts w:cs="David" w:hint="cs"/>
          <w:sz w:val="28"/>
          <w:szCs w:val="28"/>
          <w:rtl/>
        </w:rPr>
        <w:t>שהממשלה משלמת על מימון החוב</w:t>
      </w:r>
      <w:r w:rsidR="00E54D6B" w:rsidRPr="00942CFE">
        <w:rPr>
          <w:rFonts w:cs="David" w:hint="cs"/>
          <w:sz w:val="28"/>
          <w:szCs w:val="28"/>
          <w:rtl/>
        </w:rPr>
        <w:t>,</w:t>
      </w:r>
      <w:r w:rsidR="00212A4C" w:rsidRPr="00942CFE">
        <w:rPr>
          <w:rFonts w:cs="David" w:hint="cs"/>
          <w:sz w:val="28"/>
          <w:szCs w:val="28"/>
          <w:rtl/>
        </w:rPr>
        <w:t xml:space="preserve"> ובפער של עלות זו אל מול עלות המימון של משקים מפותחים.</w:t>
      </w:r>
      <w:r w:rsidRPr="00942CFE">
        <w:rPr>
          <w:rFonts w:cs="David" w:hint="cs"/>
          <w:sz w:val="28"/>
          <w:szCs w:val="28"/>
          <w:rtl/>
        </w:rPr>
        <w:t xml:space="preserve"> בהסתכלות קדימה מעבר לשנה הקרובה</w:t>
      </w:r>
      <w:r w:rsidR="00E54D6B" w:rsidRPr="00942CFE">
        <w:rPr>
          <w:rFonts w:cs="David" w:hint="cs"/>
          <w:sz w:val="28"/>
          <w:szCs w:val="28"/>
          <w:rtl/>
        </w:rPr>
        <w:t>,</w:t>
      </w:r>
      <w:r w:rsidRPr="00942CFE">
        <w:rPr>
          <w:rFonts w:cs="David" w:hint="cs"/>
          <w:sz w:val="28"/>
          <w:szCs w:val="28"/>
          <w:rtl/>
        </w:rPr>
        <w:t xml:space="preserve"> יעדי הגירעון שנקבעו לשנים הבאות יביאו את משקל החוב הציבורי בתוצר ל 60% בסוף </w:t>
      </w:r>
      <w:r w:rsidR="004F718B" w:rsidRPr="00942CFE">
        <w:rPr>
          <w:rFonts w:cs="David" w:hint="cs"/>
          <w:sz w:val="28"/>
          <w:szCs w:val="28"/>
          <w:rtl/>
        </w:rPr>
        <w:t>ה</w:t>
      </w:r>
      <w:r w:rsidRPr="00942CFE">
        <w:rPr>
          <w:rFonts w:cs="David" w:hint="cs"/>
          <w:sz w:val="28"/>
          <w:szCs w:val="28"/>
          <w:rtl/>
        </w:rPr>
        <w:t>עשור</w:t>
      </w:r>
      <w:r w:rsidR="00E54D6B" w:rsidRPr="00942CFE">
        <w:rPr>
          <w:rFonts w:cs="David" w:hint="cs"/>
          <w:sz w:val="28"/>
          <w:szCs w:val="28"/>
          <w:rtl/>
        </w:rPr>
        <w:t xml:space="preserve">. </w:t>
      </w:r>
      <w:r w:rsidR="004F718B" w:rsidRPr="00942CFE">
        <w:rPr>
          <w:rFonts w:cs="David" w:hint="cs"/>
          <w:sz w:val="28"/>
          <w:szCs w:val="28"/>
          <w:rtl/>
        </w:rPr>
        <w:t xml:space="preserve">יש </w:t>
      </w:r>
      <w:r w:rsidR="00E54D6B" w:rsidRPr="00942CFE">
        <w:rPr>
          <w:rFonts w:cs="David" w:hint="cs"/>
          <w:sz w:val="28"/>
          <w:szCs w:val="28"/>
          <w:rtl/>
        </w:rPr>
        <w:t>ל</w:t>
      </w:r>
      <w:r w:rsidR="00043B60" w:rsidRPr="00942CFE">
        <w:rPr>
          <w:rFonts w:cs="David" w:hint="cs"/>
          <w:sz w:val="28"/>
          <w:szCs w:val="28"/>
          <w:rtl/>
        </w:rPr>
        <w:t xml:space="preserve">הדגיש את החשיבות של עמידה ביעדי הגרעון כדי לחזק את היציבות של המשק ואת עמידותו לזעזועים, וכן כדי להמשיך ולהפחית את נטל מימון החוב. </w:t>
      </w:r>
      <w:r w:rsidR="00395856" w:rsidRPr="00942CFE">
        <w:rPr>
          <w:rFonts w:cs="David" w:hint="cs"/>
          <w:sz w:val="28"/>
          <w:szCs w:val="28"/>
          <w:rtl/>
        </w:rPr>
        <w:t xml:space="preserve"> </w:t>
      </w:r>
      <w:r w:rsidRPr="00942CFE">
        <w:rPr>
          <w:rFonts w:cs="David" w:hint="cs"/>
          <w:sz w:val="28"/>
          <w:szCs w:val="28"/>
          <w:rtl/>
        </w:rPr>
        <w:t>כאן חשוב לציין</w:t>
      </w:r>
      <w:r w:rsidR="00043B60" w:rsidRPr="00942CFE">
        <w:rPr>
          <w:rFonts w:cs="David" w:hint="cs"/>
          <w:sz w:val="28"/>
          <w:szCs w:val="28"/>
          <w:rtl/>
        </w:rPr>
        <w:t xml:space="preserve"> כי תידרש התאמה בהיקף משמעותי כדי </w:t>
      </w:r>
      <w:r w:rsidR="004F718B" w:rsidRPr="00942CFE">
        <w:rPr>
          <w:rFonts w:cs="David" w:hint="cs"/>
          <w:sz w:val="28"/>
          <w:szCs w:val="28"/>
          <w:rtl/>
        </w:rPr>
        <w:t xml:space="preserve">לעמוד ביעדי הגירעון </w:t>
      </w:r>
      <w:r w:rsidR="00B03A4B" w:rsidRPr="00942CFE">
        <w:rPr>
          <w:rFonts w:cs="David" w:hint="cs"/>
          <w:sz w:val="28"/>
          <w:szCs w:val="28"/>
          <w:rtl/>
        </w:rPr>
        <w:t>שנקבעו</w:t>
      </w:r>
      <w:r w:rsidR="00043B60" w:rsidRPr="00942CFE">
        <w:rPr>
          <w:rFonts w:cs="David" w:hint="cs"/>
          <w:sz w:val="28"/>
          <w:szCs w:val="28"/>
          <w:rtl/>
        </w:rPr>
        <w:t xml:space="preserve">, ועל הממשלה יהיה לבחור איזה חלק מההתאמה </w:t>
      </w:r>
      <w:r w:rsidR="004F718B" w:rsidRPr="00942CFE">
        <w:rPr>
          <w:rFonts w:cs="David" w:hint="cs"/>
          <w:sz w:val="28"/>
          <w:szCs w:val="28"/>
          <w:rtl/>
        </w:rPr>
        <w:t>י</w:t>
      </w:r>
      <w:r w:rsidR="00043B60" w:rsidRPr="00942CFE">
        <w:rPr>
          <w:rFonts w:cs="David" w:hint="cs"/>
          <w:sz w:val="28"/>
          <w:szCs w:val="28"/>
          <w:rtl/>
        </w:rPr>
        <w:t>עשה ע"י הפחתה בקצב גידול ההוצאה</w:t>
      </w:r>
      <w:r w:rsidR="00043B60" w:rsidRPr="00942CFE">
        <w:rPr>
          <w:rFonts w:cs="David"/>
          <w:sz w:val="28"/>
          <w:szCs w:val="28"/>
          <w:rtl/>
        </w:rPr>
        <w:t>—</w:t>
      </w:r>
      <w:r w:rsidR="00043B60" w:rsidRPr="00942CFE">
        <w:rPr>
          <w:rFonts w:cs="David" w:hint="cs"/>
          <w:sz w:val="28"/>
          <w:szCs w:val="28"/>
          <w:rtl/>
        </w:rPr>
        <w:t xml:space="preserve">שתחייב צמצום בתכניות שהממשלה </w:t>
      </w:r>
      <w:r w:rsidR="00E54D6B" w:rsidRPr="00942CFE">
        <w:rPr>
          <w:rFonts w:cs="David" w:hint="cs"/>
          <w:sz w:val="28"/>
          <w:szCs w:val="28"/>
          <w:rtl/>
        </w:rPr>
        <w:t>התחייבה עליהן-</w:t>
      </w:r>
      <w:r w:rsidR="00043B60" w:rsidRPr="00942CFE">
        <w:rPr>
          <w:rFonts w:cs="David" w:hint="cs"/>
          <w:sz w:val="28"/>
          <w:szCs w:val="28"/>
          <w:rtl/>
        </w:rPr>
        <w:t xml:space="preserve"> ואיזה חלק יבוא מעלייה בהכנסות ממיסים, אם באמצעות ביטול פטורים והרחבת בסיס המס,</w:t>
      </w:r>
      <w:r w:rsidR="004F718B" w:rsidRPr="00942CFE">
        <w:rPr>
          <w:rFonts w:cs="David" w:hint="cs"/>
          <w:sz w:val="28"/>
          <w:szCs w:val="28"/>
          <w:rtl/>
        </w:rPr>
        <w:t xml:space="preserve"> אם באמצעות צעדים ממשיים לשיפור האכיפה והגבייה</w:t>
      </w:r>
      <w:r w:rsidR="00E54D6B" w:rsidRPr="00942CFE">
        <w:rPr>
          <w:rFonts w:cs="David" w:hint="cs"/>
          <w:sz w:val="28"/>
          <w:szCs w:val="28"/>
          <w:rtl/>
        </w:rPr>
        <w:t>,</w:t>
      </w:r>
      <w:r w:rsidR="004F718B" w:rsidRPr="00942CFE">
        <w:rPr>
          <w:rFonts w:cs="David" w:hint="cs"/>
          <w:sz w:val="28"/>
          <w:szCs w:val="28"/>
          <w:rtl/>
        </w:rPr>
        <w:t xml:space="preserve"> ואם </w:t>
      </w:r>
      <w:r w:rsidR="00043B60" w:rsidRPr="00942CFE">
        <w:rPr>
          <w:rFonts w:cs="David" w:hint="cs"/>
          <w:sz w:val="28"/>
          <w:szCs w:val="28"/>
          <w:rtl/>
        </w:rPr>
        <w:t>באמצעות העלאה בשעורי המס. צריך להדגיש גם כי בתנאים של הידוק תקציבי, לסדר העדיפויות בתקציב יש משנה חשיבות, הן מההיבט של הקצאת משאבים למנועי הצמיחה, והן מההיבט החברתי.</w:t>
      </w:r>
    </w:p>
    <w:p w:rsidR="00B03A4B" w:rsidRDefault="00B03A4B" w:rsidP="00E54D6B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043B60" w:rsidRPr="0004275A" w:rsidRDefault="00043B60" w:rsidP="00E54D6B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>באשר ליציבות הפיננסית</w:t>
      </w:r>
      <w:r w:rsidR="00942CFE">
        <w:rPr>
          <w:rFonts w:cs="David" w:hint="cs"/>
          <w:sz w:val="28"/>
          <w:szCs w:val="28"/>
          <w:rtl/>
        </w:rPr>
        <w:t xml:space="preserve"> (שקף 26)</w:t>
      </w:r>
      <w:r w:rsidRPr="0004275A">
        <w:rPr>
          <w:rFonts w:cs="David" w:hint="cs"/>
          <w:sz w:val="28"/>
          <w:szCs w:val="28"/>
          <w:rtl/>
        </w:rPr>
        <w:t xml:space="preserve">, שתמיכה בה היא אחת המטרות </w:t>
      </w:r>
      <w:r w:rsidR="003D5CA0" w:rsidRPr="0004275A">
        <w:rPr>
          <w:rFonts w:cs="David" w:hint="cs"/>
          <w:sz w:val="28"/>
          <w:szCs w:val="28"/>
          <w:rtl/>
        </w:rPr>
        <w:t>המוגדרות בחוק</w:t>
      </w:r>
      <w:r w:rsidRPr="0004275A">
        <w:rPr>
          <w:rFonts w:cs="David" w:hint="cs"/>
          <w:sz w:val="28"/>
          <w:szCs w:val="28"/>
          <w:rtl/>
        </w:rPr>
        <w:t xml:space="preserve"> בנק ישראל, ניתן לסכם את תמונת המצב הפיננסי באמצעות דיאגרמת הרדאר, כשקודקודיו של המשושה מייצגים קבוצות שונות של סיכונים פיננסיים. כאן נ</w:t>
      </w:r>
      <w:r w:rsidR="00E54D6B" w:rsidRPr="0004275A">
        <w:rPr>
          <w:rFonts w:cs="David" w:hint="cs"/>
          <w:sz w:val="28"/>
          <w:szCs w:val="28"/>
          <w:rtl/>
        </w:rPr>
        <w:t>יתן לראות כי לעומת שיא המשבר (מ</w:t>
      </w:r>
      <w:r w:rsidRPr="0004275A">
        <w:rPr>
          <w:rFonts w:cs="David" w:hint="cs"/>
          <w:sz w:val="28"/>
          <w:szCs w:val="28"/>
          <w:rtl/>
        </w:rPr>
        <w:t xml:space="preserve">יוצג באדום) כאשר כל סוגי הסיכונים היו בשיאם, אנחנו </w:t>
      </w:r>
      <w:r w:rsidR="00B03A4B" w:rsidRPr="0004275A">
        <w:rPr>
          <w:rFonts w:cs="David" w:hint="cs"/>
          <w:sz w:val="28"/>
          <w:szCs w:val="28"/>
          <w:rtl/>
        </w:rPr>
        <w:t>נמצאים</w:t>
      </w:r>
      <w:r w:rsidRPr="0004275A">
        <w:rPr>
          <w:rFonts w:cs="David" w:hint="cs"/>
          <w:sz w:val="28"/>
          <w:szCs w:val="28"/>
          <w:rtl/>
        </w:rPr>
        <w:t xml:space="preserve"> במצב טוב בהרבה. </w:t>
      </w:r>
      <w:r w:rsidR="004F718B" w:rsidRPr="0004275A">
        <w:rPr>
          <w:rFonts w:cs="David" w:hint="cs"/>
          <w:sz w:val="28"/>
          <w:szCs w:val="28"/>
          <w:rtl/>
        </w:rPr>
        <w:t>עם זאת</w:t>
      </w:r>
      <w:r w:rsidR="00E54D6B" w:rsidRPr="0004275A">
        <w:rPr>
          <w:rFonts w:cs="David" w:hint="cs"/>
          <w:sz w:val="28"/>
          <w:szCs w:val="28"/>
          <w:rtl/>
        </w:rPr>
        <w:t>, גם כיום</w:t>
      </w:r>
      <w:r w:rsidRPr="0004275A">
        <w:rPr>
          <w:rFonts w:cs="David" w:hint="cs"/>
          <w:sz w:val="28"/>
          <w:szCs w:val="28"/>
          <w:rtl/>
        </w:rPr>
        <w:t xml:space="preserve"> הסיכון ה"מקרו-גלובלי"</w:t>
      </w:r>
      <w:r w:rsidRPr="0004275A">
        <w:rPr>
          <w:rFonts w:cs="David"/>
          <w:sz w:val="28"/>
          <w:szCs w:val="28"/>
          <w:rtl/>
        </w:rPr>
        <w:t>—</w:t>
      </w:r>
      <w:r w:rsidRPr="0004275A">
        <w:rPr>
          <w:rFonts w:cs="David" w:hint="cs"/>
          <w:sz w:val="28"/>
          <w:szCs w:val="28"/>
          <w:rtl/>
        </w:rPr>
        <w:t>שבעיקרו נובע מהמצב באירופה</w:t>
      </w:r>
      <w:r w:rsidRPr="0004275A">
        <w:rPr>
          <w:rFonts w:cs="David"/>
          <w:sz w:val="28"/>
          <w:szCs w:val="28"/>
          <w:rtl/>
        </w:rPr>
        <w:t>—</w:t>
      </w:r>
      <w:r w:rsidRPr="0004275A">
        <w:rPr>
          <w:rFonts w:cs="David" w:hint="cs"/>
          <w:sz w:val="28"/>
          <w:szCs w:val="28"/>
          <w:rtl/>
        </w:rPr>
        <w:t xml:space="preserve">גבוה </w:t>
      </w:r>
      <w:r w:rsidR="004F718B" w:rsidRPr="0004275A">
        <w:rPr>
          <w:rFonts w:cs="David" w:hint="cs"/>
          <w:sz w:val="28"/>
          <w:szCs w:val="28"/>
          <w:rtl/>
        </w:rPr>
        <w:t>במעט מערכו ההיסטורי</w:t>
      </w:r>
      <w:r w:rsidRPr="0004275A">
        <w:rPr>
          <w:rFonts w:cs="David" w:hint="cs"/>
          <w:sz w:val="28"/>
          <w:szCs w:val="28"/>
          <w:rtl/>
        </w:rPr>
        <w:t>, ובין היתר בהשפעת המצב המקרו גלובלי, גם סיכון המקרו המקומי נימצא מעל הממוצע ההיסטורי שלו (</w:t>
      </w:r>
      <w:r w:rsidR="00E54D6B" w:rsidRPr="0004275A">
        <w:rPr>
          <w:rFonts w:cs="David" w:hint="cs"/>
          <w:sz w:val="28"/>
          <w:szCs w:val="28"/>
          <w:rtl/>
        </w:rPr>
        <w:t xml:space="preserve">ערך של </w:t>
      </w:r>
      <w:r w:rsidRPr="0004275A">
        <w:rPr>
          <w:rFonts w:cs="David" w:hint="cs"/>
          <w:sz w:val="28"/>
          <w:szCs w:val="28"/>
          <w:rtl/>
        </w:rPr>
        <w:t>0.5 מייצג את הערך ש</w:t>
      </w:r>
      <w:r w:rsidR="00CB7D37" w:rsidRPr="0004275A">
        <w:rPr>
          <w:rFonts w:cs="David" w:hint="cs"/>
          <w:sz w:val="28"/>
          <w:szCs w:val="28"/>
          <w:rtl/>
        </w:rPr>
        <w:t xml:space="preserve">ל הממוצע ההיסטורי לגבי כל אחד מסוגי הסיכונים). </w:t>
      </w:r>
      <w:r w:rsidR="004F718B" w:rsidRPr="0004275A">
        <w:rPr>
          <w:rFonts w:cs="David" w:hint="cs"/>
          <w:sz w:val="28"/>
          <w:szCs w:val="28"/>
          <w:rtl/>
        </w:rPr>
        <w:t>המחשה לחשיבות של שמירה על היציבות הפיננסית קיבלנו</w:t>
      </w:r>
      <w:r w:rsidR="00CB7D37" w:rsidRPr="0004275A">
        <w:rPr>
          <w:rFonts w:cs="David" w:hint="cs"/>
          <w:sz w:val="28"/>
          <w:szCs w:val="28"/>
          <w:rtl/>
        </w:rPr>
        <w:t xml:space="preserve"> במשבר העולמי האחרון, שבו </w:t>
      </w:r>
      <w:r w:rsidR="00E54D6B" w:rsidRPr="0004275A">
        <w:rPr>
          <w:rFonts w:cs="David" w:hint="cs"/>
          <w:sz w:val="28"/>
          <w:szCs w:val="28"/>
          <w:rtl/>
        </w:rPr>
        <w:t>ב</w:t>
      </w:r>
      <w:r w:rsidR="00CB7D37" w:rsidRPr="0004275A">
        <w:rPr>
          <w:rFonts w:cs="David" w:hint="cs"/>
          <w:sz w:val="28"/>
          <w:szCs w:val="28"/>
          <w:rtl/>
        </w:rPr>
        <w:t>מדינות שכחלק מהמשבר חוו גם משבר במערכת הבנקאות</w:t>
      </w:r>
      <w:r w:rsidR="004F718B" w:rsidRPr="0004275A">
        <w:rPr>
          <w:rFonts w:cs="David" w:hint="cs"/>
          <w:sz w:val="28"/>
          <w:szCs w:val="28"/>
          <w:rtl/>
        </w:rPr>
        <w:t>,</w:t>
      </w:r>
      <w:r w:rsidR="00CB7D37" w:rsidRPr="0004275A">
        <w:rPr>
          <w:rFonts w:cs="David" w:hint="cs"/>
          <w:sz w:val="28"/>
          <w:szCs w:val="28"/>
          <w:rtl/>
        </w:rPr>
        <w:t xml:space="preserve"> </w:t>
      </w:r>
      <w:r w:rsidR="00E54D6B" w:rsidRPr="0004275A">
        <w:rPr>
          <w:rFonts w:cs="David" w:hint="cs"/>
          <w:sz w:val="28"/>
          <w:szCs w:val="28"/>
          <w:rtl/>
        </w:rPr>
        <w:t>ה</w:t>
      </w:r>
      <w:r w:rsidR="00CB7D37" w:rsidRPr="0004275A">
        <w:rPr>
          <w:rFonts w:cs="David" w:hint="cs"/>
          <w:sz w:val="28"/>
          <w:szCs w:val="28"/>
          <w:rtl/>
        </w:rPr>
        <w:t xml:space="preserve">משבר </w:t>
      </w:r>
      <w:r w:rsidR="00E54D6B" w:rsidRPr="0004275A">
        <w:rPr>
          <w:rFonts w:cs="David" w:hint="cs"/>
          <w:sz w:val="28"/>
          <w:szCs w:val="28"/>
          <w:rtl/>
        </w:rPr>
        <w:t xml:space="preserve">היה </w:t>
      </w:r>
      <w:r w:rsidR="00CB7D37" w:rsidRPr="0004275A">
        <w:rPr>
          <w:rFonts w:cs="David" w:hint="cs"/>
          <w:sz w:val="28"/>
          <w:szCs w:val="28"/>
          <w:rtl/>
        </w:rPr>
        <w:t>קשה ועמוק הרבה יותר, עם התאוששות איטית בהרבה</w:t>
      </w:r>
      <w:r w:rsidR="004F718B" w:rsidRPr="0004275A">
        <w:rPr>
          <w:rFonts w:cs="David" w:hint="cs"/>
          <w:sz w:val="28"/>
          <w:szCs w:val="28"/>
          <w:rtl/>
        </w:rPr>
        <w:t>,</w:t>
      </w:r>
      <w:r w:rsidR="00CB7D37" w:rsidRPr="0004275A">
        <w:rPr>
          <w:rFonts w:cs="David" w:hint="cs"/>
          <w:sz w:val="28"/>
          <w:szCs w:val="28"/>
          <w:rtl/>
        </w:rPr>
        <w:t xml:space="preserve"> </w:t>
      </w:r>
      <w:r w:rsidR="00E54D6B" w:rsidRPr="0004275A">
        <w:rPr>
          <w:rFonts w:cs="David" w:hint="cs"/>
          <w:sz w:val="28"/>
          <w:szCs w:val="28"/>
          <w:rtl/>
        </w:rPr>
        <w:t>לעומת מדינות</w:t>
      </w:r>
      <w:r w:rsidR="00CB7D37" w:rsidRPr="0004275A">
        <w:rPr>
          <w:rFonts w:cs="David" w:hint="cs"/>
          <w:sz w:val="28"/>
          <w:szCs w:val="28"/>
          <w:rtl/>
        </w:rPr>
        <w:t xml:space="preserve"> </w:t>
      </w:r>
      <w:r w:rsidR="00E54D6B" w:rsidRPr="0004275A">
        <w:rPr>
          <w:rFonts w:cs="David" w:hint="cs"/>
          <w:sz w:val="28"/>
          <w:szCs w:val="28"/>
          <w:rtl/>
        </w:rPr>
        <w:t>שבהן המשבר לא היה מלווה במשבר פיננסי</w:t>
      </w:r>
      <w:r w:rsidR="00CB7D37" w:rsidRPr="0004275A">
        <w:rPr>
          <w:rFonts w:cs="David" w:hint="cs"/>
          <w:sz w:val="28"/>
          <w:szCs w:val="28"/>
          <w:rtl/>
        </w:rPr>
        <w:t>.</w:t>
      </w:r>
      <w:r w:rsidR="004F718B" w:rsidRPr="0004275A">
        <w:rPr>
          <w:rFonts w:cs="David" w:hint="cs"/>
          <w:sz w:val="28"/>
          <w:szCs w:val="28"/>
          <w:rtl/>
        </w:rPr>
        <w:t xml:space="preserve"> זהו גם הניסיון ההיסטורי </w:t>
      </w:r>
      <w:r w:rsidR="003D5CA0" w:rsidRPr="0004275A">
        <w:rPr>
          <w:rFonts w:cs="David" w:hint="cs"/>
          <w:sz w:val="28"/>
          <w:szCs w:val="28"/>
          <w:rtl/>
        </w:rPr>
        <w:t xml:space="preserve">בישראל </w:t>
      </w:r>
      <w:r w:rsidR="00793795" w:rsidRPr="0004275A">
        <w:rPr>
          <w:rFonts w:cs="David" w:hint="cs"/>
          <w:sz w:val="28"/>
          <w:szCs w:val="28"/>
          <w:rtl/>
        </w:rPr>
        <w:t xml:space="preserve">ובעולם </w:t>
      </w:r>
      <w:r w:rsidR="004F718B" w:rsidRPr="0004275A">
        <w:rPr>
          <w:rFonts w:cs="David" w:hint="cs"/>
          <w:sz w:val="28"/>
          <w:szCs w:val="28"/>
          <w:rtl/>
        </w:rPr>
        <w:t>ממשברים שיש בהם מרכיב של משבר פיננסי, לעומת משברים שאינם כוללים רכיב של משבר פיננסי</w:t>
      </w:r>
      <w:r w:rsidR="00942CFE">
        <w:rPr>
          <w:rFonts w:cs="David" w:hint="cs"/>
          <w:sz w:val="28"/>
          <w:szCs w:val="28"/>
          <w:rtl/>
        </w:rPr>
        <w:t xml:space="preserve"> (שקף 27)</w:t>
      </w:r>
      <w:r w:rsidR="004F718B" w:rsidRPr="0004275A">
        <w:rPr>
          <w:rFonts w:cs="David" w:hint="cs"/>
          <w:sz w:val="28"/>
          <w:szCs w:val="28"/>
          <w:rtl/>
        </w:rPr>
        <w:t>.</w:t>
      </w:r>
    </w:p>
    <w:p w:rsidR="00B67D49" w:rsidRPr="0004275A" w:rsidRDefault="00CB7D37" w:rsidP="00AB5247">
      <w:pPr>
        <w:spacing w:line="360" w:lineRule="auto"/>
        <w:ind w:left="360"/>
        <w:jc w:val="both"/>
        <w:rPr>
          <w:rFonts w:cs="David"/>
          <w:sz w:val="28"/>
          <w:szCs w:val="28"/>
        </w:rPr>
      </w:pPr>
      <w:r w:rsidRPr="0004275A">
        <w:rPr>
          <w:rFonts w:cs="David" w:hint="cs"/>
          <w:sz w:val="28"/>
          <w:szCs w:val="28"/>
          <w:rtl/>
        </w:rPr>
        <w:t>בהקשר זה אני רוצה להדגיש גם כמה נקודות בנוגע למערכת הבנקאית ש</w:t>
      </w:r>
      <w:r w:rsidR="004F718B" w:rsidRPr="0004275A">
        <w:rPr>
          <w:rFonts w:cs="David" w:hint="cs"/>
          <w:sz w:val="28"/>
          <w:szCs w:val="28"/>
          <w:rtl/>
        </w:rPr>
        <w:t>על הפיקוח עליה בנק ישראל אמון</w:t>
      </w:r>
      <w:r w:rsidR="005347DC">
        <w:rPr>
          <w:rFonts w:cs="David" w:hint="cs"/>
          <w:sz w:val="28"/>
          <w:szCs w:val="28"/>
          <w:rtl/>
        </w:rPr>
        <w:t xml:space="preserve"> (שקף 28)</w:t>
      </w:r>
      <w:r w:rsidR="004F718B" w:rsidRPr="0004275A">
        <w:rPr>
          <w:rFonts w:cs="David" w:hint="cs"/>
          <w:sz w:val="28"/>
          <w:szCs w:val="28"/>
          <w:rtl/>
        </w:rPr>
        <w:t>:</w:t>
      </w:r>
      <w:r w:rsidR="00B67D49" w:rsidRPr="0004275A">
        <w:rPr>
          <w:rFonts w:ascii="Arial" w:eastAsiaTheme="minorEastAsia" w:hAnsi="Arial" w:cs="David"/>
          <w:color w:val="EEECE1" w:themeColor="background2"/>
          <w:kern w:val="24"/>
          <w:sz w:val="28"/>
          <w:szCs w:val="28"/>
          <w:rtl/>
        </w:rPr>
        <w:t xml:space="preserve"> </w:t>
      </w:r>
    </w:p>
    <w:p w:rsidR="003E49C3" w:rsidRPr="0004275A" w:rsidRDefault="003D5CA0" w:rsidP="00AB5247">
      <w:pPr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04275A">
        <w:rPr>
          <w:rFonts w:cs="David"/>
          <w:sz w:val="28"/>
          <w:szCs w:val="28"/>
          <w:rtl/>
        </w:rPr>
        <w:t xml:space="preserve">המערכת הבנקאית איתנה, אם כי נדרשת להמשיך בחיזוק הלימות ההון והנזילות בהתאם למסגרת באזל </w:t>
      </w:r>
      <w:r w:rsidRPr="0004275A">
        <w:rPr>
          <w:rFonts w:cs="David"/>
          <w:sz w:val="28"/>
          <w:szCs w:val="28"/>
        </w:rPr>
        <w:t>III</w:t>
      </w:r>
      <w:r w:rsidRPr="0004275A">
        <w:rPr>
          <w:rFonts w:cs="David"/>
          <w:sz w:val="28"/>
          <w:szCs w:val="28"/>
          <w:rtl/>
        </w:rPr>
        <w:t>.</w:t>
      </w:r>
    </w:p>
    <w:p w:rsidR="003E49C3" w:rsidRPr="0004275A" w:rsidRDefault="003D5CA0" w:rsidP="00AB5247">
      <w:pPr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/>
          <w:sz w:val="28"/>
          <w:szCs w:val="28"/>
          <w:rtl/>
        </w:rPr>
        <w:t xml:space="preserve">רמת היעילות התפעולית נמוכה בהשוואה בינלאומית  ונדרשים צעדי התייעלות, לרבות צמצום הוצאות השכר </w:t>
      </w:r>
      <w:r w:rsidRPr="0004275A">
        <w:rPr>
          <w:rFonts w:cs="David" w:hint="cs"/>
          <w:sz w:val="28"/>
          <w:szCs w:val="28"/>
          <w:rtl/>
        </w:rPr>
        <w:t xml:space="preserve">לא רק ברובד העליון, </w:t>
      </w:r>
      <w:r w:rsidRPr="0004275A">
        <w:rPr>
          <w:rFonts w:cs="David"/>
          <w:sz w:val="28"/>
          <w:szCs w:val="28"/>
          <w:rtl/>
        </w:rPr>
        <w:t>ואיזון מנגנוני התגמול</w:t>
      </w:r>
      <w:r w:rsidRPr="0004275A">
        <w:rPr>
          <w:rFonts w:cs="David"/>
          <w:sz w:val="28"/>
          <w:szCs w:val="28"/>
        </w:rPr>
        <w:t>;</w:t>
      </w:r>
      <w:r w:rsidRPr="0004275A">
        <w:rPr>
          <w:rFonts w:cs="David"/>
          <w:sz w:val="28"/>
          <w:szCs w:val="28"/>
          <w:rtl/>
        </w:rPr>
        <w:t xml:space="preserve"> </w:t>
      </w:r>
    </w:p>
    <w:p w:rsidR="003E49C3" w:rsidRPr="0004275A" w:rsidRDefault="003D5CA0" w:rsidP="00AB5247">
      <w:pPr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04275A">
        <w:rPr>
          <w:rFonts w:cs="David"/>
          <w:sz w:val="28"/>
          <w:szCs w:val="28"/>
          <w:rtl/>
        </w:rPr>
        <w:t>גובשו וקודמו צעדים לשיפור התחרותיות וכן לשקיפות וההוגנות ביחסים שבין הבנקים ללקוחותיהם, בפרט למשקי הבית והעסקים הקטנים –הטמעתם הינו נדבך חשוב בשמירה על אמון הציבור.</w:t>
      </w:r>
    </w:p>
    <w:p w:rsidR="00B67D49" w:rsidRPr="0004275A" w:rsidRDefault="00B67D49" w:rsidP="00AB5247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B67D49" w:rsidRPr="0004275A" w:rsidRDefault="00045C20" w:rsidP="00AB5247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 w:hint="cs"/>
          <w:sz w:val="28"/>
          <w:szCs w:val="28"/>
          <w:rtl/>
        </w:rPr>
        <w:t>ולסיכום, אני רוצה לחדד ולהדגיש את האתגרים המרכזיים שעומדים בפני המשק</w:t>
      </w:r>
      <w:r w:rsidR="005347DC">
        <w:rPr>
          <w:rFonts w:cs="David" w:hint="cs"/>
          <w:sz w:val="28"/>
          <w:szCs w:val="28"/>
          <w:rtl/>
        </w:rPr>
        <w:t xml:space="preserve"> (שקף 29)</w:t>
      </w:r>
      <w:r w:rsidRPr="0004275A">
        <w:rPr>
          <w:rFonts w:cs="David" w:hint="cs"/>
          <w:sz w:val="28"/>
          <w:szCs w:val="28"/>
          <w:rtl/>
        </w:rPr>
        <w:t>:</w:t>
      </w:r>
    </w:p>
    <w:p w:rsidR="00B67D49" w:rsidRPr="0004275A" w:rsidRDefault="00B67D49" w:rsidP="00AB5247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/>
          <w:sz w:val="28"/>
          <w:szCs w:val="28"/>
          <w:rtl/>
        </w:rPr>
        <w:t>בטווח הקצר</w:t>
      </w:r>
      <w:r w:rsidR="004F718B" w:rsidRPr="0004275A">
        <w:rPr>
          <w:rFonts w:cs="David" w:hint="cs"/>
          <w:sz w:val="28"/>
          <w:szCs w:val="28"/>
          <w:rtl/>
        </w:rPr>
        <w:t xml:space="preserve"> האתגר העיקרי הוא </w:t>
      </w:r>
      <w:r w:rsidRPr="0004275A">
        <w:rPr>
          <w:rFonts w:cs="David"/>
          <w:sz w:val="28"/>
          <w:szCs w:val="28"/>
          <w:rtl/>
        </w:rPr>
        <w:t>המשך ניהול מדיניות בסביבה עולמית של צמיחה איטית וריבית אפסית, תוך מציאת האיזון בין תמיכה בצמיחה ובסקטור הסחיר, לבין שמירה על היציבות הפיננסית ובכלל זה יציבות שוק המשכנתאות.</w:t>
      </w:r>
    </w:p>
    <w:p w:rsidR="00B67D49" w:rsidRPr="0004275A" w:rsidRDefault="00B67D49" w:rsidP="00B03A4B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04275A">
        <w:rPr>
          <w:rFonts w:cs="David"/>
          <w:sz w:val="28"/>
          <w:szCs w:val="28"/>
          <w:rtl/>
        </w:rPr>
        <w:t>בטווח הארוך</w:t>
      </w:r>
      <w:r w:rsidR="004F718B" w:rsidRPr="0004275A">
        <w:rPr>
          <w:rFonts w:cs="David" w:hint="cs"/>
          <w:sz w:val="28"/>
          <w:szCs w:val="28"/>
          <w:rtl/>
        </w:rPr>
        <w:t xml:space="preserve"> האתגר בפני הממשלה הוא </w:t>
      </w:r>
      <w:r w:rsidRPr="0004275A">
        <w:rPr>
          <w:rFonts w:cs="David"/>
          <w:sz w:val="28"/>
          <w:szCs w:val="28"/>
          <w:rtl/>
        </w:rPr>
        <w:t>עידוד צמיחה מכלילה המשלבת אוכלוסיות בעלות שיעור השתתפות נמוך, תוך עליה בהון האנושי ובכושר ההשתכרות שלהן ועלייה בפריון</w:t>
      </w:r>
      <w:r w:rsidR="004F718B" w:rsidRPr="0004275A">
        <w:rPr>
          <w:rFonts w:cs="David" w:hint="cs"/>
          <w:sz w:val="28"/>
          <w:szCs w:val="28"/>
          <w:rtl/>
        </w:rPr>
        <w:t>.</w:t>
      </w:r>
    </w:p>
    <w:sectPr w:rsidR="00B67D49" w:rsidRPr="0004275A" w:rsidSect="00B03A4B">
      <w:footerReference w:type="default" r:id="rId9"/>
      <w:pgSz w:w="11906" w:h="16838"/>
      <w:pgMar w:top="624" w:right="851" w:bottom="510" w:left="107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1F" w:rsidRDefault="00C6341F" w:rsidP="00C6341F">
      <w:pPr>
        <w:spacing w:after="0" w:line="240" w:lineRule="auto"/>
      </w:pPr>
      <w:r>
        <w:separator/>
      </w:r>
    </w:p>
  </w:endnote>
  <w:endnote w:type="continuationSeparator" w:id="0">
    <w:p w:rsidR="00C6341F" w:rsidRDefault="00C6341F" w:rsidP="00C6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4B" w:rsidRPr="00B03A4B" w:rsidRDefault="00B03A4B" w:rsidP="00B03A4B">
    <w:pPr>
      <w:spacing w:line="360" w:lineRule="auto"/>
      <w:rPr>
        <w:rFonts w:cs="David"/>
        <w:sz w:val="18"/>
        <w:szCs w:val="18"/>
        <w:rtl/>
        <w:cs/>
      </w:rPr>
    </w:pPr>
    <w:r>
      <w:rPr>
        <w:rFonts w:cs="David" w:hint="cs"/>
        <w:sz w:val="18"/>
        <w:szCs w:val="18"/>
        <w:rtl/>
      </w:rPr>
      <w:t xml:space="preserve">בנק ישראל - </w:t>
    </w:r>
    <w:r w:rsidRPr="00B03A4B">
      <w:rPr>
        <w:rFonts w:cs="David" w:hint="cs"/>
        <w:sz w:val="18"/>
        <w:szCs w:val="18"/>
        <w:rtl/>
      </w:rPr>
      <w:t xml:space="preserve">הסקירה המקרו כלכלית של נגידת בנק ישראל בוועדת הכספים של הכנסת. </w:t>
    </w:r>
    <w:r>
      <w:rPr>
        <w:rFonts w:cs="David" w:hint="cs"/>
        <w:sz w:val="18"/>
        <w:szCs w:val="18"/>
        <w:rtl/>
      </w:rPr>
      <w:tab/>
    </w:r>
    <w:r>
      <w:rPr>
        <w:rFonts w:cs="David" w:hint="cs"/>
        <w:sz w:val="18"/>
        <w:szCs w:val="18"/>
        <w:rtl/>
      </w:rPr>
      <w:tab/>
    </w:r>
    <w:r>
      <w:rPr>
        <w:rFonts w:cs="David" w:hint="cs"/>
        <w:sz w:val="18"/>
        <w:szCs w:val="18"/>
        <w:rtl/>
      </w:rPr>
      <w:tab/>
    </w:r>
    <w:r>
      <w:rPr>
        <w:rFonts w:cs="David" w:hint="cs"/>
        <w:sz w:val="18"/>
        <w:szCs w:val="18"/>
        <w:rtl/>
      </w:rPr>
      <w:tab/>
    </w:r>
    <w:r>
      <w:rPr>
        <w:rFonts w:cs="David" w:hint="cs"/>
        <w:sz w:val="18"/>
        <w:szCs w:val="18"/>
        <w:rtl/>
      </w:rPr>
      <w:tab/>
    </w:r>
    <w:sdt>
      <w:sdtPr>
        <w:rPr>
          <w:rFonts w:cs="David"/>
          <w:sz w:val="18"/>
          <w:szCs w:val="18"/>
          <w:rtl/>
        </w:rPr>
        <w:id w:val="40604095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David"/>
              <w:sz w:val="18"/>
              <w:szCs w:val="18"/>
              <w:rtl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B03A4B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עמוד </w:t>
            </w:r>
            <w:r w:rsidRPr="00B03A4B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Pr="00B03A4B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PAGE</w:instrText>
            </w:r>
            <w:r w:rsidRPr="00B03A4B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 w:rsidR="00C36836">
              <w:rPr>
                <w:rFonts w:cs="David"/>
                <w:b/>
                <w:bCs/>
                <w:noProof/>
                <w:sz w:val="18"/>
                <w:szCs w:val="18"/>
                <w:rtl/>
              </w:rPr>
              <w:t>3</w:t>
            </w:r>
            <w:r w:rsidRPr="00B03A4B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  <w:r w:rsidRPr="00B03A4B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 מתוך </w:t>
            </w:r>
            <w:r w:rsidRPr="00B03A4B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Pr="00B03A4B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NUMPAGES</w:instrText>
            </w:r>
            <w:r w:rsidRPr="00B03A4B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 w:rsidR="00C36836">
              <w:rPr>
                <w:rFonts w:cs="David"/>
                <w:b/>
                <w:bCs/>
                <w:noProof/>
                <w:sz w:val="18"/>
                <w:szCs w:val="18"/>
                <w:rtl/>
              </w:rPr>
              <w:t>4</w:t>
            </w:r>
            <w:r w:rsidRPr="00B03A4B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C6341F" w:rsidRDefault="00C6341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1F" w:rsidRDefault="00C6341F" w:rsidP="00C6341F">
      <w:pPr>
        <w:spacing w:after="0" w:line="240" w:lineRule="auto"/>
      </w:pPr>
      <w:r>
        <w:separator/>
      </w:r>
    </w:p>
  </w:footnote>
  <w:footnote w:type="continuationSeparator" w:id="0">
    <w:p w:rsidR="00C6341F" w:rsidRDefault="00C6341F" w:rsidP="00C6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63FD5"/>
    <w:multiLevelType w:val="hybridMultilevel"/>
    <w:tmpl w:val="33442D7E"/>
    <w:lvl w:ilvl="0" w:tplc="C8EE0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C6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E5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E9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EB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CE9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EF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E1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A7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C2"/>
    <w:rsid w:val="0004275A"/>
    <w:rsid w:val="00043B60"/>
    <w:rsid w:val="00045C20"/>
    <w:rsid w:val="00065316"/>
    <w:rsid w:val="000D6963"/>
    <w:rsid w:val="001E68EB"/>
    <w:rsid w:val="0021262F"/>
    <w:rsid w:val="00212A4C"/>
    <w:rsid w:val="002227CC"/>
    <w:rsid w:val="002815D0"/>
    <w:rsid w:val="002F1DDB"/>
    <w:rsid w:val="00376993"/>
    <w:rsid w:val="00395856"/>
    <w:rsid w:val="003D5CA0"/>
    <w:rsid w:val="003E49C3"/>
    <w:rsid w:val="003E4C25"/>
    <w:rsid w:val="004A0AFD"/>
    <w:rsid w:val="004F718B"/>
    <w:rsid w:val="00503CD9"/>
    <w:rsid w:val="00516F52"/>
    <w:rsid w:val="005347DC"/>
    <w:rsid w:val="00561FDE"/>
    <w:rsid w:val="006510FB"/>
    <w:rsid w:val="00672E04"/>
    <w:rsid w:val="006747A5"/>
    <w:rsid w:val="00793795"/>
    <w:rsid w:val="00802393"/>
    <w:rsid w:val="00942CFE"/>
    <w:rsid w:val="009C664A"/>
    <w:rsid w:val="00AB5247"/>
    <w:rsid w:val="00B03A4B"/>
    <w:rsid w:val="00B316AC"/>
    <w:rsid w:val="00B67D49"/>
    <w:rsid w:val="00BE0BD9"/>
    <w:rsid w:val="00C243D3"/>
    <w:rsid w:val="00C36836"/>
    <w:rsid w:val="00C6341F"/>
    <w:rsid w:val="00CB18BF"/>
    <w:rsid w:val="00CB7D37"/>
    <w:rsid w:val="00CF56C8"/>
    <w:rsid w:val="00E4502F"/>
    <w:rsid w:val="00E54D6B"/>
    <w:rsid w:val="00E66B71"/>
    <w:rsid w:val="00F10464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D49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6747A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747A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6747A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747A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6747A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6747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634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C6341F"/>
  </w:style>
  <w:style w:type="paragraph" w:styleId="ad">
    <w:name w:val="footer"/>
    <w:basedOn w:val="a"/>
    <w:link w:val="ae"/>
    <w:uiPriority w:val="99"/>
    <w:unhideWhenUsed/>
    <w:rsid w:val="00C634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C63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D49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6747A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747A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6747A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747A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6747A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6747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634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C6341F"/>
  </w:style>
  <w:style w:type="paragraph" w:styleId="ad">
    <w:name w:val="footer"/>
    <w:basedOn w:val="a"/>
    <w:link w:val="ae"/>
    <w:uiPriority w:val="99"/>
    <w:unhideWhenUsed/>
    <w:rsid w:val="00C634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C6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22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3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6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1F996F92905D6438B7766F97F9430E5" ma:contentTypeVersion="2" ma:contentTypeDescription="צור מסמך חדש." ma:contentTypeScope="" ma:versionID="6036f03bd8a12d29b784f5a794bb38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04f75fadc857042686ee9e53c11a3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1F364-E57C-47E3-82EA-25F61C67FA92}"/>
</file>

<file path=customXml/itemProps2.xml><?xml version="1.0" encoding="utf-8"?>
<ds:datastoreItem xmlns:ds="http://schemas.openxmlformats.org/officeDocument/2006/customXml" ds:itemID="{37CC31C8-EB3D-4597-8494-439AFEEA0356}"/>
</file>

<file path=customXml/itemProps3.xml><?xml version="1.0" encoding="utf-8"?>
<ds:datastoreItem xmlns:ds="http://schemas.openxmlformats.org/officeDocument/2006/customXml" ds:itemID="{C7D344D5-CCF4-46BF-85CA-7D88EB734E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7464</Characters>
  <Application>Microsoft Office Word</Application>
  <DocSecurity>0</DocSecurity>
  <Lines>62</Lines>
  <Paragraphs>17</Paragraphs>
  <ScaleCrop>false</ScaleCrop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2014-01-06T09:29:00Z</dcterms:created>
  <dcterms:modified xsi:type="dcterms:W3CDTF">2014-01-06T09:30:00Z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0x010100D1F996F92905D6438B7766F97F9430E5</vt:lpwstr>
  </property>
</Properties>
</file>