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4D" w:rsidRPr="0037206B" w:rsidRDefault="00F17E4D" w:rsidP="005B199A">
      <w:pPr>
        <w:pStyle w:val="1"/>
        <w:tabs>
          <w:tab w:val="left" w:pos="8767"/>
        </w:tabs>
        <w:spacing w:line="266" w:lineRule="exact"/>
        <w:rPr>
          <w:rFonts w:cs="David"/>
        </w:rPr>
      </w:pPr>
      <w:r w:rsidRPr="0037206B">
        <w:rPr>
          <w:rFonts w:cs="David"/>
        </w:rPr>
        <w:tab/>
      </w:r>
    </w:p>
    <w:p w:rsidR="00F17E4D" w:rsidRPr="0037206B" w:rsidRDefault="00F17E4D">
      <w:pPr>
        <w:pStyle w:val="a3"/>
        <w:tabs>
          <w:tab w:val="left" w:pos="5876"/>
        </w:tabs>
        <w:bidi/>
        <w:spacing w:before="102"/>
        <w:ind w:left="853"/>
        <w:rPr>
          <w:rFonts w:cs="David"/>
          <w:sz w:val="24"/>
          <w:szCs w:val="24"/>
          <w:lang w:bidi="ar-SA"/>
        </w:rPr>
      </w:pPr>
      <w:r w:rsidRPr="0037206B">
        <w:rPr>
          <w:rFonts w:cs="David" w:hint="cs"/>
          <w:spacing w:val="-1"/>
          <w:sz w:val="24"/>
          <w:szCs w:val="24"/>
          <w:u w:val="single"/>
          <w:rtl/>
        </w:rPr>
        <w:t>הודעה</w:t>
      </w:r>
      <w:r w:rsidRPr="0037206B">
        <w:rPr>
          <w:rFonts w:cs="David"/>
          <w:spacing w:val="27"/>
          <w:sz w:val="24"/>
          <w:szCs w:val="24"/>
          <w:u w:val="single"/>
        </w:rPr>
        <w:t xml:space="preserve"> </w:t>
      </w:r>
      <w:r w:rsidRPr="0037206B">
        <w:rPr>
          <w:rFonts w:cs="David" w:hint="cs"/>
          <w:spacing w:val="-1"/>
          <w:sz w:val="24"/>
          <w:szCs w:val="24"/>
          <w:u w:val="single"/>
          <w:rtl/>
        </w:rPr>
        <w:t>לעיתונות</w:t>
      </w:r>
      <w:r w:rsidRPr="0037206B">
        <w:rPr>
          <w:rFonts w:ascii="Times New Roman" w:cs="David"/>
          <w:spacing w:val="-1"/>
          <w:sz w:val="24"/>
          <w:szCs w:val="24"/>
          <w:lang w:bidi="ar-SA"/>
        </w:rPr>
        <w:tab/>
      </w:r>
      <w:r w:rsidRPr="0037206B">
        <w:rPr>
          <w:rFonts w:ascii="Times New Roman" w:cs="David"/>
          <w:spacing w:val="-1"/>
          <w:sz w:val="24"/>
          <w:szCs w:val="24"/>
          <w:lang w:bidi="ar-SA"/>
        </w:rPr>
        <w:tab/>
      </w:r>
      <w:r w:rsidRPr="0037206B">
        <w:rPr>
          <w:rFonts w:ascii="Times New Roman" w:cs="David"/>
          <w:spacing w:val="-1"/>
          <w:sz w:val="24"/>
          <w:szCs w:val="24"/>
          <w:lang w:bidi="ar-SA"/>
        </w:rPr>
        <w:tab/>
      </w:r>
      <w:r w:rsidRPr="0037206B">
        <w:rPr>
          <w:rFonts w:ascii="Times New Roman" w:cs="David"/>
          <w:spacing w:val="-1"/>
          <w:sz w:val="24"/>
          <w:szCs w:val="24"/>
          <w:lang w:bidi="ar-SA"/>
        </w:rPr>
        <w:tab/>
      </w:r>
      <w:r w:rsidRPr="0037206B">
        <w:rPr>
          <w:rFonts w:ascii="Times New Roman" w:cs="David"/>
          <w:spacing w:val="-1"/>
          <w:sz w:val="24"/>
          <w:szCs w:val="24"/>
          <w:lang w:bidi="ar-SA"/>
        </w:rPr>
        <w:tab/>
      </w:r>
      <w:r w:rsidRPr="0037206B">
        <w:rPr>
          <w:rFonts w:cs="David"/>
          <w:spacing w:val="-1"/>
          <w:sz w:val="24"/>
          <w:szCs w:val="24"/>
        </w:rPr>
        <w:t>17.11.97</w:t>
      </w:r>
    </w:p>
    <w:p w:rsidR="00F17E4D" w:rsidRPr="0037206B" w:rsidRDefault="00F17E4D">
      <w:pPr>
        <w:spacing w:before="7"/>
        <w:rPr>
          <w:rFonts w:ascii="David" w:hAnsi="David" w:cs="David"/>
          <w:sz w:val="24"/>
          <w:szCs w:val="24"/>
          <w:lang w:bidi="he-IL"/>
        </w:rPr>
      </w:pPr>
    </w:p>
    <w:p w:rsidR="00F17E4D" w:rsidRPr="0037206B" w:rsidRDefault="00F17E4D" w:rsidP="005B199A">
      <w:pPr>
        <w:pStyle w:val="2"/>
        <w:bidi/>
        <w:ind w:left="3939" w:hanging="3989"/>
        <w:jc w:val="center"/>
        <w:rPr>
          <w:rFonts w:cs="David"/>
          <w:sz w:val="24"/>
          <w:szCs w:val="24"/>
          <w:u w:val="single"/>
          <w:rtl/>
        </w:rPr>
      </w:pPr>
      <w:r w:rsidRPr="0037206B">
        <w:rPr>
          <w:rFonts w:cs="David" w:hint="cs"/>
          <w:sz w:val="24"/>
          <w:szCs w:val="24"/>
          <w:u w:val="single"/>
          <w:rtl/>
        </w:rPr>
        <w:t>ההתפתחות</w:t>
      </w:r>
      <w:r w:rsidRPr="0037206B">
        <w:rPr>
          <w:rFonts w:cs="David"/>
          <w:spacing w:val="6"/>
          <w:sz w:val="24"/>
          <w:szCs w:val="24"/>
          <w:u w:val="single"/>
        </w:rPr>
        <w:t xml:space="preserve"> </w:t>
      </w:r>
      <w:r w:rsidRPr="0037206B">
        <w:rPr>
          <w:rFonts w:cs="David"/>
          <w:sz w:val="24"/>
          <w:szCs w:val="24"/>
          <w:u w:val="single"/>
        </w:rPr>
        <w:t xml:space="preserve"> </w:t>
      </w:r>
      <w:r w:rsidRPr="0037206B">
        <w:rPr>
          <w:rFonts w:cs="David" w:hint="cs"/>
          <w:sz w:val="24"/>
          <w:szCs w:val="24"/>
          <w:u w:val="single"/>
          <w:rtl/>
        </w:rPr>
        <w:t>של</w:t>
      </w:r>
      <w:r w:rsidRPr="0037206B">
        <w:rPr>
          <w:rFonts w:cs="David"/>
          <w:sz w:val="24"/>
          <w:szCs w:val="24"/>
          <w:u w:val="single"/>
        </w:rPr>
        <w:t xml:space="preserve"> </w:t>
      </w:r>
      <w:r w:rsidRPr="0037206B">
        <w:rPr>
          <w:rFonts w:cs="David" w:hint="cs"/>
          <w:sz w:val="24"/>
          <w:szCs w:val="24"/>
          <w:u w:val="single"/>
          <w:rtl/>
        </w:rPr>
        <w:t>האשראי</w:t>
      </w:r>
      <w:r w:rsidRPr="0037206B">
        <w:rPr>
          <w:rFonts w:cs="David"/>
          <w:sz w:val="24"/>
          <w:szCs w:val="24"/>
          <w:u w:val="single"/>
        </w:rPr>
        <w:t xml:space="preserve"> </w:t>
      </w:r>
      <w:r w:rsidRPr="0037206B">
        <w:rPr>
          <w:rFonts w:cs="David" w:hint="cs"/>
          <w:sz w:val="24"/>
          <w:szCs w:val="24"/>
          <w:u w:val="single"/>
          <w:rtl/>
        </w:rPr>
        <w:t>במט</w:t>
      </w:r>
      <w:r w:rsidRPr="0037206B">
        <w:rPr>
          <w:rFonts w:cs="David"/>
          <w:sz w:val="24"/>
          <w:szCs w:val="24"/>
          <w:u w:val="single"/>
        </w:rPr>
        <w:t>"</w:t>
      </w:r>
      <w:r w:rsidRPr="0037206B">
        <w:rPr>
          <w:rFonts w:cs="David" w:hint="cs"/>
          <w:sz w:val="24"/>
          <w:szCs w:val="24"/>
          <w:u w:val="single"/>
          <w:rtl/>
        </w:rPr>
        <w:t>ח</w:t>
      </w:r>
    </w:p>
    <w:p w:rsidR="00F17E4D" w:rsidRPr="0037206B" w:rsidRDefault="00F17E4D" w:rsidP="005B199A">
      <w:pPr>
        <w:pStyle w:val="2"/>
        <w:bidi/>
        <w:ind w:left="3939" w:hanging="3989"/>
        <w:jc w:val="center"/>
        <w:rPr>
          <w:rFonts w:cs="David"/>
          <w:sz w:val="24"/>
          <w:szCs w:val="24"/>
          <w:u w:val="single"/>
          <w:rtl/>
        </w:rPr>
      </w:pPr>
    </w:p>
    <w:p w:rsidR="00F17E4D" w:rsidRPr="0037206B" w:rsidRDefault="00F17E4D" w:rsidP="005B199A">
      <w:pPr>
        <w:pStyle w:val="2"/>
        <w:bidi/>
        <w:ind w:left="3939" w:hanging="3989"/>
        <w:rPr>
          <w:rFonts w:cs="David"/>
          <w:b w:val="0"/>
          <w:bCs w:val="0"/>
          <w:sz w:val="24"/>
          <w:szCs w:val="24"/>
          <w:rtl/>
        </w:rPr>
      </w:pPr>
    </w:p>
    <w:p w:rsidR="00F17E4D" w:rsidRPr="0037206B" w:rsidRDefault="00F17E4D" w:rsidP="0037206B">
      <w:pPr>
        <w:pStyle w:val="2"/>
        <w:bidi/>
        <w:ind w:left="37"/>
        <w:rPr>
          <w:rFonts w:cs="David"/>
          <w:sz w:val="24"/>
          <w:szCs w:val="24"/>
          <w:rtl/>
        </w:rPr>
      </w:pPr>
      <w:r w:rsidRPr="0037206B">
        <w:rPr>
          <w:rFonts w:cs="David" w:hint="cs"/>
          <w:sz w:val="24"/>
          <w:szCs w:val="24"/>
          <w:rtl/>
        </w:rPr>
        <w:t>במחצית</w:t>
      </w:r>
      <w:r w:rsidRPr="0037206B">
        <w:rPr>
          <w:rFonts w:cs="David"/>
          <w:sz w:val="24"/>
          <w:szCs w:val="24"/>
          <w:rtl/>
        </w:rPr>
        <w:t xml:space="preserve"> השנייה של שנת 1997 נעצרה מגמת הגידול במשקל האשראי במט"</w:t>
      </w:r>
      <w:r w:rsidRPr="0037206B">
        <w:rPr>
          <w:rFonts w:cs="David" w:hint="cs"/>
          <w:sz w:val="24"/>
          <w:szCs w:val="24"/>
          <w:rtl/>
        </w:rPr>
        <w:t>ח</w:t>
      </w:r>
      <w:r w:rsidR="0037206B">
        <w:rPr>
          <w:rFonts w:cs="David"/>
          <w:sz w:val="24"/>
          <w:szCs w:val="24"/>
          <w:rtl/>
        </w:rPr>
        <w:t xml:space="preserve"> בתיק האשראי הכולל, שהחלה</w:t>
      </w:r>
      <w:r w:rsidR="0037206B">
        <w:rPr>
          <w:rFonts w:cs="David" w:hint="cs"/>
          <w:sz w:val="24"/>
          <w:szCs w:val="24"/>
          <w:rtl/>
        </w:rPr>
        <w:t xml:space="preserve"> </w:t>
      </w:r>
      <w:r w:rsidRPr="0037206B">
        <w:rPr>
          <w:rFonts w:cs="David"/>
          <w:sz w:val="24"/>
          <w:szCs w:val="24"/>
          <w:rtl/>
        </w:rPr>
        <w:t>בשנת 1995.</w:t>
      </w:r>
    </w:p>
    <w:p w:rsidR="00F17E4D" w:rsidRPr="0037206B" w:rsidRDefault="00F17E4D" w:rsidP="005B199A">
      <w:pPr>
        <w:pStyle w:val="2"/>
        <w:bidi/>
        <w:ind w:left="3939" w:hanging="3989"/>
        <w:rPr>
          <w:rFonts w:cs="David"/>
          <w:sz w:val="24"/>
          <w:szCs w:val="24"/>
          <w:rtl/>
        </w:rPr>
      </w:pPr>
    </w:p>
    <w:p w:rsidR="00F17E4D" w:rsidRPr="0037206B" w:rsidRDefault="00F17E4D" w:rsidP="005B199A">
      <w:pPr>
        <w:pStyle w:val="2"/>
        <w:bidi/>
        <w:ind w:left="-50"/>
        <w:rPr>
          <w:rFonts w:cs="David"/>
          <w:sz w:val="24"/>
          <w:szCs w:val="24"/>
          <w:rtl/>
        </w:rPr>
      </w:pPr>
      <w:r w:rsidRPr="0037206B">
        <w:rPr>
          <w:rFonts w:cs="David" w:hint="cs"/>
          <w:sz w:val="24"/>
          <w:szCs w:val="24"/>
          <w:rtl/>
        </w:rPr>
        <w:t>העצירה</w:t>
      </w:r>
      <w:r w:rsidRPr="0037206B">
        <w:rPr>
          <w:rFonts w:cs="David"/>
          <w:sz w:val="24"/>
          <w:szCs w:val="24"/>
          <w:rtl/>
        </w:rPr>
        <w:t xml:space="preserve"> בגידול האשראי במט"</w:t>
      </w:r>
      <w:r w:rsidRPr="0037206B">
        <w:rPr>
          <w:rFonts w:cs="David" w:hint="cs"/>
          <w:sz w:val="24"/>
          <w:szCs w:val="24"/>
          <w:rtl/>
        </w:rPr>
        <w:t>ח</w:t>
      </w:r>
      <w:r w:rsidRPr="0037206B">
        <w:rPr>
          <w:rFonts w:cs="David"/>
          <w:sz w:val="24"/>
          <w:szCs w:val="24"/>
          <w:rtl/>
        </w:rPr>
        <w:t xml:space="preserve"> חלה על רקע הצמצום בפער בין הריבית המקומית לריבית הבינלאומית במהלך השנה והעלייה בהערכת סיכון שער החליפין, מאז הרביע השני של 1997.</w:t>
      </w:r>
    </w:p>
    <w:p w:rsidR="00F17E4D" w:rsidRPr="0037206B" w:rsidRDefault="00F17E4D" w:rsidP="005B199A">
      <w:pPr>
        <w:pStyle w:val="2"/>
        <w:bidi/>
        <w:ind w:left="-50"/>
        <w:rPr>
          <w:rFonts w:cs="David"/>
          <w:sz w:val="24"/>
          <w:szCs w:val="24"/>
          <w:rtl/>
        </w:rPr>
      </w:pPr>
    </w:p>
    <w:p w:rsidR="00F17E4D" w:rsidRPr="0037206B" w:rsidRDefault="00F17E4D" w:rsidP="005B199A">
      <w:pPr>
        <w:pStyle w:val="2"/>
        <w:bidi/>
        <w:ind w:left="-50"/>
        <w:rPr>
          <w:rFonts w:cs="David"/>
          <w:sz w:val="24"/>
          <w:szCs w:val="24"/>
          <w:rtl/>
        </w:rPr>
      </w:pPr>
      <w:r w:rsidRPr="0037206B">
        <w:rPr>
          <w:rFonts w:cs="David" w:hint="cs"/>
          <w:sz w:val="24"/>
          <w:szCs w:val="24"/>
          <w:rtl/>
        </w:rPr>
        <w:t>העלייה</w:t>
      </w:r>
      <w:r w:rsidRPr="0037206B">
        <w:rPr>
          <w:rFonts w:cs="David"/>
          <w:sz w:val="24"/>
          <w:szCs w:val="24"/>
          <w:rtl/>
        </w:rPr>
        <w:t xml:space="preserve"> בהערכת סיכון שער החליפין, מאז הרביע השני של השנה, חלה עקב הגידול במשקל האשראי במט"</w:t>
      </w:r>
      <w:r w:rsidRPr="0037206B">
        <w:rPr>
          <w:rFonts w:cs="David" w:hint="cs"/>
          <w:sz w:val="24"/>
          <w:szCs w:val="24"/>
          <w:rtl/>
        </w:rPr>
        <w:t>ח</w:t>
      </w:r>
      <w:r w:rsidRPr="0037206B">
        <w:rPr>
          <w:rFonts w:cs="David"/>
          <w:sz w:val="24"/>
          <w:szCs w:val="24"/>
          <w:rtl/>
        </w:rPr>
        <w:t xml:space="preserve"> בתיק האשראי הכולל, העלייה בתנודתיות בין שערי המטבעות, הרחבת רצועת הניוד של שער החליפין והפיחותים הגדולים במטבעות של מספר מדינות באסיה.</w:t>
      </w:r>
    </w:p>
    <w:p w:rsidR="00F17E4D" w:rsidRPr="0037206B" w:rsidRDefault="00F17E4D" w:rsidP="005B199A">
      <w:pPr>
        <w:pStyle w:val="2"/>
        <w:bidi/>
        <w:ind w:left="-50"/>
        <w:rPr>
          <w:rFonts w:cs="David"/>
          <w:sz w:val="24"/>
          <w:szCs w:val="24"/>
          <w:rtl/>
        </w:rPr>
      </w:pPr>
    </w:p>
    <w:p w:rsidR="00F17E4D" w:rsidRPr="0037206B" w:rsidRDefault="00F17E4D" w:rsidP="005B199A">
      <w:pPr>
        <w:pStyle w:val="2"/>
        <w:bidi/>
        <w:ind w:left="-50"/>
        <w:rPr>
          <w:rFonts w:cs="David"/>
          <w:b w:val="0"/>
          <w:bCs w:val="0"/>
          <w:sz w:val="24"/>
          <w:szCs w:val="24"/>
          <w:rtl/>
        </w:rPr>
      </w:pPr>
      <w:r w:rsidRPr="0037206B">
        <w:rPr>
          <w:rFonts w:cs="David" w:hint="cs"/>
          <w:b w:val="0"/>
          <w:bCs w:val="0"/>
          <w:sz w:val="24"/>
          <w:szCs w:val="24"/>
          <w:rtl/>
        </w:rPr>
        <w:t>מהמחלקה</w:t>
      </w:r>
      <w:r w:rsidRPr="0037206B">
        <w:rPr>
          <w:rFonts w:cs="David"/>
          <w:b w:val="0"/>
          <w:bCs w:val="0"/>
          <w:sz w:val="24"/>
          <w:szCs w:val="24"/>
          <w:rtl/>
        </w:rPr>
        <w:t xml:space="preserve"> המוניטארית בבנק ישראל נמסר, כי במחצית השנייה של השנה נבלמה מגמת הגידול במשקל האשראי במטבע חוץ בתיק האשראי הכולל לציבור, מגמה שהחלה ב – 1995 ואשר הואצה במחצית הראשונה של 1997.</w:t>
      </w:r>
    </w:p>
    <w:p w:rsidR="00F17E4D" w:rsidRPr="0037206B" w:rsidRDefault="00F17E4D" w:rsidP="005B199A">
      <w:pPr>
        <w:pStyle w:val="2"/>
        <w:bidi/>
        <w:ind w:left="-50"/>
        <w:rPr>
          <w:rFonts w:cs="David"/>
          <w:b w:val="0"/>
          <w:bCs w:val="0"/>
          <w:sz w:val="24"/>
          <w:szCs w:val="24"/>
          <w:rtl/>
        </w:rPr>
      </w:pPr>
    </w:p>
    <w:p w:rsidR="00F17E4D" w:rsidRPr="0037206B" w:rsidRDefault="00F17E4D" w:rsidP="005B199A">
      <w:pPr>
        <w:pStyle w:val="2"/>
        <w:bidi/>
        <w:ind w:left="-50"/>
        <w:rPr>
          <w:rFonts w:cs="David"/>
          <w:b w:val="0"/>
          <w:bCs w:val="0"/>
          <w:sz w:val="24"/>
          <w:szCs w:val="24"/>
          <w:rtl/>
        </w:rPr>
      </w:pPr>
      <w:r w:rsidRPr="0037206B">
        <w:rPr>
          <w:rFonts w:cs="David" w:hint="cs"/>
          <w:b w:val="0"/>
          <w:bCs w:val="0"/>
          <w:sz w:val="24"/>
          <w:szCs w:val="24"/>
          <w:rtl/>
        </w:rPr>
        <w:t>מתחילת</w:t>
      </w:r>
      <w:r w:rsidRPr="0037206B">
        <w:rPr>
          <w:rFonts w:cs="David"/>
          <w:b w:val="0"/>
          <w:bCs w:val="0"/>
          <w:sz w:val="24"/>
          <w:szCs w:val="24"/>
          <w:rtl/>
        </w:rPr>
        <w:t xml:space="preserve"> שנת 1995 ועד אמצע שנת 1997 גדל בהתמדה האשראי במטבע חוץ והצמוד לו, וחלקו בסך תיק האשראי לציבור הגיע ביוני השנה ל- 35.2%, </w:t>
      </w:r>
      <w:r w:rsidRPr="0037206B">
        <w:rPr>
          <w:rFonts w:cs="David" w:hint="cs"/>
          <w:b w:val="0"/>
          <w:bCs w:val="0"/>
          <w:sz w:val="24"/>
          <w:szCs w:val="24"/>
          <w:rtl/>
        </w:rPr>
        <w:t>בהשוואה</w:t>
      </w:r>
      <w:r w:rsidRPr="0037206B">
        <w:rPr>
          <w:rFonts w:cs="David"/>
          <w:b w:val="0"/>
          <w:bCs w:val="0"/>
          <w:sz w:val="24"/>
          <w:szCs w:val="24"/>
          <w:rtl/>
        </w:rPr>
        <w:t xml:space="preserve"> ל- 25% בסוף שנת 1994. </w:t>
      </w:r>
      <w:r w:rsidRPr="0037206B">
        <w:rPr>
          <w:rFonts w:cs="David" w:hint="cs"/>
          <w:b w:val="0"/>
          <w:bCs w:val="0"/>
          <w:sz w:val="24"/>
          <w:szCs w:val="24"/>
          <w:rtl/>
        </w:rPr>
        <w:t>במחצית</w:t>
      </w:r>
      <w:r w:rsidRPr="0037206B">
        <w:rPr>
          <w:rFonts w:cs="David"/>
          <w:b w:val="0"/>
          <w:bCs w:val="0"/>
          <w:sz w:val="24"/>
          <w:szCs w:val="24"/>
          <w:rtl/>
        </w:rPr>
        <w:t xml:space="preserve"> השנייה של שנת 1997 מגמה זו נעצרה, ומשקל האשראי במט"</w:t>
      </w:r>
      <w:r w:rsidRPr="0037206B">
        <w:rPr>
          <w:rFonts w:cs="David" w:hint="cs"/>
          <w:b w:val="0"/>
          <w:bCs w:val="0"/>
          <w:sz w:val="24"/>
          <w:szCs w:val="24"/>
          <w:rtl/>
        </w:rPr>
        <w:t>ח</w:t>
      </w:r>
      <w:r w:rsidRPr="0037206B">
        <w:rPr>
          <w:rFonts w:cs="David"/>
          <w:b w:val="0"/>
          <w:bCs w:val="0"/>
          <w:sz w:val="24"/>
          <w:szCs w:val="24"/>
          <w:rtl/>
        </w:rPr>
        <w:t xml:space="preserve"> והצמוד לו בסך תיק האשראי התייצב ושיעורו נע סביב 35%. </w:t>
      </w:r>
      <w:r w:rsidRPr="0037206B">
        <w:rPr>
          <w:rFonts w:cs="David" w:hint="cs"/>
          <w:b w:val="0"/>
          <w:bCs w:val="0"/>
          <w:sz w:val="24"/>
          <w:szCs w:val="24"/>
          <w:rtl/>
        </w:rPr>
        <w:t>הגידול</w:t>
      </w:r>
      <w:r w:rsidRPr="0037206B">
        <w:rPr>
          <w:rFonts w:cs="David"/>
          <w:b w:val="0"/>
          <w:bCs w:val="0"/>
          <w:sz w:val="24"/>
          <w:szCs w:val="24"/>
          <w:rtl/>
        </w:rPr>
        <w:t xml:space="preserve"> בחלקו של האשראי במט"</w:t>
      </w:r>
      <w:r w:rsidRPr="0037206B">
        <w:rPr>
          <w:rFonts w:cs="David" w:hint="cs"/>
          <w:b w:val="0"/>
          <w:bCs w:val="0"/>
          <w:sz w:val="24"/>
          <w:szCs w:val="24"/>
          <w:rtl/>
        </w:rPr>
        <w:t>ח</w:t>
      </w:r>
      <w:r w:rsidRPr="0037206B">
        <w:rPr>
          <w:rFonts w:cs="David"/>
          <w:b w:val="0"/>
          <w:bCs w:val="0"/>
          <w:sz w:val="24"/>
          <w:szCs w:val="24"/>
          <w:rtl/>
        </w:rPr>
        <w:t xml:space="preserve"> והצמוד לו בסך תיק האשראי מתחילת 1995 ועד יוני 1997 חל במקביל לירידה במשקלו של האשראי הלא - צמוד, בעוד שחלקו של האשראי הצמוד למדד המחירים לצרכן נשאר יציב, ברמה של כ- 35% לאורך התקופה. כזכור, תיק האשראי לציבור כולל אשראי שמקורו במערכת הבנקאות המקומית ואשראי ישיר מחו"</w:t>
      </w:r>
      <w:r w:rsidRPr="0037206B">
        <w:rPr>
          <w:rFonts w:cs="David" w:hint="cs"/>
          <w:b w:val="0"/>
          <w:bCs w:val="0"/>
          <w:sz w:val="24"/>
          <w:szCs w:val="24"/>
          <w:rtl/>
        </w:rPr>
        <w:t>ל</w:t>
      </w:r>
      <w:r w:rsidRPr="0037206B">
        <w:rPr>
          <w:rFonts w:cs="David"/>
          <w:b w:val="0"/>
          <w:bCs w:val="0"/>
          <w:sz w:val="24"/>
          <w:szCs w:val="24"/>
          <w:rtl/>
        </w:rPr>
        <w:t xml:space="preserve">, ו,הוא מורכב משלושה רכיבים על פי סוגי ההצמדה: אשראי בשקלים לא - צמודים, אשראי צמוד למדד המחירים לצרכן, </w:t>
      </w:r>
      <w:r w:rsidRPr="0037206B">
        <w:rPr>
          <w:rFonts w:cs="David" w:hint="cs"/>
          <w:b w:val="0"/>
          <w:bCs w:val="0"/>
          <w:sz w:val="24"/>
          <w:szCs w:val="24"/>
          <w:rtl/>
        </w:rPr>
        <w:t>ואשראי</w:t>
      </w:r>
      <w:r w:rsidRPr="0037206B">
        <w:rPr>
          <w:rFonts w:cs="David"/>
          <w:b w:val="0"/>
          <w:bCs w:val="0"/>
          <w:sz w:val="24"/>
          <w:szCs w:val="24"/>
          <w:rtl/>
        </w:rPr>
        <w:t xml:space="preserve"> נקוב במטבע חוץ וצמוד לו.</w:t>
      </w:r>
    </w:p>
    <w:p w:rsidR="00F17E4D" w:rsidRPr="0037206B" w:rsidRDefault="00F17E4D" w:rsidP="00810AA4">
      <w:pPr>
        <w:pStyle w:val="2"/>
        <w:bidi/>
        <w:ind w:left="-50"/>
        <w:rPr>
          <w:rFonts w:cs="David"/>
          <w:b w:val="0"/>
          <w:bCs w:val="0"/>
          <w:sz w:val="24"/>
          <w:szCs w:val="24"/>
          <w:rtl/>
        </w:rPr>
      </w:pPr>
    </w:p>
    <w:p w:rsidR="00F17E4D" w:rsidRPr="0037206B" w:rsidRDefault="00F17E4D" w:rsidP="00D2287E">
      <w:pPr>
        <w:pStyle w:val="2"/>
        <w:bidi/>
        <w:ind w:left="-50"/>
        <w:rPr>
          <w:rFonts w:cs="David"/>
          <w:b w:val="0"/>
          <w:bCs w:val="0"/>
          <w:sz w:val="24"/>
          <w:szCs w:val="24"/>
          <w:rtl/>
        </w:rPr>
      </w:pPr>
      <w:r w:rsidRPr="0037206B">
        <w:rPr>
          <w:rFonts w:cs="David" w:hint="cs"/>
          <w:b w:val="0"/>
          <w:bCs w:val="0"/>
          <w:sz w:val="24"/>
          <w:szCs w:val="24"/>
          <w:rtl/>
        </w:rPr>
        <w:t>במחלקה</w:t>
      </w:r>
      <w:r w:rsidRPr="0037206B">
        <w:rPr>
          <w:rFonts w:cs="David"/>
          <w:b w:val="0"/>
          <w:bCs w:val="0"/>
          <w:sz w:val="24"/>
          <w:szCs w:val="24"/>
          <w:rtl/>
        </w:rPr>
        <w:t xml:space="preserve"> המוניטארית מציינים, כי עצירת הגידול במשקל האשראי במט"</w:t>
      </w:r>
      <w:r w:rsidRPr="0037206B">
        <w:rPr>
          <w:rFonts w:cs="David" w:hint="cs"/>
          <w:b w:val="0"/>
          <w:bCs w:val="0"/>
          <w:sz w:val="24"/>
          <w:szCs w:val="24"/>
          <w:rtl/>
        </w:rPr>
        <w:t>ח</w:t>
      </w:r>
      <w:r w:rsidRPr="0037206B">
        <w:rPr>
          <w:rFonts w:cs="David"/>
          <w:b w:val="0"/>
          <w:bCs w:val="0"/>
          <w:sz w:val="24"/>
          <w:szCs w:val="24"/>
          <w:rtl/>
        </w:rPr>
        <w:t xml:space="preserve"> מוסברת ע"</w:t>
      </w:r>
      <w:r w:rsidRPr="0037206B">
        <w:rPr>
          <w:rFonts w:cs="David" w:hint="cs"/>
          <w:b w:val="0"/>
          <w:bCs w:val="0"/>
          <w:sz w:val="24"/>
          <w:szCs w:val="24"/>
          <w:rtl/>
        </w:rPr>
        <w:t>י</w:t>
      </w:r>
      <w:r w:rsidRPr="0037206B">
        <w:rPr>
          <w:rFonts w:cs="David"/>
          <w:b w:val="0"/>
          <w:bCs w:val="0"/>
          <w:sz w:val="24"/>
          <w:szCs w:val="24"/>
          <w:rtl/>
        </w:rPr>
        <w:t xml:space="preserve"> מספר התפתחויות. הפער בין הריבית המקומית לריבית הבינלאומית הצ</w:t>
      </w:r>
      <w:r w:rsidRPr="0037206B">
        <w:rPr>
          <w:rFonts w:cs="David" w:hint="cs"/>
          <w:b w:val="0"/>
          <w:bCs w:val="0"/>
          <w:sz w:val="24"/>
          <w:szCs w:val="24"/>
          <w:rtl/>
        </w:rPr>
        <w:t>טמצם</w:t>
      </w:r>
      <w:r w:rsidRPr="0037206B">
        <w:rPr>
          <w:rFonts w:cs="David"/>
          <w:b w:val="0"/>
          <w:bCs w:val="0"/>
          <w:sz w:val="24"/>
          <w:szCs w:val="24"/>
          <w:rtl/>
        </w:rPr>
        <w:t xml:space="preserve"> עקב ההפחתות בריבית שביצע בנק ישראל על מכרזי האשראי שלו לבנקים, מרמה של 15.2% בדצמבר 1996 ל-13.5% ב</w:t>
      </w:r>
      <w:r w:rsidRPr="0037206B">
        <w:rPr>
          <w:rFonts w:cs="David" w:hint="cs"/>
          <w:b w:val="0"/>
          <w:bCs w:val="0"/>
          <w:sz w:val="24"/>
          <w:szCs w:val="24"/>
          <w:rtl/>
        </w:rPr>
        <w:t>יוני</w:t>
      </w:r>
      <w:r w:rsidRPr="0037206B">
        <w:rPr>
          <w:rFonts w:cs="David"/>
          <w:b w:val="0"/>
          <w:bCs w:val="0"/>
          <w:sz w:val="24"/>
          <w:szCs w:val="24"/>
          <w:rtl/>
        </w:rPr>
        <w:t xml:space="preserve"> 1997, על רקע ההתפתחות של סביבת האינפלציה, ביחס לתחום היעד שנקבע ע"</w:t>
      </w:r>
      <w:r w:rsidRPr="0037206B">
        <w:rPr>
          <w:rFonts w:cs="David" w:hint="cs"/>
          <w:b w:val="0"/>
          <w:bCs w:val="0"/>
          <w:sz w:val="24"/>
          <w:szCs w:val="24"/>
          <w:rtl/>
        </w:rPr>
        <w:t>י</w:t>
      </w:r>
      <w:r w:rsidRPr="0037206B">
        <w:rPr>
          <w:rFonts w:cs="David"/>
          <w:b w:val="0"/>
          <w:bCs w:val="0"/>
          <w:sz w:val="24"/>
          <w:szCs w:val="24"/>
          <w:rtl/>
        </w:rPr>
        <w:t xml:space="preserve"> הממשלה. במקביל, גדל הסיכון לגבי ההתפתחות של שער החליפין על רקע הגידול במשקלו של האשראי במט"</w:t>
      </w:r>
      <w:r w:rsidRPr="0037206B">
        <w:rPr>
          <w:rFonts w:cs="David" w:hint="cs"/>
          <w:b w:val="0"/>
          <w:bCs w:val="0"/>
          <w:sz w:val="24"/>
          <w:szCs w:val="24"/>
          <w:rtl/>
        </w:rPr>
        <w:t>ח</w:t>
      </w:r>
      <w:r w:rsidRPr="0037206B">
        <w:rPr>
          <w:rFonts w:cs="David"/>
          <w:b w:val="0"/>
          <w:bCs w:val="0"/>
          <w:sz w:val="24"/>
          <w:szCs w:val="24"/>
          <w:rtl/>
        </w:rPr>
        <w:t xml:space="preserve"> בתיק האשראי הכולל, ו</w:t>
      </w:r>
      <w:r w:rsidRPr="0037206B">
        <w:rPr>
          <w:rFonts w:cs="David" w:hint="cs"/>
          <w:b w:val="0"/>
          <w:bCs w:val="0"/>
          <w:sz w:val="24"/>
          <w:szCs w:val="24"/>
          <w:rtl/>
        </w:rPr>
        <w:t>כן</w:t>
      </w:r>
      <w:r w:rsidRPr="0037206B">
        <w:rPr>
          <w:rFonts w:cs="David"/>
          <w:b w:val="0"/>
          <w:bCs w:val="0"/>
          <w:sz w:val="24"/>
          <w:szCs w:val="24"/>
          <w:rtl/>
        </w:rPr>
        <w:t xml:space="preserve"> מספר אירועים שחלו מ אז הרביע השני של 1997. ראשית, </w:t>
      </w:r>
      <w:r w:rsidRPr="0037206B">
        <w:rPr>
          <w:rFonts w:cs="David" w:hint="cs"/>
          <w:b w:val="0"/>
          <w:bCs w:val="0"/>
          <w:sz w:val="24"/>
          <w:szCs w:val="24"/>
          <w:rtl/>
        </w:rPr>
        <w:t>העלייה</w:t>
      </w:r>
      <w:r w:rsidRPr="0037206B">
        <w:rPr>
          <w:rFonts w:cs="David"/>
          <w:b w:val="0"/>
          <w:bCs w:val="0"/>
          <w:sz w:val="24"/>
          <w:szCs w:val="24"/>
          <w:rtl/>
        </w:rPr>
        <w:t xml:space="preserve"> בתנודתיות בין המטבעות, בעיקר ביין היפני מול הדולר, תרמה מאוד לייקור עלות האשראי במונחי שקלים עבור הלווים במטבע זה והמחישה את הסיכון הכרוך בחשיפה מטבעית. שנית, הרחבת רצועת הניוד של שער החליפין בחודש יוני 1997 אשר תרמה להחלשות השכל בכ- 5% מול הסל במשך תקופה קצרה יחסית,ך הגדילה את אי הוודאות לגבי שיעור הפיחות הצפוי. התנודתיות בשער החליפין ואי - התערבותו של בנק ישראל במסחר במט"</w:t>
      </w:r>
      <w:r w:rsidRPr="0037206B">
        <w:rPr>
          <w:rFonts w:cs="David" w:hint="cs"/>
          <w:b w:val="0"/>
          <w:bCs w:val="0"/>
          <w:sz w:val="24"/>
          <w:szCs w:val="24"/>
          <w:rtl/>
        </w:rPr>
        <w:t>ח</w:t>
      </w:r>
      <w:r w:rsidRPr="0037206B">
        <w:rPr>
          <w:rFonts w:cs="David"/>
          <w:b w:val="0"/>
          <w:bCs w:val="0"/>
          <w:sz w:val="24"/>
          <w:szCs w:val="24"/>
          <w:rtl/>
        </w:rPr>
        <w:t>, מאז הרחבת הרצועה, המחישו ללווים את הסיכון לגבי שער החליפין היא האירועים הכלכליים שחלו במספר מדינות אסיה מאז יולי 1997, אשר התבטאו, בין השאר, בפיחותים גדולים של המטבעות המקומיים מול המטבעות האחרים, גם מדינות אלו התאפיינו בגידול באשראי במט"</w:t>
      </w:r>
      <w:r w:rsidRPr="0037206B">
        <w:rPr>
          <w:rFonts w:cs="David" w:hint="cs"/>
          <w:b w:val="0"/>
          <w:bCs w:val="0"/>
          <w:sz w:val="24"/>
          <w:szCs w:val="24"/>
          <w:rtl/>
        </w:rPr>
        <w:t>ח</w:t>
      </w:r>
      <w:r w:rsidRPr="0037206B">
        <w:rPr>
          <w:rFonts w:cs="David"/>
          <w:b w:val="0"/>
          <w:bCs w:val="0"/>
          <w:sz w:val="24"/>
          <w:szCs w:val="24"/>
          <w:rtl/>
        </w:rPr>
        <w:t xml:space="preserve"> עקב יציבותו של שער החליפין עד ערב המשבר. אירועים עולמיים מעין אלה ממחישים את הסיכון הנובע מחשיפה מטב</w:t>
      </w:r>
      <w:r w:rsidRPr="0037206B">
        <w:rPr>
          <w:rFonts w:cs="David" w:hint="cs"/>
          <w:b w:val="0"/>
          <w:bCs w:val="0"/>
          <w:sz w:val="24"/>
          <w:szCs w:val="24"/>
          <w:rtl/>
        </w:rPr>
        <w:t>עית</w:t>
      </w:r>
      <w:r w:rsidRPr="0037206B">
        <w:rPr>
          <w:rFonts w:cs="David"/>
          <w:b w:val="0"/>
          <w:bCs w:val="0"/>
          <w:sz w:val="24"/>
          <w:szCs w:val="24"/>
          <w:rtl/>
        </w:rPr>
        <w:t xml:space="preserve"> ומגדילים את הזהירות הן בקרב הלווים והן בקרב הבנקים המלווים.</w:t>
      </w:r>
    </w:p>
    <w:p w:rsidR="00F17E4D" w:rsidRPr="0037206B" w:rsidRDefault="00F17E4D" w:rsidP="007317C8">
      <w:pPr>
        <w:pStyle w:val="2"/>
        <w:bidi/>
        <w:ind w:left="-50"/>
        <w:rPr>
          <w:rFonts w:cs="David"/>
          <w:b w:val="0"/>
          <w:bCs w:val="0"/>
          <w:sz w:val="24"/>
          <w:szCs w:val="24"/>
          <w:rtl/>
        </w:rPr>
      </w:pPr>
    </w:p>
    <w:p w:rsidR="00F17E4D" w:rsidRPr="0037206B" w:rsidRDefault="00F17E4D" w:rsidP="007317C8">
      <w:pPr>
        <w:pStyle w:val="2"/>
        <w:bidi/>
        <w:ind w:left="-50"/>
        <w:rPr>
          <w:rFonts w:cs="David"/>
          <w:b w:val="0"/>
          <w:bCs w:val="0"/>
          <w:sz w:val="24"/>
          <w:szCs w:val="24"/>
          <w:rtl/>
        </w:rPr>
      </w:pPr>
      <w:r w:rsidRPr="0037206B">
        <w:rPr>
          <w:rFonts w:cs="David" w:hint="cs"/>
          <w:b w:val="0"/>
          <w:bCs w:val="0"/>
          <w:sz w:val="24"/>
          <w:szCs w:val="24"/>
          <w:rtl/>
        </w:rPr>
        <w:t>במחלקה</w:t>
      </w:r>
      <w:r w:rsidRPr="0037206B">
        <w:rPr>
          <w:rFonts w:cs="David"/>
          <w:b w:val="0"/>
          <w:bCs w:val="0"/>
          <w:sz w:val="24"/>
          <w:szCs w:val="24"/>
          <w:rtl/>
        </w:rPr>
        <w:t xml:space="preserve"> המוניטארית מבהירים, כי בלימת הגידול באשראי במט"</w:t>
      </w:r>
      <w:r w:rsidRPr="0037206B">
        <w:rPr>
          <w:rFonts w:cs="David" w:hint="cs"/>
          <w:b w:val="0"/>
          <w:bCs w:val="0"/>
          <w:sz w:val="24"/>
          <w:szCs w:val="24"/>
          <w:rtl/>
        </w:rPr>
        <w:t>ח</w:t>
      </w:r>
      <w:r w:rsidRPr="0037206B">
        <w:rPr>
          <w:rFonts w:cs="David"/>
          <w:b w:val="0"/>
          <w:bCs w:val="0"/>
          <w:sz w:val="24"/>
          <w:szCs w:val="24"/>
          <w:rtl/>
        </w:rPr>
        <w:t xml:space="preserve"> בשלב זה לא לוותה בהחזר אשראי בהיקף משמעותי, למרות הירידה בפער הריביות והגידול בסיכון לחשיפה מטבעית. התנהגות כזו משקפת זהירות מצד הלווים לגבי לקיחת אשראי במט"</w:t>
      </w:r>
      <w:r w:rsidRPr="0037206B">
        <w:rPr>
          <w:rFonts w:cs="David" w:hint="cs"/>
          <w:b w:val="0"/>
          <w:bCs w:val="0"/>
          <w:sz w:val="24"/>
          <w:szCs w:val="24"/>
          <w:rtl/>
        </w:rPr>
        <w:t>ח</w:t>
      </w:r>
      <w:r w:rsidRPr="0037206B">
        <w:rPr>
          <w:rFonts w:cs="David"/>
          <w:b w:val="0"/>
          <w:bCs w:val="0"/>
          <w:sz w:val="24"/>
          <w:szCs w:val="24"/>
          <w:rtl/>
        </w:rPr>
        <w:t xml:space="preserve"> ואי ודאות באשר להתפתחות העתידה לבוא בתחום שער החליפין.</w:t>
      </w:r>
    </w:p>
    <w:p w:rsidR="00F17E4D" w:rsidRPr="0037206B" w:rsidRDefault="00F17E4D" w:rsidP="007317C8">
      <w:pPr>
        <w:pStyle w:val="2"/>
        <w:bidi/>
        <w:ind w:left="-50"/>
        <w:rPr>
          <w:rFonts w:cs="David"/>
          <w:b w:val="0"/>
          <w:bCs w:val="0"/>
          <w:sz w:val="24"/>
          <w:szCs w:val="24"/>
          <w:rtl/>
        </w:rPr>
      </w:pPr>
    </w:p>
    <w:p w:rsidR="00F17E4D" w:rsidRPr="0037206B" w:rsidRDefault="00F17E4D" w:rsidP="007317C8">
      <w:pPr>
        <w:pStyle w:val="2"/>
        <w:bidi/>
        <w:ind w:left="-50"/>
        <w:rPr>
          <w:rFonts w:cs="David"/>
          <w:b w:val="0"/>
          <w:bCs w:val="0"/>
          <w:sz w:val="24"/>
          <w:szCs w:val="24"/>
          <w:rtl/>
        </w:rPr>
      </w:pPr>
      <w:r w:rsidRPr="0037206B">
        <w:rPr>
          <w:rFonts w:cs="David" w:hint="cs"/>
          <w:b w:val="0"/>
          <w:bCs w:val="0"/>
          <w:sz w:val="24"/>
          <w:szCs w:val="24"/>
          <w:rtl/>
        </w:rPr>
        <w:t>במחלקה</w:t>
      </w:r>
      <w:r w:rsidRPr="0037206B">
        <w:rPr>
          <w:rFonts w:cs="David"/>
          <w:b w:val="0"/>
          <w:bCs w:val="0"/>
          <w:sz w:val="24"/>
          <w:szCs w:val="24"/>
          <w:rtl/>
        </w:rPr>
        <w:t xml:space="preserve"> המוניטארית מסבירים, כי השיקולים העיקריים המנחים את הציבור בהעדפתו סוג האשראי מסוים הם עלותו הצפויה והסיכון שעלות זו תשתנה. עלות </w:t>
      </w:r>
      <w:r w:rsidRPr="0037206B">
        <w:rPr>
          <w:rFonts w:cs="David" w:hint="cs"/>
          <w:b w:val="0"/>
          <w:bCs w:val="0"/>
          <w:sz w:val="24"/>
          <w:szCs w:val="24"/>
          <w:rtl/>
        </w:rPr>
        <w:t>האשראי</w:t>
      </w:r>
      <w:r w:rsidRPr="0037206B">
        <w:rPr>
          <w:rFonts w:cs="David"/>
          <w:b w:val="0"/>
          <w:bCs w:val="0"/>
          <w:sz w:val="24"/>
          <w:szCs w:val="24"/>
          <w:rtl/>
        </w:rPr>
        <w:t xml:space="preserve"> הצפויה בעיני הלווה מודרת כשיעור הריבית הנומינלית הצפוי במונחי שקלים עבור סוג האשראי הרלוונטי. הסיכון ללווה נובע מהאפשרות שעלות זו תשתנה, הן בשל שינויים בריבית, אך בעיקר בשל שינויים בשער החליפין או בקצב  האינפלציה. הכדאיות בעיני הלווה לבחור בסוג אשראי מסוים גדלה ככל שעלותו צפויה להיות נמוכה יותר, וככל שהסיכון נמוך יותר, בהשוואה לסוגי האשר</w:t>
      </w:r>
      <w:r w:rsidRPr="0037206B">
        <w:rPr>
          <w:rFonts w:cs="David" w:hint="cs"/>
          <w:b w:val="0"/>
          <w:bCs w:val="0"/>
          <w:sz w:val="24"/>
          <w:szCs w:val="24"/>
          <w:rtl/>
        </w:rPr>
        <w:t>אי</w:t>
      </w:r>
      <w:r w:rsidRPr="0037206B">
        <w:rPr>
          <w:rFonts w:cs="David"/>
          <w:b w:val="0"/>
          <w:bCs w:val="0"/>
          <w:sz w:val="24"/>
          <w:szCs w:val="24"/>
          <w:rtl/>
        </w:rPr>
        <w:t xml:space="preserve"> האחרים.</w:t>
      </w:r>
    </w:p>
    <w:p w:rsidR="00F17E4D" w:rsidRPr="0037206B" w:rsidRDefault="00F17E4D" w:rsidP="00006961">
      <w:pPr>
        <w:pStyle w:val="2"/>
        <w:bidi/>
        <w:ind w:left="-50"/>
        <w:rPr>
          <w:rFonts w:cs="David"/>
          <w:b w:val="0"/>
          <w:bCs w:val="0"/>
          <w:sz w:val="24"/>
          <w:szCs w:val="24"/>
          <w:rtl/>
        </w:rPr>
      </w:pPr>
    </w:p>
    <w:p w:rsidR="00F17E4D" w:rsidRDefault="00F17E4D" w:rsidP="00006961">
      <w:pPr>
        <w:pStyle w:val="2"/>
        <w:bidi/>
        <w:ind w:left="-50"/>
        <w:rPr>
          <w:rFonts w:cs="David"/>
          <w:b w:val="0"/>
          <w:bCs w:val="0"/>
          <w:sz w:val="24"/>
          <w:szCs w:val="24"/>
          <w:rtl/>
        </w:rPr>
      </w:pPr>
      <w:r w:rsidRPr="0037206B">
        <w:rPr>
          <w:rFonts w:cs="David" w:hint="cs"/>
          <w:b w:val="0"/>
          <w:bCs w:val="0"/>
          <w:sz w:val="24"/>
          <w:szCs w:val="24"/>
          <w:rtl/>
        </w:rPr>
        <w:t>העלות</w:t>
      </w:r>
      <w:r w:rsidRPr="0037206B">
        <w:rPr>
          <w:rFonts w:cs="David"/>
          <w:b w:val="0"/>
          <w:bCs w:val="0"/>
          <w:sz w:val="24"/>
          <w:szCs w:val="24"/>
          <w:rtl/>
        </w:rPr>
        <w:t xml:space="preserve"> של האשראי במט"</w:t>
      </w:r>
      <w:r w:rsidRPr="0037206B">
        <w:rPr>
          <w:rFonts w:cs="David" w:hint="cs"/>
          <w:b w:val="0"/>
          <w:bCs w:val="0"/>
          <w:sz w:val="24"/>
          <w:szCs w:val="24"/>
          <w:rtl/>
        </w:rPr>
        <w:t>ח</w:t>
      </w:r>
      <w:r w:rsidRPr="0037206B">
        <w:rPr>
          <w:rFonts w:cs="David"/>
          <w:b w:val="0"/>
          <w:bCs w:val="0"/>
          <w:sz w:val="24"/>
          <w:szCs w:val="24"/>
          <w:rtl/>
        </w:rPr>
        <w:t>, במונחי שקלים, תלויה בריבית הבינלאומית, שאינה מושפעת מהמדיניות הכלכלית בישראל, ובשיעור הפיחות הצפוי של השקל מול סל המטבעות. מאחר והאינפלציה בישראל גבוהה מאשר בחו"</w:t>
      </w:r>
      <w:r w:rsidRPr="0037206B">
        <w:rPr>
          <w:rFonts w:cs="David" w:hint="cs"/>
          <w:b w:val="0"/>
          <w:bCs w:val="0"/>
          <w:sz w:val="24"/>
          <w:szCs w:val="24"/>
          <w:rtl/>
        </w:rPr>
        <w:t>ל</w:t>
      </w:r>
      <w:r w:rsidRPr="0037206B">
        <w:rPr>
          <w:rFonts w:cs="David"/>
          <w:b w:val="0"/>
          <w:bCs w:val="0"/>
          <w:sz w:val="24"/>
          <w:szCs w:val="24"/>
          <w:rtl/>
        </w:rPr>
        <w:t>, גם הריבית השקלית על האשראי בשקלים גבוהה לעומת הריבית הנקובה במט"</w:t>
      </w:r>
      <w:r w:rsidRPr="0037206B">
        <w:rPr>
          <w:rFonts w:cs="David" w:hint="cs"/>
          <w:b w:val="0"/>
          <w:bCs w:val="0"/>
          <w:sz w:val="24"/>
          <w:szCs w:val="24"/>
          <w:rtl/>
        </w:rPr>
        <w:t>ח</w:t>
      </w:r>
      <w:r w:rsidRPr="0037206B">
        <w:rPr>
          <w:rFonts w:cs="David"/>
          <w:b w:val="0"/>
          <w:bCs w:val="0"/>
          <w:sz w:val="24"/>
          <w:szCs w:val="24"/>
          <w:rtl/>
        </w:rPr>
        <w:t xml:space="preserve"> על האשראי במט"</w:t>
      </w:r>
      <w:r w:rsidRPr="0037206B">
        <w:rPr>
          <w:rFonts w:cs="David" w:hint="cs"/>
          <w:b w:val="0"/>
          <w:bCs w:val="0"/>
          <w:sz w:val="24"/>
          <w:szCs w:val="24"/>
          <w:rtl/>
        </w:rPr>
        <w:t>ח</w:t>
      </w:r>
      <w:r w:rsidRPr="0037206B">
        <w:rPr>
          <w:rFonts w:cs="David"/>
          <w:b w:val="0"/>
          <w:bCs w:val="0"/>
          <w:sz w:val="24"/>
          <w:szCs w:val="24"/>
          <w:rtl/>
        </w:rPr>
        <w:t xml:space="preserve">. לכן, ככל שהפער בין הריבית על האשראי בשקלים לבין הריבית הבינלאומית גבוה יותר, והציפיות של הלווים לפיחות נמוכות יותר, גדלה בעיניהם </w:t>
      </w:r>
      <w:r w:rsidRPr="0037206B">
        <w:rPr>
          <w:rFonts w:cs="David" w:hint="cs"/>
          <w:b w:val="0"/>
          <w:bCs w:val="0"/>
          <w:sz w:val="24"/>
          <w:szCs w:val="24"/>
          <w:rtl/>
        </w:rPr>
        <w:t>הכדאיות</w:t>
      </w:r>
      <w:r w:rsidRPr="0037206B">
        <w:rPr>
          <w:rFonts w:cs="David"/>
          <w:b w:val="0"/>
          <w:bCs w:val="0"/>
          <w:sz w:val="24"/>
          <w:szCs w:val="24"/>
          <w:rtl/>
        </w:rPr>
        <w:t xml:space="preserve"> לקחת אשראי במט"</w:t>
      </w:r>
      <w:r w:rsidRPr="0037206B">
        <w:rPr>
          <w:rFonts w:cs="David" w:hint="cs"/>
          <w:b w:val="0"/>
          <w:bCs w:val="0"/>
          <w:sz w:val="24"/>
          <w:szCs w:val="24"/>
          <w:rtl/>
        </w:rPr>
        <w:t>ח</w:t>
      </w:r>
      <w:r w:rsidRPr="0037206B">
        <w:rPr>
          <w:rFonts w:cs="David"/>
          <w:b w:val="0"/>
          <w:bCs w:val="0"/>
          <w:sz w:val="24"/>
          <w:szCs w:val="24"/>
          <w:rtl/>
        </w:rPr>
        <w:t xml:space="preserve"> על פני אשראי שקלי לא - צמוד. זאת, מאחר ועלותו היחסית צפויה להיות נמוכה יו</w:t>
      </w:r>
      <w:r w:rsidRPr="0037206B">
        <w:rPr>
          <w:rFonts w:cs="David" w:hint="cs"/>
          <w:b w:val="0"/>
          <w:bCs w:val="0"/>
          <w:sz w:val="24"/>
          <w:szCs w:val="24"/>
          <w:rtl/>
        </w:rPr>
        <w:t>תר</w:t>
      </w:r>
      <w:r w:rsidRPr="0037206B">
        <w:rPr>
          <w:rFonts w:cs="David"/>
          <w:b w:val="0"/>
          <w:bCs w:val="0"/>
          <w:sz w:val="24"/>
          <w:szCs w:val="24"/>
          <w:rtl/>
        </w:rPr>
        <w:t>. מנגד, כאשר גדלה אי הודאות בעיני הלווים לגבי ההתפתחות הצפויה של שער החליפין, במיוחד כאשר גדל החשש לפיחות של השקל (</w:t>
      </w:r>
      <w:r w:rsidRPr="0037206B">
        <w:rPr>
          <w:rFonts w:cs="David" w:hint="cs"/>
          <w:b w:val="0"/>
          <w:bCs w:val="0"/>
          <w:sz w:val="24"/>
          <w:szCs w:val="24"/>
          <w:rtl/>
        </w:rPr>
        <w:t>כלומר</w:t>
      </w:r>
      <w:r w:rsidRPr="0037206B">
        <w:rPr>
          <w:rFonts w:cs="David"/>
          <w:b w:val="0"/>
          <w:bCs w:val="0"/>
          <w:sz w:val="24"/>
          <w:szCs w:val="24"/>
          <w:rtl/>
        </w:rPr>
        <w:t xml:space="preserve"> גדל הסיכון), קטנה הכדאיות לקחת אשראי במט"</w:t>
      </w:r>
      <w:r w:rsidRPr="0037206B">
        <w:rPr>
          <w:rFonts w:cs="David" w:hint="cs"/>
          <w:b w:val="0"/>
          <w:bCs w:val="0"/>
          <w:sz w:val="24"/>
          <w:szCs w:val="24"/>
          <w:rtl/>
        </w:rPr>
        <w:t>ח</w:t>
      </w:r>
      <w:r w:rsidRPr="0037206B">
        <w:rPr>
          <w:rFonts w:cs="David"/>
          <w:b w:val="0"/>
          <w:bCs w:val="0"/>
          <w:sz w:val="24"/>
          <w:szCs w:val="24"/>
          <w:rtl/>
        </w:rPr>
        <w:t>. במחלקה המוניטארית מציינים, כי בתקופות בהן בנק ישראל אינו מתערב במסחר במט"</w:t>
      </w:r>
      <w:r w:rsidRPr="0037206B">
        <w:rPr>
          <w:rFonts w:cs="David" w:hint="cs"/>
          <w:b w:val="0"/>
          <w:bCs w:val="0"/>
          <w:sz w:val="24"/>
          <w:szCs w:val="24"/>
          <w:rtl/>
        </w:rPr>
        <w:t>ח</w:t>
      </w:r>
      <w:r w:rsidRPr="0037206B">
        <w:rPr>
          <w:rFonts w:cs="David"/>
          <w:b w:val="0"/>
          <w:bCs w:val="0"/>
          <w:sz w:val="24"/>
          <w:szCs w:val="24"/>
          <w:rtl/>
        </w:rPr>
        <w:t xml:space="preserve"> אי הוודאות לגבי ההתפתחות הצפויה של שער החליפין גדולה יחסית ולכן, הכדאיות לקחת אשראי במט"</w:t>
      </w:r>
      <w:r w:rsidRPr="0037206B">
        <w:rPr>
          <w:rFonts w:cs="David" w:hint="cs"/>
          <w:b w:val="0"/>
          <w:bCs w:val="0"/>
          <w:sz w:val="24"/>
          <w:szCs w:val="24"/>
          <w:rtl/>
        </w:rPr>
        <w:t>ח</w:t>
      </w:r>
      <w:r w:rsidRPr="0037206B">
        <w:rPr>
          <w:rFonts w:cs="David"/>
          <w:b w:val="0"/>
          <w:bCs w:val="0"/>
          <w:sz w:val="24"/>
          <w:szCs w:val="24"/>
          <w:rtl/>
        </w:rPr>
        <w:t xml:space="preserve"> נמוכה. מאז יוני 1997 ועד היום - וכן במשך מספר חודשים ב -1996 – בנק ישראל אינו מתערב במסחר במט"</w:t>
      </w:r>
      <w:r w:rsidRPr="0037206B">
        <w:rPr>
          <w:rFonts w:cs="David" w:hint="cs"/>
          <w:b w:val="0"/>
          <w:bCs w:val="0"/>
          <w:sz w:val="24"/>
          <w:szCs w:val="24"/>
          <w:rtl/>
        </w:rPr>
        <w:t>ח</w:t>
      </w:r>
      <w:r w:rsidRPr="0037206B">
        <w:rPr>
          <w:rFonts w:cs="David"/>
          <w:b w:val="0"/>
          <w:bCs w:val="0"/>
          <w:sz w:val="24"/>
          <w:szCs w:val="24"/>
          <w:rtl/>
        </w:rPr>
        <w:t>.</w:t>
      </w:r>
    </w:p>
    <w:p w:rsidR="0037206B" w:rsidRDefault="0037206B" w:rsidP="0037206B">
      <w:pPr>
        <w:pStyle w:val="2"/>
        <w:bidi/>
        <w:ind w:left="-50"/>
        <w:rPr>
          <w:rFonts w:cs="David"/>
          <w:b w:val="0"/>
          <w:bCs w:val="0"/>
          <w:sz w:val="24"/>
          <w:szCs w:val="24"/>
          <w:rtl/>
        </w:rPr>
      </w:pPr>
    </w:p>
    <w:p w:rsidR="0037206B" w:rsidRPr="0037206B" w:rsidRDefault="0037206B" w:rsidP="0037206B">
      <w:pPr>
        <w:pStyle w:val="2"/>
        <w:bidi/>
        <w:ind w:left="-50"/>
        <w:rPr>
          <w:rFonts w:cs="David"/>
          <w:b w:val="0"/>
          <w:bCs w:val="0"/>
          <w:sz w:val="24"/>
          <w:szCs w:val="24"/>
          <w:rtl/>
        </w:rPr>
      </w:pPr>
    </w:p>
    <w:p w:rsidR="00F17E4D" w:rsidRPr="0037206B" w:rsidRDefault="00F17E4D" w:rsidP="008C441F">
      <w:pPr>
        <w:bidi/>
        <w:spacing w:before="3"/>
        <w:ind w:left="853"/>
        <w:rPr>
          <w:rFonts w:ascii="David" w:hAnsi="David" w:cs="David"/>
          <w:sz w:val="24"/>
          <w:szCs w:val="24"/>
          <w:rtl/>
        </w:rPr>
      </w:pPr>
    </w:p>
    <w:p w:rsidR="00F17E4D" w:rsidRPr="0037206B" w:rsidRDefault="00F17E4D">
      <w:pPr>
        <w:rPr>
          <w:rFonts w:ascii="David" w:hAnsi="David" w:cs="David"/>
          <w:sz w:val="24"/>
          <w:szCs w:val="24"/>
          <w:lang w:bidi="he-IL"/>
        </w:rPr>
      </w:pPr>
    </w:p>
    <w:p w:rsidR="00F17E4D" w:rsidRPr="0037206B" w:rsidRDefault="00F17E4D">
      <w:pPr>
        <w:spacing w:before="1"/>
        <w:rPr>
          <w:rFonts w:ascii="David" w:hAnsi="David" w:cs="David"/>
          <w:sz w:val="24"/>
          <w:szCs w:val="24"/>
          <w:lang w:bidi="he-IL"/>
        </w:rPr>
      </w:pPr>
    </w:p>
    <w:p w:rsidR="00A66679" w:rsidRDefault="00A66679">
      <w:pPr>
        <w:pStyle w:val="2"/>
        <w:bidi/>
        <w:ind w:left="3941" w:right="3954"/>
        <w:jc w:val="center"/>
        <w:rPr>
          <w:rFonts w:cs="David"/>
          <w:sz w:val="24"/>
          <w:szCs w:val="24"/>
        </w:rPr>
      </w:pPr>
    </w:p>
    <w:p w:rsidR="00A66679" w:rsidRDefault="00A66679" w:rsidP="00A66679">
      <w:pPr>
        <w:pStyle w:val="2"/>
        <w:bidi/>
        <w:ind w:left="3941" w:right="3954"/>
        <w:jc w:val="center"/>
        <w:rPr>
          <w:rFonts w:cs="David"/>
          <w:sz w:val="24"/>
          <w:szCs w:val="24"/>
        </w:rPr>
      </w:pPr>
    </w:p>
    <w:p w:rsidR="00F17E4D" w:rsidRPr="0037206B" w:rsidRDefault="00F17E4D" w:rsidP="00A66679">
      <w:pPr>
        <w:pStyle w:val="2"/>
        <w:bidi/>
        <w:ind w:left="3941" w:right="3954"/>
        <w:jc w:val="center"/>
        <w:rPr>
          <w:rFonts w:cs="David"/>
          <w:sz w:val="24"/>
          <w:szCs w:val="24"/>
          <w:lang w:bidi="ar-SA"/>
        </w:rPr>
      </w:pPr>
      <w:r w:rsidRPr="0037206B">
        <w:rPr>
          <w:rFonts w:cs="David" w:hint="cs"/>
          <w:sz w:val="24"/>
          <w:szCs w:val="24"/>
          <w:rtl/>
        </w:rPr>
        <w:t>הרכב</w:t>
      </w:r>
      <w:r w:rsidRPr="0037206B">
        <w:rPr>
          <w:rFonts w:cs="David"/>
          <w:sz w:val="24"/>
          <w:szCs w:val="24"/>
        </w:rPr>
        <w:t xml:space="preserve">  </w:t>
      </w:r>
      <w:r w:rsidRPr="0037206B">
        <w:rPr>
          <w:rFonts w:cs="David" w:hint="cs"/>
          <w:sz w:val="24"/>
          <w:szCs w:val="24"/>
          <w:rtl/>
        </w:rPr>
        <w:t>תיק</w:t>
      </w:r>
      <w:r w:rsidRPr="0037206B">
        <w:rPr>
          <w:rFonts w:cs="David"/>
          <w:sz w:val="24"/>
          <w:szCs w:val="24"/>
        </w:rPr>
        <w:t xml:space="preserve"> </w:t>
      </w:r>
      <w:r w:rsidRPr="0037206B">
        <w:rPr>
          <w:rFonts w:cs="David" w:hint="cs"/>
          <w:sz w:val="24"/>
          <w:szCs w:val="24"/>
          <w:rtl/>
        </w:rPr>
        <w:t>האשראי</w:t>
      </w:r>
      <w:r w:rsidRPr="0037206B">
        <w:rPr>
          <w:rFonts w:cs="David"/>
          <w:sz w:val="24"/>
          <w:szCs w:val="24"/>
        </w:rPr>
        <w:t xml:space="preserve"> </w:t>
      </w:r>
      <w:r w:rsidRPr="0037206B">
        <w:rPr>
          <w:rFonts w:cs="David" w:hint="cs"/>
          <w:sz w:val="24"/>
          <w:szCs w:val="24"/>
          <w:rtl/>
        </w:rPr>
        <w:t>לציבור</w:t>
      </w:r>
      <w:r w:rsidRPr="0037206B">
        <w:rPr>
          <w:rFonts w:cs="David"/>
          <w:sz w:val="24"/>
          <w:szCs w:val="24"/>
        </w:rPr>
        <w:t xml:space="preserve"> )</w:t>
      </w:r>
      <w:r w:rsidRPr="0037206B">
        <w:rPr>
          <w:rFonts w:cs="David" w:hint="cs"/>
          <w:sz w:val="24"/>
          <w:szCs w:val="24"/>
          <w:rtl/>
        </w:rPr>
        <w:t>אחוזים</w:t>
      </w:r>
      <w:r w:rsidRPr="0037206B">
        <w:rPr>
          <w:rFonts w:cs="David"/>
          <w:sz w:val="24"/>
          <w:szCs w:val="24"/>
        </w:rPr>
        <w:t>(</w:t>
      </w:r>
    </w:p>
    <w:p w:rsidR="00F17E4D" w:rsidRPr="0037206B" w:rsidRDefault="00F17E4D">
      <w:pPr>
        <w:spacing w:before="9"/>
        <w:rPr>
          <w:rFonts w:ascii="David" w:hAnsi="David" w:cs="David"/>
          <w:b/>
          <w:bCs/>
          <w:sz w:val="24"/>
          <w:szCs w:val="24"/>
          <w:lang w:bidi="he-IL"/>
        </w:rPr>
      </w:pPr>
    </w:p>
    <w:p w:rsidR="00A66679" w:rsidRPr="00A66679" w:rsidRDefault="00A66679" w:rsidP="00A66679">
      <w:pPr>
        <w:tabs>
          <w:tab w:val="left" w:pos="7590"/>
        </w:tabs>
        <w:rPr>
          <w:rFonts w:asciiTheme="minorHAnsi" w:hAnsiTheme="minorHAnsi" w:cs="David"/>
          <w:b/>
          <w:bCs/>
          <w:sz w:val="24"/>
          <w:szCs w:val="24"/>
          <w:lang w:bidi="he-IL"/>
        </w:rPr>
      </w:pPr>
    </w:p>
    <w:p w:rsidR="00F17E4D" w:rsidRPr="00A66679" w:rsidRDefault="00A66679" w:rsidP="00A66679">
      <w:pPr>
        <w:tabs>
          <w:tab w:val="left" w:pos="7590"/>
        </w:tabs>
        <w:rPr>
          <w:rFonts w:asciiTheme="minorHAnsi" w:hAnsiTheme="minorHAnsi" w:cs="David"/>
          <w:b/>
          <w:bCs/>
          <w:sz w:val="24"/>
          <w:szCs w:val="24"/>
          <w:lang w:bidi="he-IL"/>
        </w:rPr>
      </w:pPr>
      <w:r>
        <w:rPr>
          <w:rFonts w:ascii="David" w:hAnsi="David" w:cs="David"/>
          <w:b/>
          <w:bCs/>
          <w:sz w:val="24"/>
          <w:szCs w:val="24"/>
          <w:lang w:bidi="he-IL"/>
        </w:rPr>
        <w:tab/>
      </w:r>
      <w:r>
        <w:rPr>
          <w:rFonts w:asciiTheme="minorHAnsi" w:hAnsiTheme="minorHAnsi" w:cs="David"/>
          <w:b/>
          <w:bCs/>
          <w:sz w:val="24"/>
          <w:szCs w:val="24"/>
          <w:lang w:bidi="he-IL"/>
        </w:rPr>
        <w:t xml:space="preserve"> </w:t>
      </w:r>
    </w:p>
    <w:tbl>
      <w:tblPr>
        <w:tblStyle w:val="a8"/>
        <w:tblW w:w="0" w:type="auto"/>
        <w:tblLook w:val="04A0" w:firstRow="1" w:lastRow="0" w:firstColumn="1" w:lastColumn="0" w:noHBand="0" w:noVBand="1"/>
      </w:tblPr>
      <w:tblGrid>
        <w:gridCol w:w="2035"/>
        <w:gridCol w:w="2035"/>
        <w:gridCol w:w="2035"/>
        <w:gridCol w:w="2035"/>
        <w:gridCol w:w="2036"/>
      </w:tblGrid>
      <w:tr w:rsidR="00A66679" w:rsidTr="00A66679">
        <w:tc>
          <w:tcPr>
            <w:tcW w:w="2035"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אשראי שקלי לא צמוד</w:t>
            </w:r>
          </w:p>
        </w:tc>
        <w:tc>
          <w:tcPr>
            <w:tcW w:w="2035"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למדד המחירים אשראי צמוד לצרכן</w:t>
            </w:r>
          </w:p>
        </w:tc>
        <w:tc>
          <w:tcPr>
            <w:tcW w:w="2035"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אשראי נקוב במט"ח וצמוד לו</w:t>
            </w:r>
          </w:p>
        </w:tc>
        <w:tc>
          <w:tcPr>
            <w:tcW w:w="2035"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סה"כ</w:t>
            </w:r>
          </w:p>
        </w:tc>
        <w:tc>
          <w:tcPr>
            <w:tcW w:w="2036"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התקופה</w:t>
            </w:r>
          </w:p>
        </w:tc>
      </w:tr>
      <w:tr w:rsidR="00A66679" w:rsidTr="00A66679">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39.0</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36.0</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25.0</w:t>
            </w:r>
          </w:p>
        </w:tc>
        <w:tc>
          <w:tcPr>
            <w:tcW w:w="2035" w:type="dxa"/>
          </w:tcPr>
          <w:p w:rsidR="00A66679" w:rsidRDefault="00A66679" w:rsidP="00A66679">
            <w:pPr>
              <w:jc w:val="center"/>
            </w:pPr>
            <w:r w:rsidRPr="001059CC">
              <w:rPr>
                <w:rFonts w:ascii="David" w:hAnsi="David" w:cs="David"/>
                <w:b/>
                <w:bCs/>
                <w:sz w:val="24"/>
                <w:szCs w:val="24"/>
                <w:lang w:bidi="he-IL"/>
              </w:rPr>
              <w:t>100.0</w:t>
            </w:r>
          </w:p>
        </w:tc>
        <w:tc>
          <w:tcPr>
            <w:tcW w:w="2036"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דצ' 1994</w:t>
            </w:r>
          </w:p>
        </w:tc>
      </w:tr>
      <w:tr w:rsidR="00A66679" w:rsidTr="00A66679">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34.0</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34.2</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31.8</w:t>
            </w:r>
          </w:p>
        </w:tc>
        <w:tc>
          <w:tcPr>
            <w:tcW w:w="2035" w:type="dxa"/>
          </w:tcPr>
          <w:p w:rsidR="00A66679" w:rsidRDefault="00A66679" w:rsidP="00A66679">
            <w:pPr>
              <w:jc w:val="center"/>
            </w:pPr>
            <w:r w:rsidRPr="001059CC">
              <w:rPr>
                <w:rFonts w:ascii="David" w:hAnsi="David" w:cs="David"/>
                <w:b/>
                <w:bCs/>
                <w:sz w:val="24"/>
                <w:szCs w:val="24"/>
                <w:lang w:bidi="he-IL"/>
              </w:rPr>
              <w:t>100.0</w:t>
            </w:r>
          </w:p>
        </w:tc>
        <w:tc>
          <w:tcPr>
            <w:tcW w:w="2036"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דצ' 1995</w:t>
            </w:r>
          </w:p>
        </w:tc>
      </w:tr>
      <w:tr w:rsidR="00A66679" w:rsidTr="00A66679">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32.1</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35.6</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32.3</w:t>
            </w:r>
          </w:p>
        </w:tc>
        <w:tc>
          <w:tcPr>
            <w:tcW w:w="2035" w:type="dxa"/>
          </w:tcPr>
          <w:p w:rsidR="00A66679" w:rsidRDefault="00A66679" w:rsidP="00A66679">
            <w:pPr>
              <w:jc w:val="center"/>
            </w:pPr>
            <w:r w:rsidRPr="001059CC">
              <w:rPr>
                <w:rFonts w:ascii="David" w:hAnsi="David" w:cs="David"/>
                <w:b/>
                <w:bCs/>
                <w:sz w:val="24"/>
                <w:szCs w:val="24"/>
                <w:lang w:bidi="he-IL"/>
              </w:rPr>
              <w:t>100.0</w:t>
            </w:r>
          </w:p>
        </w:tc>
        <w:tc>
          <w:tcPr>
            <w:tcW w:w="2036"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דצ' 1996</w:t>
            </w:r>
          </w:p>
        </w:tc>
      </w:tr>
      <w:tr w:rsidR="00A66679" w:rsidTr="00A66679">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30.2</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34.6</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35.2</w:t>
            </w:r>
          </w:p>
        </w:tc>
        <w:tc>
          <w:tcPr>
            <w:tcW w:w="2035" w:type="dxa"/>
          </w:tcPr>
          <w:p w:rsidR="00A66679" w:rsidRDefault="00A66679" w:rsidP="00A66679">
            <w:pPr>
              <w:jc w:val="center"/>
            </w:pPr>
            <w:r w:rsidRPr="001059CC">
              <w:rPr>
                <w:rFonts w:ascii="David" w:hAnsi="David" w:cs="David"/>
                <w:b/>
                <w:bCs/>
                <w:sz w:val="24"/>
                <w:szCs w:val="24"/>
                <w:lang w:bidi="he-IL"/>
              </w:rPr>
              <w:t>100.0</w:t>
            </w:r>
          </w:p>
        </w:tc>
        <w:tc>
          <w:tcPr>
            <w:tcW w:w="2036" w:type="dxa"/>
          </w:tcPr>
          <w:p w:rsidR="00A66679" w:rsidRPr="00A66679" w:rsidRDefault="00A66679" w:rsidP="00A66679">
            <w:pPr>
              <w:jc w:val="center"/>
              <w:rPr>
                <w:rFonts w:asciiTheme="minorHAnsi" w:hAnsiTheme="minorHAnsi" w:cs="David"/>
                <w:b/>
                <w:bCs/>
                <w:sz w:val="24"/>
                <w:szCs w:val="24"/>
                <w:lang w:bidi="he-IL"/>
              </w:rPr>
            </w:pPr>
            <w:r>
              <w:rPr>
                <w:rFonts w:asciiTheme="minorHAnsi" w:hAnsiTheme="minorHAnsi" w:cs="David" w:hint="cs"/>
                <w:b/>
                <w:bCs/>
                <w:sz w:val="24"/>
                <w:szCs w:val="24"/>
                <w:rtl/>
                <w:lang w:bidi="he-IL"/>
              </w:rPr>
              <w:t>יומי 1997</w:t>
            </w:r>
          </w:p>
        </w:tc>
      </w:tr>
      <w:tr w:rsidR="00A66679" w:rsidTr="00A66679">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30.4</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34.8</w:t>
            </w:r>
          </w:p>
        </w:tc>
        <w:tc>
          <w:tcPr>
            <w:tcW w:w="2035" w:type="dxa"/>
          </w:tcPr>
          <w:p w:rsidR="00A66679" w:rsidRDefault="00A66679" w:rsidP="00A66679">
            <w:pPr>
              <w:jc w:val="center"/>
              <w:rPr>
                <w:rFonts w:ascii="David" w:hAnsi="David" w:cs="David"/>
                <w:b/>
                <w:bCs/>
                <w:sz w:val="24"/>
                <w:szCs w:val="24"/>
                <w:lang w:bidi="he-IL"/>
              </w:rPr>
            </w:pPr>
            <w:r>
              <w:rPr>
                <w:rFonts w:ascii="David" w:hAnsi="David" w:cs="David"/>
                <w:b/>
                <w:bCs/>
                <w:sz w:val="24"/>
                <w:szCs w:val="24"/>
                <w:lang w:bidi="he-IL"/>
              </w:rPr>
              <w:t>34.8</w:t>
            </w:r>
          </w:p>
        </w:tc>
        <w:tc>
          <w:tcPr>
            <w:tcW w:w="2035" w:type="dxa"/>
          </w:tcPr>
          <w:p w:rsidR="00A66679" w:rsidRDefault="00A66679" w:rsidP="00A66679">
            <w:pPr>
              <w:jc w:val="center"/>
            </w:pPr>
            <w:r w:rsidRPr="001059CC">
              <w:rPr>
                <w:rFonts w:ascii="David" w:hAnsi="David" w:cs="David"/>
                <w:b/>
                <w:bCs/>
                <w:sz w:val="24"/>
                <w:szCs w:val="24"/>
                <w:lang w:bidi="he-IL"/>
              </w:rPr>
              <w:t>100.0</w:t>
            </w:r>
          </w:p>
        </w:tc>
        <w:tc>
          <w:tcPr>
            <w:tcW w:w="2036" w:type="dxa"/>
          </w:tcPr>
          <w:p w:rsidR="00A66679" w:rsidRPr="00A66679" w:rsidRDefault="00A66679" w:rsidP="00A66679">
            <w:pPr>
              <w:jc w:val="center"/>
              <w:rPr>
                <w:rFonts w:asciiTheme="minorHAnsi" w:hAnsiTheme="minorHAnsi" w:cs="David"/>
                <w:b/>
                <w:bCs/>
                <w:sz w:val="24"/>
                <w:szCs w:val="24"/>
                <w:rtl/>
                <w:lang w:bidi="he-IL"/>
              </w:rPr>
            </w:pPr>
            <w:r>
              <w:rPr>
                <w:rFonts w:asciiTheme="minorHAnsi" w:hAnsiTheme="minorHAnsi" w:cs="David" w:hint="cs"/>
                <w:b/>
                <w:bCs/>
                <w:sz w:val="24"/>
                <w:szCs w:val="24"/>
                <w:rtl/>
                <w:lang w:bidi="he-IL"/>
              </w:rPr>
              <w:t>אוק' 1997</w:t>
            </w:r>
          </w:p>
        </w:tc>
      </w:tr>
    </w:tbl>
    <w:p w:rsidR="00F17E4D" w:rsidRPr="0037206B" w:rsidRDefault="00F17E4D" w:rsidP="00A66679">
      <w:pPr>
        <w:jc w:val="center"/>
        <w:rPr>
          <w:rFonts w:ascii="David" w:hAnsi="David" w:cs="David"/>
          <w:b/>
          <w:bCs/>
          <w:sz w:val="24"/>
          <w:szCs w:val="24"/>
          <w:lang w:bidi="he-IL"/>
        </w:rPr>
      </w:pPr>
    </w:p>
    <w:p w:rsidR="00F17E4D" w:rsidRPr="0037206B" w:rsidRDefault="00F17E4D">
      <w:pPr>
        <w:rPr>
          <w:rFonts w:ascii="David" w:hAnsi="David" w:cs="David"/>
          <w:b/>
          <w:bCs/>
          <w:sz w:val="24"/>
          <w:szCs w:val="24"/>
          <w:lang w:bidi="he-IL"/>
        </w:rPr>
      </w:pPr>
    </w:p>
    <w:p w:rsidR="00F17E4D" w:rsidRPr="0037206B" w:rsidRDefault="00F17E4D">
      <w:pPr>
        <w:rPr>
          <w:rFonts w:ascii="David" w:hAnsi="David" w:cs="David"/>
          <w:b/>
          <w:bCs/>
          <w:sz w:val="24"/>
          <w:szCs w:val="24"/>
          <w:lang w:bidi="he-IL"/>
        </w:rPr>
      </w:pPr>
    </w:p>
    <w:p w:rsidR="00F17E4D" w:rsidRPr="0037206B" w:rsidRDefault="00F17E4D" w:rsidP="0091264F">
      <w:pPr>
        <w:tabs>
          <w:tab w:val="left" w:pos="8762"/>
        </w:tabs>
        <w:spacing w:before="69"/>
        <w:rPr>
          <w:rFonts w:ascii="Times New Roman" w:hAnsi="Times New Roman" w:cs="David"/>
          <w:sz w:val="24"/>
          <w:szCs w:val="24"/>
        </w:rPr>
      </w:pPr>
    </w:p>
    <w:sectPr w:rsidR="00F17E4D" w:rsidRPr="0037206B" w:rsidSect="00EB7DFE">
      <w:headerReference w:type="default" r:id="rId8"/>
      <w:type w:val="continuous"/>
      <w:pgSz w:w="11900" w:h="16840"/>
      <w:pgMar w:top="0" w:right="980" w:bottom="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70" w:rsidRDefault="00F46770" w:rsidP="00C23793">
      <w:r>
        <w:separator/>
      </w:r>
    </w:p>
  </w:endnote>
  <w:endnote w:type="continuationSeparator" w:id="0">
    <w:p w:rsidR="00F46770" w:rsidRDefault="00F46770" w:rsidP="00C2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70" w:rsidRDefault="00F46770" w:rsidP="00C23793">
      <w:r>
        <w:separator/>
      </w:r>
    </w:p>
  </w:footnote>
  <w:footnote w:type="continuationSeparator" w:id="0">
    <w:p w:rsidR="00F46770" w:rsidRDefault="00F46770" w:rsidP="00C2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93" w:rsidRDefault="00C23793" w:rsidP="00C23793">
    <w:pPr>
      <w:pStyle w:val="a9"/>
    </w:pPr>
  </w:p>
  <w:tbl>
    <w:tblPr>
      <w:bidiVisual/>
      <w:tblW w:w="0" w:type="auto"/>
      <w:tblLayout w:type="fixed"/>
      <w:tblLook w:val="0000" w:firstRow="0" w:lastRow="0" w:firstColumn="0" w:lastColumn="0" w:noHBand="0" w:noVBand="0"/>
    </w:tblPr>
    <w:tblGrid>
      <w:gridCol w:w="2841"/>
      <w:gridCol w:w="2841"/>
      <w:gridCol w:w="2841"/>
    </w:tblGrid>
    <w:tr w:rsidR="00C23793" w:rsidTr="00CD6F86">
      <w:tblPrEx>
        <w:tblCellMar>
          <w:top w:w="0" w:type="dxa"/>
          <w:bottom w:w="0" w:type="dxa"/>
        </w:tblCellMar>
      </w:tblPrEx>
      <w:trPr>
        <w:trHeight w:val="851"/>
      </w:trPr>
      <w:tc>
        <w:tcPr>
          <w:tcW w:w="2841" w:type="dxa"/>
          <w:tcBorders>
            <w:top w:val="nil"/>
            <w:left w:val="nil"/>
            <w:bottom w:val="nil"/>
            <w:right w:val="nil"/>
          </w:tcBorders>
        </w:tcPr>
        <w:p w:rsidR="00C23793" w:rsidRDefault="00C23793" w:rsidP="00CD6F86">
          <w:pPr>
            <w:rPr>
              <w:rFonts w:cs="David"/>
              <w:sz w:val="28"/>
              <w:szCs w:val="28"/>
              <w:rtl/>
            </w:rPr>
          </w:pPr>
          <w:r>
            <w:rPr>
              <w:rFonts w:cs="David"/>
              <w:sz w:val="28"/>
              <w:szCs w:val="28"/>
              <w:rtl/>
            </w:rPr>
            <w:t>ב</w:t>
          </w:r>
          <w:r>
            <w:rPr>
              <w:rFonts w:cs="David" w:hint="cs"/>
              <w:sz w:val="28"/>
              <w:szCs w:val="28"/>
              <w:rtl/>
            </w:rPr>
            <w:t>נק ישראל</w:t>
          </w:r>
        </w:p>
        <w:p w:rsidR="00C23793" w:rsidRDefault="00C23793" w:rsidP="00CD6F86">
          <w:pPr>
            <w:rPr>
              <w:rFonts w:cs="David"/>
              <w:sz w:val="28"/>
              <w:szCs w:val="28"/>
              <w:rtl/>
            </w:rPr>
          </w:pPr>
          <w:proofErr w:type="spellStart"/>
          <w:r>
            <w:rPr>
              <w:rFonts w:cs="David"/>
              <w:sz w:val="24"/>
              <w:rtl/>
            </w:rPr>
            <w:t>ד</w:t>
          </w:r>
          <w:r>
            <w:rPr>
              <w:rFonts w:cs="David" w:hint="cs"/>
              <w:sz w:val="24"/>
              <w:rtl/>
            </w:rPr>
            <w:t>וברות</w:t>
          </w:r>
          <w:proofErr w:type="spellEnd"/>
          <w:r>
            <w:rPr>
              <w:rFonts w:cs="David" w:hint="cs"/>
              <w:sz w:val="24"/>
              <w:rtl/>
            </w:rPr>
            <w:t xml:space="preserve"> </w:t>
          </w:r>
          <w:proofErr w:type="spellStart"/>
          <w:r>
            <w:rPr>
              <w:rFonts w:cs="David" w:hint="cs"/>
              <w:sz w:val="24"/>
              <w:rtl/>
            </w:rPr>
            <w:t>והסברה</w:t>
          </w:r>
          <w:proofErr w:type="spellEnd"/>
          <w:r>
            <w:rPr>
              <w:rFonts w:cs="David" w:hint="cs"/>
              <w:sz w:val="24"/>
              <w:rtl/>
            </w:rPr>
            <w:t xml:space="preserve"> </w:t>
          </w:r>
          <w:proofErr w:type="spellStart"/>
          <w:r>
            <w:rPr>
              <w:rFonts w:cs="David" w:hint="cs"/>
              <w:sz w:val="24"/>
              <w:rtl/>
            </w:rPr>
            <w:t>כלכלית</w:t>
          </w:r>
          <w:proofErr w:type="spellEnd"/>
        </w:p>
      </w:tc>
      <w:tc>
        <w:tcPr>
          <w:tcW w:w="2841" w:type="dxa"/>
          <w:tcBorders>
            <w:top w:val="nil"/>
            <w:left w:val="nil"/>
            <w:bottom w:val="nil"/>
            <w:right w:val="nil"/>
          </w:tcBorders>
        </w:tcPr>
        <w:p w:rsidR="00C23793" w:rsidRDefault="00C23793" w:rsidP="00C23793">
          <w:pPr>
            <w:tabs>
              <w:tab w:val="center" w:pos="1312"/>
              <w:tab w:val="right" w:pos="2624"/>
            </w:tabs>
            <w:rPr>
              <w:rFonts w:cs="David"/>
              <w:sz w:val="24"/>
              <w:rtl/>
            </w:rPr>
          </w:pPr>
          <w:r>
            <w:rPr>
              <w:rFonts w:cs="David"/>
              <w:noProof/>
              <w:sz w:val="24"/>
              <w:rtl/>
              <w:lang w:bidi="he-IL"/>
            </w:rPr>
            <w:drawing>
              <wp:inline distT="0" distB="0" distL="0" distR="0" wp14:anchorId="257399C5" wp14:editId="5EDED097">
                <wp:extent cx="426720" cy="434340"/>
                <wp:effectExtent l="0" t="0" r="0"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34340"/>
                        </a:xfrm>
                        <a:prstGeom prst="rect">
                          <a:avLst/>
                        </a:prstGeom>
                        <a:noFill/>
                        <a:ln>
                          <a:noFill/>
                        </a:ln>
                      </pic:spPr>
                    </pic:pic>
                  </a:graphicData>
                </a:graphic>
              </wp:inline>
            </w:drawing>
          </w:r>
        </w:p>
      </w:tc>
      <w:tc>
        <w:tcPr>
          <w:tcW w:w="2841" w:type="dxa"/>
          <w:tcBorders>
            <w:top w:val="nil"/>
            <w:left w:val="nil"/>
            <w:bottom w:val="nil"/>
            <w:right w:val="nil"/>
          </w:tcBorders>
        </w:tcPr>
        <w:p w:rsidR="00C23793" w:rsidRDefault="00C23793" w:rsidP="00CD6F86">
          <w:pPr>
            <w:rPr>
              <w:rFonts w:cs="David"/>
              <w:sz w:val="24"/>
              <w:rtl/>
            </w:rPr>
          </w:pPr>
        </w:p>
      </w:tc>
    </w:tr>
    <w:tr w:rsidR="00C23793" w:rsidTr="00CD6F86">
      <w:tblPrEx>
        <w:tblCellMar>
          <w:top w:w="0" w:type="dxa"/>
          <w:bottom w:w="0" w:type="dxa"/>
        </w:tblCellMar>
      </w:tblPrEx>
      <w:trPr>
        <w:trHeight w:val="376"/>
      </w:trPr>
      <w:tc>
        <w:tcPr>
          <w:tcW w:w="2841" w:type="dxa"/>
          <w:tcBorders>
            <w:top w:val="nil"/>
            <w:left w:val="nil"/>
            <w:bottom w:val="nil"/>
            <w:right w:val="nil"/>
          </w:tcBorders>
        </w:tcPr>
        <w:p w:rsidR="00C23793" w:rsidRDefault="00C23793" w:rsidP="00CD6F86">
          <w:pPr>
            <w:rPr>
              <w:rFonts w:cs="David" w:hint="cs"/>
              <w:sz w:val="28"/>
              <w:szCs w:val="28"/>
              <w:rtl/>
            </w:rPr>
          </w:pPr>
        </w:p>
      </w:tc>
      <w:tc>
        <w:tcPr>
          <w:tcW w:w="2841" w:type="dxa"/>
          <w:tcBorders>
            <w:top w:val="nil"/>
            <w:left w:val="nil"/>
            <w:bottom w:val="nil"/>
            <w:right w:val="nil"/>
          </w:tcBorders>
        </w:tcPr>
        <w:p w:rsidR="00C23793" w:rsidRDefault="00C23793" w:rsidP="00CD6F86">
          <w:pPr>
            <w:tabs>
              <w:tab w:val="center" w:pos="1312"/>
              <w:tab w:val="right" w:pos="2624"/>
            </w:tabs>
            <w:rPr>
              <w:rFonts w:cs="David"/>
              <w:sz w:val="24"/>
              <w:rtl/>
            </w:rPr>
          </w:pPr>
        </w:p>
      </w:tc>
      <w:tc>
        <w:tcPr>
          <w:tcW w:w="2841" w:type="dxa"/>
          <w:tcBorders>
            <w:top w:val="nil"/>
            <w:left w:val="nil"/>
            <w:bottom w:val="nil"/>
            <w:right w:val="nil"/>
          </w:tcBorders>
        </w:tcPr>
        <w:p w:rsidR="00C23793" w:rsidRDefault="00C23793" w:rsidP="00CD6F86">
          <w:pPr>
            <w:rPr>
              <w:rFonts w:cs="David"/>
              <w:sz w:val="24"/>
            </w:rPr>
          </w:pPr>
        </w:p>
      </w:tc>
    </w:tr>
  </w:tbl>
  <w:p w:rsidR="00C23793" w:rsidRDefault="00C23793" w:rsidP="00C2379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FE"/>
    <w:rsid w:val="00006961"/>
    <w:rsid w:val="00013902"/>
    <w:rsid w:val="000A69F0"/>
    <w:rsid w:val="00182FBB"/>
    <w:rsid w:val="00211B45"/>
    <w:rsid w:val="003503B8"/>
    <w:rsid w:val="0037206B"/>
    <w:rsid w:val="00552AD7"/>
    <w:rsid w:val="005B199A"/>
    <w:rsid w:val="0062429D"/>
    <w:rsid w:val="006A05B9"/>
    <w:rsid w:val="007317C8"/>
    <w:rsid w:val="007978FD"/>
    <w:rsid w:val="00810AA4"/>
    <w:rsid w:val="008C441F"/>
    <w:rsid w:val="0091264F"/>
    <w:rsid w:val="00A40B8D"/>
    <w:rsid w:val="00A66679"/>
    <w:rsid w:val="00B25878"/>
    <w:rsid w:val="00C23793"/>
    <w:rsid w:val="00C25765"/>
    <w:rsid w:val="00CE64A2"/>
    <w:rsid w:val="00D2287E"/>
    <w:rsid w:val="00D8614F"/>
    <w:rsid w:val="00E56E0A"/>
    <w:rsid w:val="00EB7DFE"/>
    <w:rsid w:val="00F17E4D"/>
    <w:rsid w:val="00F46770"/>
    <w:rsid w:val="00F525C2"/>
    <w:rsid w:val="00F96C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FE"/>
    <w:pPr>
      <w:widowControl w:val="0"/>
    </w:pPr>
    <w:rPr>
      <w:sz w:val="22"/>
      <w:szCs w:val="22"/>
      <w:lang w:bidi="ar-SA"/>
    </w:rPr>
  </w:style>
  <w:style w:type="paragraph" w:styleId="1">
    <w:name w:val="heading 1"/>
    <w:basedOn w:val="a"/>
    <w:link w:val="10"/>
    <w:uiPriority w:val="99"/>
    <w:qFormat/>
    <w:rsid w:val="00EB7DFE"/>
    <w:pPr>
      <w:ind w:left="119"/>
      <w:outlineLvl w:val="0"/>
    </w:pPr>
    <w:rPr>
      <w:rFonts w:ascii="Times New Roman" w:eastAsia="Times New Roman" w:hAnsi="Times New Roman"/>
      <w:sz w:val="24"/>
      <w:szCs w:val="24"/>
    </w:rPr>
  </w:style>
  <w:style w:type="paragraph" w:styleId="2">
    <w:name w:val="heading 2"/>
    <w:basedOn w:val="a"/>
    <w:link w:val="20"/>
    <w:uiPriority w:val="99"/>
    <w:qFormat/>
    <w:rsid w:val="00EB7DFE"/>
    <w:pPr>
      <w:outlineLvl w:val="1"/>
    </w:pPr>
    <w:rPr>
      <w:rFonts w:ascii="David" w:hAnsi="David"/>
      <w:b/>
      <w:bCs/>
      <w:sz w:val="15"/>
      <w:szCs w:val="15"/>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Pr>
      <w:rFonts w:ascii="Cambria" w:hAnsi="Cambria" w:cs="Times New Roman"/>
      <w:b/>
      <w:bCs/>
      <w:kern w:val="32"/>
      <w:sz w:val="32"/>
      <w:szCs w:val="32"/>
      <w:lang w:bidi="ar-SA"/>
    </w:rPr>
  </w:style>
  <w:style w:type="character" w:customStyle="1" w:styleId="20">
    <w:name w:val="כותרת 2 תו"/>
    <w:link w:val="2"/>
    <w:uiPriority w:val="99"/>
    <w:semiHidden/>
    <w:locked/>
    <w:rPr>
      <w:rFonts w:ascii="Cambria" w:hAnsi="Cambria" w:cs="Times New Roman"/>
      <w:b/>
      <w:bCs/>
      <w:i/>
      <w:iCs/>
      <w:sz w:val="28"/>
      <w:szCs w:val="28"/>
      <w:lang w:bidi="ar-SA"/>
    </w:rPr>
  </w:style>
  <w:style w:type="paragraph" w:styleId="a3">
    <w:name w:val="Body Text"/>
    <w:basedOn w:val="a"/>
    <w:link w:val="a4"/>
    <w:uiPriority w:val="99"/>
    <w:rsid w:val="00EB7DFE"/>
    <w:rPr>
      <w:rFonts w:ascii="David" w:hAnsi="David"/>
      <w:sz w:val="15"/>
      <w:szCs w:val="15"/>
      <w:lang w:bidi="he-IL"/>
    </w:rPr>
  </w:style>
  <w:style w:type="character" w:customStyle="1" w:styleId="a4">
    <w:name w:val="גוף טקסט תו"/>
    <w:link w:val="a3"/>
    <w:uiPriority w:val="99"/>
    <w:semiHidden/>
    <w:locked/>
    <w:rPr>
      <w:rFonts w:cs="Times New Roman"/>
      <w:lang w:bidi="ar-SA"/>
    </w:rPr>
  </w:style>
  <w:style w:type="paragraph" w:styleId="a5">
    <w:name w:val="List Paragraph"/>
    <w:basedOn w:val="a"/>
    <w:uiPriority w:val="99"/>
    <w:qFormat/>
    <w:rsid w:val="00EB7DFE"/>
  </w:style>
  <w:style w:type="paragraph" w:customStyle="1" w:styleId="TableParagraph">
    <w:name w:val="Table Paragraph"/>
    <w:basedOn w:val="a"/>
    <w:uiPriority w:val="99"/>
    <w:rsid w:val="00EB7DFE"/>
  </w:style>
  <w:style w:type="paragraph" w:styleId="a6">
    <w:name w:val="Balloon Text"/>
    <w:basedOn w:val="a"/>
    <w:link w:val="a7"/>
    <w:uiPriority w:val="99"/>
    <w:semiHidden/>
    <w:unhideWhenUsed/>
    <w:rsid w:val="00A66679"/>
    <w:rPr>
      <w:rFonts w:ascii="Segoe UI" w:hAnsi="Segoe UI" w:cs="Segoe UI"/>
      <w:sz w:val="18"/>
      <w:szCs w:val="18"/>
    </w:rPr>
  </w:style>
  <w:style w:type="character" w:customStyle="1" w:styleId="a7">
    <w:name w:val="טקסט בלונים תו"/>
    <w:basedOn w:val="a0"/>
    <w:link w:val="a6"/>
    <w:uiPriority w:val="99"/>
    <w:semiHidden/>
    <w:rsid w:val="00A66679"/>
    <w:rPr>
      <w:rFonts w:ascii="Segoe UI" w:hAnsi="Segoe UI" w:cs="Segoe UI"/>
      <w:sz w:val="18"/>
      <w:szCs w:val="18"/>
      <w:lang w:bidi="ar-SA"/>
    </w:rPr>
  </w:style>
  <w:style w:type="table" w:customStyle="1" w:styleId="Calendar2">
    <w:name w:val="Calendar 2"/>
    <w:basedOn w:val="a1"/>
    <w:uiPriority w:val="99"/>
    <w:qFormat/>
    <w:rsid w:val="00A66679"/>
    <w:pPr>
      <w:jc w:val="center"/>
    </w:pPr>
    <w:rPr>
      <w:rFonts w:eastAsia="Times New Roman"/>
      <w:sz w:val="28"/>
      <w:szCs w:val="28"/>
      <w:lang w:bidi="ar-SA"/>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table" w:styleId="a8">
    <w:name w:val="Table Grid"/>
    <w:basedOn w:val="a1"/>
    <w:locked/>
    <w:rsid w:val="00A6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23793"/>
    <w:pPr>
      <w:tabs>
        <w:tab w:val="center" w:pos="4153"/>
        <w:tab w:val="right" w:pos="8306"/>
      </w:tabs>
    </w:pPr>
  </w:style>
  <w:style w:type="character" w:customStyle="1" w:styleId="aa">
    <w:name w:val="כותרת עליונה תו"/>
    <w:basedOn w:val="a0"/>
    <w:link w:val="a9"/>
    <w:uiPriority w:val="99"/>
    <w:rsid w:val="00C23793"/>
    <w:rPr>
      <w:sz w:val="22"/>
      <w:szCs w:val="22"/>
      <w:lang w:bidi="ar-SA"/>
    </w:rPr>
  </w:style>
  <w:style w:type="paragraph" w:styleId="ab">
    <w:name w:val="footer"/>
    <w:basedOn w:val="a"/>
    <w:link w:val="ac"/>
    <w:uiPriority w:val="99"/>
    <w:unhideWhenUsed/>
    <w:rsid w:val="00C23793"/>
    <w:pPr>
      <w:tabs>
        <w:tab w:val="center" w:pos="4153"/>
        <w:tab w:val="right" w:pos="8306"/>
      </w:tabs>
    </w:pPr>
  </w:style>
  <w:style w:type="character" w:customStyle="1" w:styleId="ac">
    <w:name w:val="כותרת תחתונה תו"/>
    <w:basedOn w:val="a0"/>
    <w:link w:val="ab"/>
    <w:uiPriority w:val="99"/>
    <w:rsid w:val="00C23793"/>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FE"/>
    <w:pPr>
      <w:widowControl w:val="0"/>
    </w:pPr>
    <w:rPr>
      <w:sz w:val="22"/>
      <w:szCs w:val="22"/>
      <w:lang w:bidi="ar-SA"/>
    </w:rPr>
  </w:style>
  <w:style w:type="paragraph" w:styleId="1">
    <w:name w:val="heading 1"/>
    <w:basedOn w:val="a"/>
    <w:link w:val="10"/>
    <w:uiPriority w:val="99"/>
    <w:qFormat/>
    <w:rsid w:val="00EB7DFE"/>
    <w:pPr>
      <w:ind w:left="119"/>
      <w:outlineLvl w:val="0"/>
    </w:pPr>
    <w:rPr>
      <w:rFonts w:ascii="Times New Roman" w:eastAsia="Times New Roman" w:hAnsi="Times New Roman"/>
      <w:sz w:val="24"/>
      <w:szCs w:val="24"/>
    </w:rPr>
  </w:style>
  <w:style w:type="paragraph" w:styleId="2">
    <w:name w:val="heading 2"/>
    <w:basedOn w:val="a"/>
    <w:link w:val="20"/>
    <w:uiPriority w:val="99"/>
    <w:qFormat/>
    <w:rsid w:val="00EB7DFE"/>
    <w:pPr>
      <w:outlineLvl w:val="1"/>
    </w:pPr>
    <w:rPr>
      <w:rFonts w:ascii="David" w:hAnsi="David"/>
      <w:b/>
      <w:bCs/>
      <w:sz w:val="15"/>
      <w:szCs w:val="15"/>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Pr>
      <w:rFonts w:ascii="Cambria" w:hAnsi="Cambria" w:cs="Times New Roman"/>
      <w:b/>
      <w:bCs/>
      <w:kern w:val="32"/>
      <w:sz w:val="32"/>
      <w:szCs w:val="32"/>
      <w:lang w:bidi="ar-SA"/>
    </w:rPr>
  </w:style>
  <w:style w:type="character" w:customStyle="1" w:styleId="20">
    <w:name w:val="כותרת 2 תו"/>
    <w:link w:val="2"/>
    <w:uiPriority w:val="99"/>
    <w:semiHidden/>
    <w:locked/>
    <w:rPr>
      <w:rFonts w:ascii="Cambria" w:hAnsi="Cambria" w:cs="Times New Roman"/>
      <w:b/>
      <w:bCs/>
      <w:i/>
      <w:iCs/>
      <w:sz w:val="28"/>
      <w:szCs w:val="28"/>
      <w:lang w:bidi="ar-SA"/>
    </w:rPr>
  </w:style>
  <w:style w:type="paragraph" w:styleId="a3">
    <w:name w:val="Body Text"/>
    <w:basedOn w:val="a"/>
    <w:link w:val="a4"/>
    <w:uiPriority w:val="99"/>
    <w:rsid w:val="00EB7DFE"/>
    <w:rPr>
      <w:rFonts w:ascii="David" w:hAnsi="David"/>
      <w:sz w:val="15"/>
      <w:szCs w:val="15"/>
      <w:lang w:bidi="he-IL"/>
    </w:rPr>
  </w:style>
  <w:style w:type="character" w:customStyle="1" w:styleId="a4">
    <w:name w:val="גוף טקסט תו"/>
    <w:link w:val="a3"/>
    <w:uiPriority w:val="99"/>
    <w:semiHidden/>
    <w:locked/>
    <w:rPr>
      <w:rFonts w:cs="Times New Roman"/>
      <w:lang w:bidi="ar-SA"/>
    </w:rPr>
  </w:style>
  <w:style w:type="paragraph" w:styleId="a5">
    <w:name w:val="List Paragraph"/>
    <w:basedOn w:val="a"/>
    <w:uiPriority w:val="99"/>
    <w:qFormat/>
    <w:rsid w:val="00EB7DFE"/>
  </w:style>
  <w:style w:type="paragraph" w:customStyle="1" w:styleId="TableParagraph">
    <w:name w:val="Table Paragraph"/>
    <w:basedOn w:val="a"/>
    <w:uiPriority w:val="99"/>
    <w:rsid w:val="00EB7DFE"/>
  </w:style>
  <w:style w:type="paragraph" w:styleId="a6">
    <w:name w:val="Balloon Text"/>
    <w:basedOn w:val="a"/>
    <w:link w:val="a7"/>
    <w:uiPriority w:val="99"/>
    <w:semiHidden/>
    <w:unhideWhenUsed/>
    <w:rsid w:val="00A66679"/>
    <w:rPr>
      <w:rFonts w:ascii="Segoe UI" w:hAnsi="Segoe UI" w:cs="Segoe UI"/>
      <w:sz w:val="18"/>
      <w:szCs w:val="18"/>
    </w:rPr>
  </w:style>
  <w:style w:type="character" w:customStyle="1" w:styleId="a7">
    <w:name w:val="טקסט בלונים תו"/>
    <w:basedOn w:val="a0"/>
    <w:link w:val="a6"/>
    <w:uiPriority w:val="99"/>
    <w:semiHidden/>
    <w:rsid w:val="00A66679"/>
    <w:rPr>
      <w:rFonts w:ascii="Segoe UI" w:hAnsi="Segoe UI" w:cs="Segoe UI"/>
      <w:sz w:val="18"/>
      <w:szCs w:val="18"/>
      <w:lang w:bidi="ar-SA"/>
    </w:rPr>
  </w:style>
  <w:style w:type="table" w:customStyle="1" w:styleId="Calendar2">
    <w:name w:val="Calendar 2"/>
    <w:basedOn w:val="a1"/>
    <w:uiPriority w:val="99"/>
    <w:qFormat/>
    <w:rsid w:val="00A66679"/>
    <w:pPr>
      <w:jc w:val="center"/>
    </w:pPr>
    <w:rPr>
      <w:rFonts w:eastAsia="Times New Roman"/>
      <w:sz w:val="28"/>
      <w:szCs w:val="28"/>
      <w:lang w:bidi="ar-SA"/>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table" w:styleId="a8">
    <w:name w:val="Table Grid"/>
    <w:basedOn w:val="a1"/>
    <w:locked/>
    <w:rsid w:val="00A6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23793"/>
    <w:pPr>
      <w:tabs>
        <w:tab w:val="center" w:pos="4153"/>
        <w:tab w:val="right" w:pos="8306"/>
      </w:tabs>
    </w:pPr>
  </w:style>
  <w:style w:type="character" w:customStyle="1" w:styleId="aa">
    <w:name w:val="כותרת עליונה תו"/>
    <w:basedOn w:val="a0"/>
    <w:link w:val="a9"/>
    <w:uiPriority w:val="99"/>
    <w:rsid w:val="00C23793"/>
    <w:rPr>
      <w:sz w:val="22"/>
      <w:szCs w:val="22"/>
      <w:lang w:bidi="ar-SA"/>
    </w:rPr>
  </w:style>
  <w:style w:type="paragraph" w:styleId="ab">
    <w:name w:val="footer"/>
    <w:basedOn w:val="a"/>
    <w:link w:val="ac"/>
    <w:uiPriority w:val="99"/>
    <w:unhideWhenUsed/>
    <w:rsid w:val="00C23793"/>
    <w:pPr>
      <w:tabs>
        <w:tab w:val="center" w:pos="4153"/>
        <w:tab w:val="right" w:pos="8306"/>
      </w:tabs>
    </w:pPr>
  </w:style>
  <w:style w:type="character" w:customStyle="1" w:styleId="ac">
    <w:name w:val="כותרת תחתונה תו"/>
    <w:basedOn w:val="a0"/>
    <w:link w:val="ab"/>
    <w:uiPriority w:val="99"/>
    <w:rsid w:val="00C23793"/>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E88E6DC-1C24-4081-BF3B-A004133AA756}"/>
</file>

<file path=customXml/itemProps2.xml><?xml version="1.0" encoding="utf-8"?>
<ds:datastoreItem xmlns:ds="http://schemas.openxmlformats.org/officeDocument/2006/customXml" ds:itemID="{11EDBDC2-DF72-4CAF-B6A9-4053CB2753F7}"/>
</file>

<file path=customXml/itemProps3.xml><?xml version="1.0" encoding="utf-8"?>
<ds:datastoreItem xmlns:ds="http://schemas.openxmlformats.org/officeDocument/2006/customXml" ds:itemID="{E8494D06-0478-4A58-8103-98A5E96C1147}"/>
</file>

<file path=customXml/itemProps4.xml><?xml version="1.0" encoding="utf-8"?>
<ds:datastoreItem xmlns:ds="http://schemas.openxmlformats.org/officeDocument/2006/customXml" ds:itemID="{1DC0F578-EEC2-4B5D-85B2-75DE6A0D5D04}"/>
</file>

<file path=docProps/app.xml><?xml version="1.0" encoding="utf-8"?>
<Properties xmlns="http://schemas.openxmlformats.org/officeDocument/2006/extended-properties" xmlns:vt="http://schemas.openxmlformats.org/officeDocument/2006/docPropsVTypes">
  <Template>Normal.dotm</Template>
  <TotalTime>55</TotalTime>
  <Pages>1</Pages>
  <Words>779</Words>
  <Characters>3900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h971117.htm</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h971117.htm</dc:title>
  <dc:subject/>
  <dc:creator>internet</dc:creator>
  <cp:keywords>()</cp:keywords>
  <dc:description/>
  <cp:lastModifiedBy>Natali Hofmann</cp:lastModifiedBy>
  <cp:revision>2</cp:revision>
  <dcterms:created xsi:type="dcterms:W3CDTF">2015-07-15T10:46:00Z</dcterms:created>
  <dcterms:modified xsi:type="dcterms:W3CDTF">2015-07-15T10:46:00Z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1.5.1</vt:lpwstr>
  </property>
  <property fmtid="{D5CDD505-2E9C-101B-9397-08002B2CF9AE}" pid="3" name="ContentTypeId">
    <vt:lpwstr>0x0101000644CCD52964FE4BBD8AB8E0B060EA47</vt:lpwstr>
  </property>
</Properties>
</file>