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B9410" w14:textId="77777777" w:rsidR="003D3956" w:rsidRDefault="003D3956">
      <w:pPr>
        <w:rPr>
          <w:rFonts w:hint="cs"/>
        </w:rPr>
      </w:pPr>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FC171A" w:rsidRPr="004644B0" w14:paraId="1CF1CD75" w14:textId="77777777" w:rsidTr="003D3956">
        <w:trPr>
          <w:cantSplit/>
        </w:trPr>
        <w:tc>
          <w:tcPr>
            <w:tcW w:w="3392" w:type="dxa"/>
            <w:tcBorders>
              <w:top w:val="nil"/>
              <w:left w:val="nil"/>
              <w:bottom w:val="nil"/>
              <w:right w:val="nil"/>
            </w:tcBorders>
            <w:vAlign w:val="center"/>
          </w:tcPr>
          <w:p w14:paraId="656D828C" w14:textId="77777777" w:rsidR="00FC171A" w:rsidRPr="004644B0" w:rsidRDefault="00FC171A" w:rsidP="00FC171A">
            <w:pPr>
              <w:jc w:val="both"/>
              <w:rPr>
                <w:b/>
                <w:bCs/>
                <w:rtl/>
              </w:rPr>
            </w:pPr>
            <w:r w:rsidRPr="004644B0">
              <w:rPr>
                <w:b/>
                <w:bCs/>
                <w:rtl/>
              </w:rPr>
              <w:t>בנק ישראל</w:t>
            </w:r>
          </w:p>
          <w:p w14:paraId="35363314" w14:textId="77777777" w:rsidR="00FC171A" w:rsidRPr="004644B0" w:rsidRDefault="00FC171A" w:rsidP="00FC171A">
            <w:pPr>
              <w:jc w:val="both"/>
            </w:pPr>
            <w:r w:rsidRPr="004644B0">
              <w:rPr>
                <w:rtl/>
              </w:rPr>
              <w:t>דוברות והסברה כלכלית</w:t>
            </w:r>
          </w:p>
        </w:tc>
        <w:tc>
          <w:tcPr>
            <w:tcW w:w="2596" w:type="dxa"/>
            <w:tcBorders>
              <w:top w:val="nil"/>
              <w:left w:val="nil"/>
              <w:bottom w:val="nil"/>
              <w:right w:val="nil"/>
            </w:tcBorders>
          </w:tcPr>
          <w:p w14:paraId="7B524BF2" w14:textId="77777777" w:rsidR="00FC171A" w:rsidRPr="004644B0" w:rsidRDefault="00FC171A" w:rsidP="00FC171A">
            <w:pPr>
              <w:jc w:val="both"/>
            </w:pPr>
            <w:r w:rsidRPr="004644B0">
              <w:rPr>
                <w:noProof/>
              </w:rPr>
              <w:drawing>
                <wp:inline distT="0" distB="0" distL="0" distR="0" wp14:anchorId="0A91A85E" wp14:editId="10F4D752">
                  <wp:extent cx="975360" cy="975360"/>
                  <wp:effectExtent l="0" t="0" r="0" b="0"/>
                  <wp:docPr id="1" name="Picture 1"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1F388045" w14:textId="72CFFD45" w:rsidR="00FC171A" w:rsidRPr="004644B0" w:rsidRDefault="00FC171A" w:rsidP="00723B64">
            <w:pPr>
              <w:jc w:val="right"/>
              <w:rPr>
                <w:rtl/>
              </w:rPr>
            </w:pPr>
            <w:r w:rsidRPr="004644B0">
              <w:rPr>
                <w:rtl/>
              </w:rPr>
              <w:t xml:space="preserve">‏ירושלים, </w:t>
            </w:r>
            <w:r w:rsidR="00723B64">
              <w:rPr>
                <w:rFonts w:hint="cs"/>
                <w:rtl/>
              </w:rPr>
              <w:t>כ</w:t>
            </w:r>
            <w:r w:rsidR="00507A73">
              <w:rPr>
                <w:rFonts w:hint="cs"/>
                <w:rtl/>
              </w:rPr>
              <w:t>'</w:t>
            </w:r>
            <w:bookmarkStart w:id="0" w:name="_GoBack"/>
            <w:bookmarkEnd w:id="0"/>
            <w:r w:rsidR="00E824F2">
              <w:rPr>
                <w:rFonts w:hint="cs"/>
                <w:rtl/>
              </w:rPr>
              <w:t xml:space="preserve"> </w:t>
            </w:r>
            <w:r w:rsidR="00723B64">
              <w:rPr>
                <w:rFonts w:hint="cs"/>
                <w:rtl/>
              </w:rPr>
              <w:t>בטבת</w:t>
            </w:r>
            <w:r w:rsidRPr="004644B0">
              <w:rPr>
                <w:rtl/>
              </w:rPr>
              <w:t>, תשפ"</w:t>
            </w:r>
            <w:r w:rsidR="00ED0EEB">
              <w:rPr>
                <w:rFonts w:hint="cs"/>
                <w:rtl/>
              </w:rPr>
              <w:t>ד</w:t>
            </w:r>
          </w:p>
          <w:p w14:paraId="559DAC8F" w14:textId="0AC2780E" w:rsidR="00FC171A" w:rsidRPr="004644B0" w:rsidRDefault="00FC171A" w:rsidP="00C874E7">
            <w:pPr>
              <w:jc w:val="right"/>
            </w:pPr>
            <w:r w:rsidRPr="004644B0">
              <w:rPr>
                <w:rtl/>
              </w:rPr>
              <w:t>‏‏‏‏‏‏</w:t>
            </w:r>
            <w:r w:rsidR="00C874E7">
              <w:rPr>
                <w:rFonts w:hint="cs"/>
                <w:rtl/>
              </w:rPr>
              <w:t>1</w:t>
            </w:r>
            <w:r w:rsidR="00B8762E" w:rsidRPr="004644B0">
              <w:rPr>
                <w:rFonts w:hint="cs"/>
                <w:rtl/>
              </w:rPr>
              <w:t xml:space="preserve"> </w:t>
            </w:r>
            <w:r w:rsidR="00C874E7">
              <w:rPr>
                <w:rFonts w:hint="cs"/>
                <w:rtl/>
              </w:rPr>
              <w:t>בינואר</w:t>
            </w:r>
            <w:r w:rsidRPr="004644B0">
              <w:rPr>
                <w:rtl/>
              </w:rPr>
              <w:t xml:space="preserve"> 202</w:t>
            </w:r>
            <w:r w:rsidR="00C874E7">
              <w:rPr>
                <w:rFonts w:hint="cs"/>
                <w:rtl/>
              </w:rPr>
              <w:t>4</w:t>
            </w:r>
          </w:p>
        </w:tc>
      </w:tr>
    </w:tbl>
    <w:p w14:paraId="0363BD60" w14:textId="77777777" w:rsidR="006A4DC0" w:rsidRDefault="006A4DC0" w:rsidP="006A4DC0">
      <w:pPr>
        <w:jc w:val="both"/>
        <w:rPr>
          <w:rtl/>
        </w:rPr>
      </w:pPr>
      <w:r>
        <w:rPr>
          <w:rFonts w:hint="cs"/>
          <w:rtl/>
        </w:rPr>
        <w:t>הודעה לעיתונות:</w:t>
      </w:r>
    </w:p>
    <w:p w14:paraId="2464C45F" w14:textId="77777777" w:rsidR="006A4DC0" w:rsidRPr="004644B0" w:rsidRDefault="006A4DC0" w:rsidP="00A251DD">
      <w:pPr>
        <w:jc w:val="both"/>
        <w:rPr>
          <w:rtl/>
        </w:rPr>
      </w:pPr>
    </w:p>
    <w:p w14:paraId="48CE48B4" w14:textId="483AED13" w:rsidR="00BB518C" w:rsidRDefault="00BB518C" w:rsidP="00723B64">
      <w:pPr>
        <w:pStyle w:val="af6"/>
        <w:rPr>
          <w:rtl/>
        </w:rPr>
      </w:pPr>
      <w:r w:rsidRPr="004644B0">
        <w:rPr>
          <w:rtl/>
        </w:rPr>
        <w:t xml:space="preserve">התחזית המקרו-כלכלית של חטיבת המחקר, </w:t>
      </w:r>
      <w:r w:rsidR="00723B64">
        <w:rPr>
          <w:rFonts w:hint="cs"/>
          <w:rtl/>
        </w:rPr>
        <w:t>ינואר</w:t>
      </w:r>
      <w:r w:rsidRPr="004644B0">
        <w:rPr>
          <w:rtl/>
        </w:rPr>
        <w:t xml:space="preserve"> 202</w:t>
      </w:r>
      <w:r w:rsidR="00723B64">
        <w:rPr>
          <w:rFonts w:hint="cs"/>
          <w:rtl/>
        </w:rPr>
        <w:t>4</w:t>
      </w:r>
    </w:p>
    <w:p w14:paraId="2CC7F337" w14:textId="77777777" w:rsidR="003B2D4B" w:rsidRPr="003B2D4B" w:rsidRDefault="003B2D4B" w:rsidP="00597143">
      <w:pPr>
        <w:pStyle w:val="1"/>
      </w:pPr>
      <w:r w:rsidRPr="003B2D4B">
        <w:rPr>
          <w:rtl/>
        </w:rPr>
        <w:t>תמצית</w:t>
      </w:r>
    </w:p>
    <w:p w14:paraId="5E96D09C" w14:textId="4B5E62F8" w:rsidR="00C47183" w:rsidRPr="00507A73" w:rsidRDefault="003B2D4B" w:rsidP="0081170E">
      <w:pPr>
        <w:spacing w:after="120"/>
        <w:jc w:val="both"/>
        <w:rPr>
          <w:rFonts w:eastAsia="Calibri"/>
          <w:rtl/>
        </w:rPr>
      </w:pPr>
      <w:r w:rsidRPr="003B2D4B">
        <w:rPr>
          <w:rFonts w:eastAsia="Calibri"/>
          <w:rtl/>
        </w:rPr>
        <w:t xml:space="preserve">מסמך זה מציג את התחזית המקרו-כלכלית שחטיבת המחקר בבנק ישראל גיבשה </w:t>
      </w:r>
      <w:r w:rsidR="00B5670A">
        <w:rPr>
          <w:rFonts w:eastAsia="Calibri" w:hint="cs"/>
          <w:rtl/>
        </w:rPr>
        <w:t>בינואר</w:t>
      </w:r>
      <w:r w:rsidRPr="003B2D4B">
        <w:rPr>
          <w:rFonts w:eastAsia="Calibri"/>
          <w:rtl/>
        </w:rPr>
        <w:t xml:space="preserve"> 202</w:t>
      </w:r>
      <w:r w:rsidR="00B5670A">
        <w:rPr>
          <w:rFonts w:eastAsia="Calibri" w:hint="cs"/>
          <w:rtl/>
        </w:rPr>
        <w:t>4</w:t>
      </w:r>
      <w:r w:rsidRPr="003B2D4B">
        <w:rPr>
          <w:rFonts w:eastAsia="Calibri"/>
          <w:rtl/>
        </w:rPr>
        <w:t xml:space="preserve"> בנוגע למשתני </w:t>
      </w:r>
      <w:r w:rsidRPr="0087156B">
        <w:rPr>
          <w:rFonts w:eastAsia="Calibri"/>
          <w:rtl/>
        </w:rPr>
        <w:t>המקרו העיקריים – התוצר, האינפלציה והריבית.</w:t>
      </w:r>
      <w:r w:rsidR="00A52617" w:rsidRPr="003B2D4B">
        <w:rPr>
          <w:rFonts w:eastAsia="Calibri"/>
          <w:vertAlign w:val="superscript"/>
          <w:rtl/>
        </w:rPr>
        <w:footnoteReference w:id="1"/>
      </w:r>
      <w:r w:rsidR="00727300">
        <w:rPr>
          <w:rFonts w:eastAsia="Calibri" w:hint="cs"/>
          <w:rtl/>
        </w:rPr>
        <w:t xml:space="preserve"> </w:t>
      </w:r>
      <w:r w:rsidR="00B34F35" w:rsidRPr="00166515">
        <w:rPr>
          <w:rFonts w:hint="cs"/>
          <w:rtl/>
        </w:rPr>
        <w:t>תחזית זו גובשה בעיצומ</w:t>
      </w:r>
      <w:r w:rsidR="00B34F35">
        <w:rPr>
          <w:rFonts w:hint="cs"/>
          <w:rtl/>
        </w:rPr>
        <w:t>ה</w:t>
      </w:r>
      <w:r w:rsidR="00B34F35" w:rsidRPr="00166515">
        <w:rPr>
          <w:rFonts w:hint="cs"/>
          <w:rtl/>
        </w:rPr>
        <w:t xml:space="preserve"> של </w:t>
      </w:r>
      <w:r w:rsidR="00D95F4F">
        <w:rPr>
          <w:rFonts w:hint="cs"/>
          <w:rtl/>
        </w:rPr>
        <w:t>מלחמת "חרבות ברזל"</w:t>
      </w:r>
      <w:r w:rsidR="00B34F35">
        <w:rPr>
          <w:rFonts w:hint="cs"/>
          <w:rtl/>
        </w:rPr>
        <w:t xml:space="preserve"> שפרצה ב-7 לאוקטובר 2023</w:t>
      </w:r>
      <w:r w:rsidR="0098468A">
        <w:rPr>
          <w:rFonts w:hint="cs"/>
          <w:rtl/>
        </w:rPr>
        <w:t>,</w:t>
      </w:r>
      <w:r w:rsidR="00691F15">
        <w:rPr>
          <w:rFonts w:hint="cs"/>
          <w:rtl/>
        </w:rPr>
        <w:t xml:space="preserve"> עם התקיפה האכזרית של ארגו</w:t>
      </w:r>
      <w:r w:rsidR="00C604C3">
        <w:rPr>
          <w:rFonts w:hint="cs"/>
          <w:rtl/>
        </w:rPr>
        <w:t>ני הטרור מעזה</w:t>
      </w:r>
      <w:r w:rsidR="00122671">
        <w:rPr>
          <w:rFonts w:hint="cs"/>
          <w:rtl/>
        </w:rPr>
        <w:t>, ו</w:t>
      </w:r>
      <w:r w:rsidR="00CF536F">
        <w:rPr>
          <w:rFonts w:hint="cs"/>
          <w:rtl/>
        </w:rPr>
        <w:t xml:space="preserve">היא </w:t>
      </w:r>
      <w:r w:rsidR="009139B0">
        <w:rPr>
          <w:rFonts w:hint="cs"/>
          <w:rtl/>
        </w:rPr>
        <w:t>מהווה עדכון</w:t>
      </w:r>
      <w:r w:rsidR="00D87E53">
        <w:rPr>
          <w:rFonts w:hint="cs"/>
          <w:rtl/>
        </w:rPr>
        <w:t xml:space="preserve"> לתחזית שלא מן המני</w:t>
      </w:r>
      <w:r w:rsidR="00CF536F">
        <w:rPr>
          <w:rFonts w:hint="cs"/>
          <w:rtl/>
        </w:rPr>
        <w:t>י</w:t>
      </w:r>
      <w:r w:rsidR="00D87E53">
        <w:rPr>
          <w:rFonts w:hint="cs"/>
          <w:rtl/>
        </w:rPr>
        <w:t>ן שפורסמה בנובמבר</w:t>
      </w:r>
      <w:r w:rsidR="00B34F35" w:rsidRPr="00166515">
        <w:rPr>
          <w:rFonts w:hint="cs"/>
          <w:rtl/>
        </w:rPr>
        <w:t>.</w:t>
      </w:r>
      <w:r w:rsidR="00C47183">
        <w:rPr>
          <w:rFonts w:hint="cs"/>
          <w:rtl/>
        </w:rPr>
        <w:t xml:space="preserve"> </w:t>
      </w:r>
      <w:r w:rsidR="00B5670A" w:rsidRPr="00B5670A">
        <w:rPr>
          <w:rFonts w:eastAsia="Calibri"/>
          <w:rtl/>
        </w:rPr>
        <w:t xml:space="preserve">בדומה לתחזית </w:t>
      </w:r>
      <w:r w:rsidR="0098468A">
        <w:rPr>
          <w:rFonts w:eastAsia="Calibri" w:hint="cs"/>
          <w:rtl/>
        </w:rPr>
        <w:t>מ</w:t>
      </w:r>
      <w:r w:rsidR="00B5670A" w:rsidRPr="00B5670A">
        <w:rPr>
          <w:rFonts w:eastAsia="Calibri"/>
          <w:rtl/>
        </w:rPr>
        <w:t xml:space="preserve">נובמבר 2023, התחזית הנוכחית נבנתה תחת ההנחה </w:t>
      </w:r>
      <w:r w:rsidR="00CD3399">
        <w:rPr>
          <w:rFonts w:eastAsia="Calibri" w:hint="cs"/>
          <w:rtl/>
        </w:rPr>
        <w:t xml:space="preserve">שההשפעה הכלכלית הישירה של המלחמה הגיעה לשיאה </w:t>
      </w:r>
      <w:r w:rsidR="00B5670A" w:rsidRPr="00B5670A">
        <w:rPr>
          <w:rFonts w:eastAsia="Calibri"/>
          <w:rtl/>
        </w:rPr>
        <w:t xml:space="preserve">ברבעון הרביעי של 2023, </w:t>
      </w:r>
      <w:r w:rsidR="00CD3399">
        <w:rPr>
          <w:rFonts w:eastAsia="Calibri" w:hint="cs"/>
          <w:rtl/>
        </w:rPr>
        <w:t xml:space="preserve">ושהיא </w:t>
      </w:r>
      <w:r w:rsidR="00B5670A" w:rsidRPr="00B5670A">
        <w:rPr>
          <w:rFonts w:eastAsia="Calibri"/>
          <w:rtl/>
        </w:rPr>
        <w:t>ת</w:t>
      </w:r>
      <w:r w:rsidR="00E51155">
        <w:rPr>
          <w:rFonts w:eastAsia="Calibri" w:hint="cs"/>
          <w:rtl/>
        </w:rPr>
        <w:t>י</w:t>
      </w:r>
      <w:r w:rsidR="00B5670A" w:rsidRPr="00B5670A">
        <w:rPr>
          <w:rFonts w:eastAsia="Calibri"/>
          <w:rtl/>
        </w:rPr>
        <w:t xml:space="preserve">משך </w:t>
      </w:r>
      <w:r w:rsidR="00193E4E">
        <w:rPr>
          <w:rFonts w:eastAsia="Calibri" w:hint="cs"/>
          <w:rtl/>
        </w:rPr>
        <w:t>עד לסוף</w:t>
      </w:r>
      <w:r w:rsidR="00B5670A" w:rsidRPr="00B5670A">
        <w:rPr>
          <w:rFonts w:eastAsia="Calibri"/>
          <w:rtl/>
        </w:rPr>
        <w:t xml:space="preserve"> 2024 </w:t>
      </w:r>
      <w:r w:rsidR="00CD3399">
        <w:rPr>
          <w:rFonts w:eastAsia="Calibri" w:hint="cs"/>
          <w:rtl/>
        </w:rPr>
        <w:t xml:space="preserve">אך </w:t>
      </w:r>
      <w:r w:rsidR="00B5670A" w:rsidRPr="00B5670A">
        <w:rPr>
          <w:rFonts w:eastAsia="Calibri"/>
          <w:rtl/>
        </w:rPr>
        <w:t>בעצימות</w:t>
      </w:r>
      <w:r w:rsidR="003A0896">
        <w:rPr>
          <w:rFonts w:eastAsia="Calibri" w:hint="cs"/>
          <w:rtl/>
        </w:rPr>
        <w:t xml:space="preserve"> הולכת</w:t>
      </w:r>
      <w:r w:rsidR="00B5670A" w:rsidRPr="00B5670A">
        <w:rPr>
          <w:rFonts w:eastAsia="Calibri"/>
          <w:rtl/>
        </w:rPr>
        <w:t xml:space="preserve"> </w:t>
      </w:r>
      <w:r w:rsidR="003A0896">
        <w:rPr>
          <w:rFonts w:eastAsia="Calibri" w:hint="cs"/>
          <w:rtl/>
        </w:rPr>
        <w:t>ו</w:t>
      </w:r>
      <w:r w:rsidR="00B5670A" w:rsidRPr="00B5670A">
        <w:rPr>
          <w:rFonts w:eastAsia="Calibri"/>
          <w:rtl/>
        </w:rPr>
        <w:t>פוחתת</w:t>
      </w:r>
      <w:r w:rsidR="00CF536F">
        <w:rPr>
          <w:rFonts w:eastAsia="Calibri" w:hint="cs"/>
          <w:rtl/>
        </w:rPr>
        <w:t xml:space="preserve">. </w:t>
      </w:r>
      <w:r w:rsidR="002A30ED" w:rsidRPr="002A30ED">
        <w:rPr>
          <w:rFonts w:eastAsia="Calibri" w:hint="cs"/>
          <w:rtl/>
        </w:rPr>
        <w:t>עבור 2025 ההנחה היא שלא יהיו השפעות  לחימה מהותיות נוספות</w:t>
      </w:r>
      <w:r w:rsidR="002A30ED" w:rsidRPr="002A30ED">
        <w:rPr>
          <w:rFonts w:eastAsia="Calibri"/>
          <w:rtl/>
        </w:rPr>
        <w:t>.</w:t>
      </w:r>
      <w:r w:rsidR="002A30ED" w:rsidRPr="002A30ED">
        <w:rPr>
          <w:rFonts w:eastAsia="Calibri" w:hint="cs"/>
          <w:rtl/>
        </w:rPr>
        <w:t xml:space="preserve"> </w:t>
      </w:r>
      <w:r w:rsidR="00B5670A" w:rsidRPr="00B5670A">
        <w:rPr>
          <w:rFonts w:eastAsia="Calibri"/>
          <w:rtl/>
        </w:rPr>
        <w:t xml:space="preserve"> </w:t>
      </w:r>
      <w:r w:rsidR="00A80F08">
        <w:rPr>
          <w:rFonts w:eastAsia="Calibri" w:hint="cs"/>
          <w:rtl/>
        </w:rPr>
        <w:t>כמו כן</w:t>
      </w:r>
      <w:r w:rsidR="00B5670A" w:rsidRPr="00B5670A">
        <w:rPr>
          <w:rFonts w:eastAsia="Calibri"/>
          <w:rtl/>
        </w:rPr>
        <w:t xml:space="preserve">, אנו מניחים כי חלק הארי של המלחמה </w:t>
      </w:r>
      <w:r w:rsidR="00CD3399">
        <w:rPr>
          <w:rFonts w:eastAsia="Calibri" w:hint="cs"/>
          <w:rtl/>
        </w:rPr>
        <w:t>ימשיך להיות מוגבל ל</w:t>
      </w:r>
      <w:r w:rsidR="00B5670A" w:rsidRPr="00B5670A">
        <w:rPr>
          <w:rFonts w:eastAsia="Calibri"/>
          <w:rtl/>
        </w:rPr>
        <w:t>עזה.</w:t>
      </w:r>
      <w:r w:rsidR="00C47183">
        <w:rPr>
          <w:rFonts w:eastAsia="Calibri" w:hint="cs"/>
          <w:rtl/>
        </w:rPr>
        <w:t xml:space="preserve"> </w:t>
      </w:r>
      <w:r w:rsidR="00B5670A" w:rsidRPr="00B5670A">
        <w:rPr>
          <w:rFonts w:eastAsia="Calibri"/>
          <w:rtl/>
        </w:rPr>
        <w:t xml:space="preserve">מטבע הדברים, התחזית מאופיינת ברמה גבוהה במיוחד של אי ודאות, בין היתר </w:t>
      </w:r>
      <w:r w:rsidR="00C47183">
        <w:rPr>
          <w:rFonts w:eastAsia="Calibri"/>
          <w:rtl/>
        </w:rPr>
        <w:t>בנוגע למשך ואופי המלחמה</w:t>
      </w:r>
      <w:r w:rsidR="00122671">
        <w:rPr>
          <w:rFonts w:eastAsia="Calibri" w:hint="cs"/>
          <w:rtl/>
        </w:rPr>
        <w:t xml:space="preserve"> בעזה והאפשרות להחמרה בחזית הצפונית</w:t>
      </w:r>
      <w:r w:rsidR="0081170E">
        <w:rPr>
          <w:rFonts w:hint="cs"/>
          <w:b/>
          <w:bCs/>
          <w:rtl/>
        </w:rPr>
        <w:t>,</w:t>
      </w:r>
      <w:r w:rsidR="0081170E" w:rsidRPr="0081170E">
        <w:rPr>
          <w:b/>
          <w:bCs/>
          <w:rtl/>
        </w:rPr>
        <w:t xml:space="preserve"> </w:t>
      </w:r>
      <w:r w:rsidR="0081170E" w:rsidRPr="00507A73">
        <w:rPr>
          <w:rFonts w:eastAsia="Calibri" w:hint="eastAsia"/>
          <w:rtl/>
        </w:rPr>
        <w:t>ובאשר</w:t>
      </w:r>
      <w:r w:rsidR="0081170E" w:rsidRPr="00507A73">
        <w:rPr>
          <w:rFonts w:eastAsia="Calibri"/>
          <w:rtl/>
        </w:rPr>
        <w:t xml:space="preserve"> להחלטות </w:t>
      </w:r>
      <w:r w:rsidR="0081170E" w:rsidRPr="00507A73">
        <w:rPr>
          <w:rFonts w:eastAsia="Calibri" w:hint="eastAsia"/>
          <w:rtl/>
        </w:rPr>
        <w:t>שתקבל</w:t>
      </w:r>
      <w:r w:rsidR="0081170E" w:rsidRPr="00507A73">
        <w:rPr>
          <w:rFonts w:eastAsia="Calibri"/>
          <w:rtl/>
        </w:rPr>
        <w:t xml:space="preserve"> הממשלה לגבי ההתמודדות </w:t>
      </w:r>
      <w:r w:rsidR="0081170E" w:rsidRPr="00507A73">
        <w:rPr>
          <w:rFonts w:eastAsia="Calibri" w:hint="eastAsia"/>
          <w:rtl/>
        </w:rPr>
        <w:t>התקציבית</w:t>
      </w:r>
      <w:r w:rsidR="0081170E" w:rsidRPr="00507A73">
        <w:rPr>
          <w:rFonts w:eastAsia="Calibri"/>
          <w:rtl/>
        </w:rPr>
        <w:t xml:space="preserve"> עם הצרכים הביטחוניים והאזרחיים הנובעים מ</w:t>
      </w:r>
      <w:r w:rsidR="0081170E" w:rsidRPr="00507A73">
        <w:rPr>
          <w:rFonts w:eastAsia="Calibri" w:hint="eastAsia"/>
          <w:rtl/>
        </w:rPr>
        <w:t>המלחמה</w:t>
      </w:r>
      <w:r w:rsidR="00122671">
        <w:rPr>
          <w:rFonts w:eastAsia="Calibri"/>
          <w:rtl/>
        </w:rPr>
        <w:t>.</w:t>
      </w:r>
    </w:p>
    <w:p w14:paraId="6D532261" w14:textId="076228D8" w:rsidR="00B144DA" w:rsidRPr="00B144DA" w:rsidRDefault="00B5670A" w:rsidP="008B753E">
      <w:pPr>
        <w:spacing w:after="120"/>
        <w:jc w:val="both"/>
        <w:rPr>
          <w:rFonts w:eastAsia="Calibri"/>
          <w:rtl/>
        </w:rPr>
      </w:pPr>
      <w:r w:rsidRPr="00B5670A">
        <w:rPr>
          <w:rFonts w:eastAsia="Calibri"/>
          <w:rtl/>
        </w:rPr>
        <w:t>על פי התחזית, התוצר צפוי לצמוח בשיעור של 2% ב</w:t>
      </w:r>
      <w:r w:rsidR="007B5A0E">
        <w:rPr>
          <w:rFonts w:eastAsia="Calibri" w:hint="cs"/>
          <w:rtl/>
        </w:rPr>
        <w:t>כל אחת מהשנים 2023</w:t>
      </w:r>
      <w:r w:rsidR="008B753E">
        <w:rPr>
          <w:rFonts w:eastAsia="Calibri" w:hint="eastAsia"/>
          <w:rtl/>
        </w:rPr>
        <w:t>–</w:t>
      </w:r>
      <w:r w:rsidR="008B753E">
        <w:rPr>
          <w:rFonts w:eastAsia="Calibri" w:hint="cs"/>
          <w:rtl/>
        </w:rPr>
        <w:t>20</w:t>
      </w:r>
      <w:r w:rsidR="007B5A0E">
        <w:rPr>
          <w:rFonts w:eastAsia="Calibri" w:hint="cs"/>
          <w:rtl/>
        </w:rPr>
        <w:t>24</w:t>
      </w:r>
      <w:r w:rsidR="00D31644">
        <w:rPr>
          <w:rFonts w:eastAsia="Calibri" w:hint="cs"/>
          <w:rtl/>
        </w:rPr>
        <w:t>, בדומה להערכתנו בתחזית נובמבר</w:t>
      </w:r>
      <w:r w:rsidR="00F8106B">
        <w:rPr>
          <w:rFonts w:eastAsia="Calibri" w:hint="cs"/>
          <w:rtl/>
        </w:rPr>
        <w:t>, וב-5% בשנת 2025</w:t>
      </w:r>
      <w:r w:rsidRPr="00B5670A">
        <w:rPr>
          <w:rFonts w:eastAsia="Calibri"/>
          <w:rtl/>
        </w:rPr>
        <w:t>. שיעור האינפלציה ב</w:t>
      </w:r>
      <w:r w:rsidR="00CF536F">
        <w:rPr>
          <w:rFonts w:eastAsia="Calibri" w:hint="cs"/>
          <w:rtl/>
        </w:rPr>
        <w:t xml:space="preserve">מהלך </w:t>
      </w:r>
      <w:r w:rsidRPr="00B5670A">
        <w:rPr>
          <w:rFonts w:eastAsia="Calibri"/>
          <w:rtl/>
        </w:rPr>
        <w:t>שנת 2024 צפוי להיות 2.</w:t>
      </w:r>
      <w:r w:rsidR="00A80F08">
        <w:rPr>
          <w:rFonts w:eastAsia="Calibri" w:hint="cs"/>
          <w:rtl/>
        </w:rPr>
        <w:t>4</w:t>
      </w:r>
      <w:r w:rsidRPr="00B5670A">
        <w:rPr>
          <w:rFonts w:eastAsia="Calibri"/>
          <w:rtl/>
        </w:rPr>
        <w:t>%</w:t>
      </w:r>
      <w:r w:rsidR="00D31644">
        <w:rPr>
          <w:rFonts w:eastAsia="Calibri" w:hint="cs"/>
          <w:rtl/>
        </w:rPr>
        <w:t xml:space="preserve"> (</w:t>
      </w:r>
      <w:r w:rsidR="00A80F08">
        <w:rPr>
          <w:rFonts w:eastAsia="Calibri" w:hint="cs"/>
          <w:rtl/>
        </w:rPr>
        <w:t>בדומה ל</w:t>
      </w:r>
      <w:r w:rsidR="00D31644">
        <w:rPr>
          <w:rFonts w:eastAsia="Calibri" w:hint="cs"/>
          <w:rtl/>
        </w:rPr>
        <w:t>תחזית נובמבר)</w:t>
      </w:r>
      <w:r w:rsidR="00550ACA">
        <w:rPr>
          <w:rFonts w:eastAsia="Calibri" w:hint="cs"/>
          <w:rtl/>
        </w:rPr>
        <w:t xml:space="preserve"> ואילו </w:t>
      </w:r>
      <w:r w:rsidR="00CF536F">
        <w:rPr>
          <w:rFonts w:eastAsia="Calibri" w:hint="cs"/>
          <w:rtl/>
        </w:rPr>
        <w:t xml:space="preserve">במהלך </w:t>
      </w:r>
      <w:r w:rsidR="00550ACA">
        <w:rPr>
          <w:rFonts w:eastAsia="Calibri" w:hint="cs"/>
          <w:rtl/>
        </w:rPr>
        <w:t xml:space="preserve">שנת 2025 הוא </w:t>
      </w:r>
      <w:r w:rsidR="007B5A0E">
        <w:rPr>
          <w:rFonts w:eastAsia="Calibri" w:hint="cs"/>
          <w:rtl/>
        </w:rPr>
        <w:t xml:space="preserve">צפוי לעמוד </w:t>
      </w:r>
      <w:r w:rsidR="00550ACA">
        <w:rPr>
          <w:rFonts w:eastAsia="Calibri" w:hint="cs"/>
          <w:rtl/>
        </w:rPr>
        <w:t>על 2%</w:t>
      </w:r>
      <w:r w:rsidR="00A80F08">
        <w:rPr>
          <w:rFonts w:eastAsia="Calibri" w:hint="cs"/>
          <w:rtl/>
        </w:rPr>
        <w:t>.</w:t>
      </w:r>
      <w:r w:rsidRPr="00B5670A">
        <w:rPr>
          <w:rFonts w:eastAsia="Calibri"/>
          <w:rtl/>
        </w:rPr>
        <w:t xml:space="preserve"> ברבעון ה</w:t>
      </w:r>
      <w:r w:rsidR="00D31644">
        <w:rPr>
          <w:rFonts w:eastAsia="Calibri" w:hint="cs"/>
          <w:rtl/>
        </w:rPr>
        <w:t>רביעי</w:t>
      </w:r>
      <w:r w:rsidRPr="00B5670A">
        <w:rPr>
          <w:rFonts w:eastAsia="Calibri"/>
          <w:rtl/>
        </w:rPr>
        <w:t xml:space="preserve"> של 2024 הריבית צפויה לעמוד על </w:t>
      </w:r>
      <w:r w:rsidR="00A80F08">
        <w:rPr>
          <w:rFonts w:eastAsia="Calibri" w:hint="cs"/>
          <w:rtl/>
        </w:rPr>
        <w:t>3.75</w:t>
      </w:r>
      <w:r w:rsidRPr="00B5670A">
        <w:rPr>
          <w:rFonts w:eastAsia="Calibri"/>
          <w:rtl/>
        </w:rPr>
        <w:t>%</w:t>
      </w:r>
      <w:r w:rsidR="00854A84">
        <w:rPr>
          <w:rFonts w:eastAsia="Calibri" w:hint="cs"/>
          <w:rtl/>
        </w:rPr>
        <w:t>/4.0%</w:t>
      </w:r>
      <w:r w:rsidRPr="00B5670A">
        <w:rPr>
          <w:rFonts w:eastAsia="Calibri"/>
          <w:rtl/>
        </w:rPr>
        <w:t>.</w:t>
      </w:r>
    </w:p>
    <w:p w14:paraId="295AE7A3" w14:textId="77777777" w:rsidR="003B2D4B" w:rsidRPr="003B2D4B" w:rsidRDefault="003B2D4B" w:rsidP="00597143">
      <w:pPr>
        <w:pStyle w:val="1"/>
        <w:rPr>
          <w:rtl/>
        </w:rPr>
      </w:pPr>
      <w:r w:rsidRPr="003B2D4B">
        <w:rPr>
          <w:rtl/>
        </w:rPr>
        <w:t>התחזית</w:t>
      </w:r>
    </w:p>
    <w:p w14:paraId="1F75308F" w14:textId="6059BE0F" w:rsidR="003B2D4B" w:rsidRPr="00B27CD2" w:rsidRDefault="003A0896" w:rsidP="00A02DF4">
      <w:pPr>
        <w:spacing w:after="120"/>
        <w:jc w:val="both"/>
        <w:rPr>
          <w:rFonts w:eastAsia="Calibri"/>
          <w:rtl/>
        </w:rPr>
      </w:pPr>
      <w:r w:rsidRPr="003A0896">
        <w:rPr>
          <w:rFonts w:eastAsia="Calibri"/>
          <w:rtl/>
        </w:rPr>
        <w:t>חטיבת המחקר של בנק ישראל עורכת בכל רבעון תחזית מקרו-כלכלית שמתבססת על מספר מודלים</w:t>
      </w:r>
      <w:r w:rsidR="003B2D4B" w:rsidRPr="003B2D4B">
        <w:rPr>
          <w:rFonts w:eastAsia="Calibri"/>
          <w:rtl/>
        </w:rPr>
        <w:t>, על מקורות מידע שונים ועל הערכות שיפוטיות. בתהליך זה יש תפקיד מרכזי למודל ה-</w:t>
      </w:r>
      <w:r w:rsidR="003B2D4B" w:rsidRPr="003B2D4B">
        <w:rPr>
          <w:rFonts w:eastAsia="Calibri"/>
        </w:rPr>
        <w:t>DSGE</w:t>
      </w:r>
      <w:r w:rsidR="003B2D4B" w:rsidRPr="003B2D4B">
        <w:rPr>
          <w:rFonts w:eastAsia="Calibri"/>
          <w:rtl/>
        </w:rPr>
        <w:t xml:space="preserve"> (</w:t>
      </w:r>
      <w:r w:rsidR="003B2D4B" w:rsidRPr="003B2D4B">
        <w:rPr>
          <w:rFonts w:eastAsia="Calibri"/>
        </w:rPr>
        <w:t>Dynamic Stochastic General Equilibrium</w:t>
      </w:r>
      <w:r w:rsidR="003B2D4B" w:rsidRPr="003B2D4B">
        <w:rPr>
          <w:rFonts w:eastAsia="Calibri"/>
          <w:rtl/>
        </w:rPr>
        <w:t>) שפותח בחטיבת המחקר – מודל מבני שמבוסס על יסודות מיקרו-כלכליים.</w:t>
      </w:r>
      <w:r w:rsidR="003B2D4B" w:rsidRPr="003B2D4B">
        <w:rPr>
          <w:rFonts w:eastAsia="Calibri"/>
          <w:vertAlign w:val="superscript"/>
          <w:rtl/>
        </w:rPr>
        <w:footnoteReference w:id="2"/>
      </w:r>
      <w:r w:rsidR="003B2D4B" w:rsidRPr="003B2D4B">
        <w:rPr>
          <w:rFonts w:eastAsia="Calibri"/>
          <w:rtl/>
        </w:rPr>
        <w:t xml:space="preserve"> המודל מספק מסגרת לניתוח הכוחות המשפיעים על הכלכלה ומאפשר לגב</w:t>
      </w:r>
      <w:r w:rsidR="003B2D4B" w:rsidRPr="00B27CD2">
        <w:rPr>
          <w:rFonts w:eastAsia="Calibri"/>
          <w:rtl/>
        </w:rPr>
        <w:t xml:space="preserve">ש את המידע מהמקורות השונים לכדי תחזית מקרו-כלכלית למשתנים ריאליים ונומינליים, המתאפיינת בעקביות פנימית ובסיפור כלכלי. </w:t>
      </w:r>
    </w:p>
    <w:p w14:paraId="6DD49758" w14:textId="3F5A688E" w:rsidR="000D2878" w:rsidRPr="003B2D4B" w:rsidRDefault="00F2124E" w:rsidP="00E51155">
      <w:pPr>
        <w:spacing w:after="120"/>
        <w:jc w:val="both"/>
        <w:rPr>
          <w:rFonts w:eastAsia="Calibri"/>
          <w:rtl/>
        </w:rPr>
      </w:pPr>
      <w:r w:rsidRPr="00B27CD2">
        <w:rPr>
          <w:rFonts w:eastAsia="Calibri"/>
          <w:rtl/>
        </w:rPr>
        <w:t xml:space="preserve">לצורך </w:t>
      </w:r>
      <w:r w:rsidRPr="00B27CD2">
        <w:rPr>
          <w:rFonts w:eastAsia="Calibri" w:hint="cs"/>
          <w:rtl/>
        </w:rPr>
        <w:t>גיבוש אומדנים</w:t>
      </w:r>
      <w:r w:rsidRPr="00B27CD2">
        <w:rPr>
          <w:rFonts w:eastAsia="Calibri"/>
          <w:rtl/>
        </w:rPr>
        <w:t xml:space="preserve"> </w:t>
      </w:r>
      <w:r w:rsidRPr="00B27CD2">
        <w:rPr>
          <w:rFonts w:eastAsia="Calibri" w:hint="cs"/>
          <w:rtl/>
        </w:rPr>
        <w:t>ל</w:t>
      </w:r>
      <w:r w:rsidRPr="00B27CD2">
        <w:rPr>
          <w:rFonts w:eastAsia="Calibri"/>
          <w:rtl/>
        </w:rPr>
        <w:t>השפעות הכלכליות</w:t>
      </w:r>
      <w:r w:rsidRPr="00B27CD2">
        <w:rPr>
          <w:rFonts w:eastAsia="Calibri" w:hint="cs"/>
          <w:rtl/>
        </w:rPr>
        <w:t xml:space="preserve"> </w:t>
      </w:r>
      <w:r w:rsidRPr="00B27CD2">
        <w:rPr>
          <w:rFonts w:eastAsia="Calibri"/>
          <w:rtl/>
        </w:rPr>
        <w:t>של ה</w:t>
      </w:r>
      <w:r w:rsidRPr="00B27CD2">
        <w:rPr>
          <w:rFonts w:eastAsia="Calibri" w:hint="cs"/>
          <w:rtl/>
        </w:rPr>
        <w:t xml:space="preserve">מלחמה </w:t>
      </w:r>
      <w:r w:rsidR="000D2878" w:rsidRPr="00B27CD2">
        <w:rPr>
          <w:rFonts w:eastAsia="Calibri"/>
          <w:rtl/>
        </w:rPr>
        <w:t xml:space="preserve">הושם דגש מיוחד על ניתוח </w:t>
      </w:r>
      <w:r w:rsidRPr="00B27CD2">
        <w:rPr>
          <w:rFonts w:eastAsia="Calibri" w:hint="cs"/>
          <w:rtl/>
        </w:rPr>
        <w:t>נתונים מהירים המעידים על היקפי הפגיעה עד כה</w:t>
      </w:r>
      <w:r w:rsidR="009A55FB" w:rsidRPr="00B27CD2">
        <w:rPr>
          <w:rFonts w:eastAsia="Calibri" w:hint="cs"/>
          <w:rtl/>
        </w:rPr>
        <w:t xml:space="preserve"> בתוצר ענפי המשק ובשימושים</w:t>
      </w:r>
      <w:r w:rsidR="0068311A" w:rsidRPr="00B27CD2">
        <w:rPr>
          <w:rFonts w:eastAsia="Calibri" w:hint="cs"/>
          <w:rtl/>
        </w:rPr>
        <w:t>,</w:t>
      </w:r>
      <w:r w:rsidRPr="00B27CD2">
        <w:rPr>
          <w:rFonts w:eastAsia="Calibri" w:hint="cs"/>
          <w:rtl/>
        </w:rPr>
        <w:t xml:space="preserve"> וכן על </w:t>
      </w:r>
      <w:r w:rsidR="00C86DF3" w:rsidRPr="00B27CD2">
        <w:rPr>
          <w:rFonts w:eastAsia="Calibri" w:hint="cs"/>
          <w:rtl/>
        </w:rPr>
        <w:t xml:space="preserve">ניתוח של </w:t>
      </w:r>
      <w:r w:rsidR="00C96086" w:rsidRPr="00B27CD2">
        <w:rPr>
          <w:rFonts w:eastAsia="Calibri" w:hint="cs"/>
          <w:rtl/>
        </w:rPr>
        <w:lastRenderedPageBreak/>
        <w:t>אירועים ביטחוניים מן ה</w:t>
      </w:r>
      <w:r w:rsidR="000D2878" w:rsidRPr="00B27CD2">
        <w:rPr>
          <w:rFonts w:eastAsia="Calibri" w:hint="cs"/>
          <w:rtl/>
        </w:rPr>
        <w:t>עבר</w:t>
      </w:r>
      <w:r w:rsidR="000D2878" w:rsidRPr="00B27CD2">
        <w:rPr>
          <w:rFonts w:eastAsia="Calibri"/>
          <w:rtl/>
        </w:rPr>
        <w:t xml:space="preserve">. </w:t>
      </w:r>
      <w:r w:rsidR="00BF5708" w:rsidRPr="00B27CD2">
        <w:rPr>
          <w:rFonts w:eastAsia="Calibri" w:hint="cs"/>
          <w:rtl/>
        </w:rPr>
        <w:t>ה</w:t>
      </w:r>
      <w:r w:rsidR="003A5BC1" w:rsidRPr="00B27CD2">
        <w:rPr>
          <w:rFonts w:eastAsia="Calibri" w:hint="cs"/>
          <w:rtl/>
        </w:rPr>
        <w:t xml:space="preserve">ניתוח </w:t>
      </w:r>
      <w:r w:rsidR="00BF5708" w:rsidRPr="00B27CD2">
        <w:rPr>
          <w:rFonts w:eastAsia="Calibri" w:hint="cs"/>
          <w:rtl/>
        </w:rPr>
        <w:t>הסתייע בהערכות</w:t>
      </w:r>
      <w:r w:rsidR="00E51155">
        <w:rPr>
          <w:rFonts w:eastAsia="Calibri" w:hint="cs"/>
          <w:rtl/>
        </w:rPr>
        <w:t xml:space="preserve"> לגבי </w:t>
      </w:r>
      <w:r w:rsidR="003A5BC1">
        <w:rPr>
          <w:rFonts w:eastAsia="Calibri" w:hint="cs"/>
          <w:rtl/>
        </w:rPr>
        <w:t>היקף הפגיעה בצד ההיצע</w:t>
      </w:r>
      <w:r w:rsidR="00E51155">
        <w:rPr>
          <w:rFonts w:eastAsia="Calibri" w:hint="cs"/>
          <w:rtl/>
        </w:rPr>
        <w:t xml:space="preserve"> </w:t>
      </w:r>
      <w:r w:rsidR="00E51155" w:rsidRPr="00E51155">
        <w:rPr>
          <w:rFonts w:eastAsia="Calibri" w:hint="cs"/>
          <w:rtl/>
        </w:rPr>
        <w:t>ברמה הענפית</w:t>
      </w:r>
      <w:r w:rsidR="00CF536F">
        <w:rPr>
          <w:rFonts w:eastAsia="Calibri" w:hint="cs"/>
          <w:rtl/>
        </w:rPr>
        <w:t>,</w:t>
      </w:r>
      <w:r w:rsidR="003A5BC1">
        <w:rPr>
          <w:rFonts w:eastAsia="Calibri" w:hint="cs"/>
          <w:rtl/>
        </w:rPr>
        <w:t xml:space="preserve"> הנובעת </w:t>
      </w:r>
      <w:r w:rsidR="006E15ED">
        <w:rPr>
          <w:rFonts w:eastAsia="Calibri" w:hint="cs"/>
          <w:rtl/>
        </w:rPr>
        <w:t xml:space="preserve">בין היתר </w:t>
      </w:r>
      <w:r w:rsidR="003A5BC1">
        <w:rPr>
          <w:rFonts w:eastAsia="Calibri" w:hint="cs"/>
          <w:rtl/>
        </w:rPr>
        <w:t>מהמחסור בעובדים במהלך תקופת הלחימה</w:t>
      </w:r>
      <w:r w:rsidR="003E14C2">
        <w:rPr>
          <w:rFonts w:eastAsia="Calibri" w:hint="cs"/>
          <w:rtl/>
        </w:rPr>
        <w:t xml:space="preserve"> ו</w:t>
      </w:r>
      <w:r w:rsidR="00CF536F">
        <w:rPr>
          <w:rFonts w:eastAsia="Calibri" w:hint="cs"/>
          <w:rtl/>
        </w:rPr>
        <w:t>מ</w:t>
      </w:r>
      <w:r w:rsidR="003E14C2">
        <w:rPr>
          <w:rFonts w:eastAsia="Calibri" w:hint="cs"/>
          <w:rtl/>
        </w:rPr>
        <w:t>המגבלות הביטחוניות על הפעילות</w:t>
      </w:r>
      <w:r w:rsidR="006E15ED">
        <w:rPr>
          <w:rFonts w:eastAsia="Calibri" w:hint="cs"/>
          <w:rtl/>
        </w:rPr>
        <w:t xml:space="preserve">. בצד הביקוש נותחו הנתונים שהצטברו עד כה לצורך הערכת הפגיעה </w:t>
      </w:r>
      <w:r w:rsidR="00C86DF3">
        <w:rPr>
          <w:rFonts w:eastAsia="Calibri" w:hint="cs"/>
          <w:rtl/>
        </w:rPr>
        <w:t>בשימושים השונים</w:t>
      </w:r>
      <w:r w:rsidR="006E15ED">
        <w:rPr>
          <w:rFonts w:eastAsia="Calibri" w:hint="cs"/>
          <w:rtl/>
        </w:rPr>
        <w:t>.</w:t>
      </w:r>
      <w:r w:rsidR="009A55FB">
        <w:rPr>
          <w:rFonts w:eastAsia="Calibri" w:hint="cs"/>
          <w:rtl/>
        </w:rPr>
        <w:t xml:space="preserve"> התוצאות שהתקבלו גובשו לכדי תחזית מלאה למקורות והשימושים</w:t>
      </w:r>
      <w:r w:rsidR="00CF536F">
        <w:rPr>
          <w:rFonts w:eastAsia="Calibri" w:hint="cs"/>
          <w:rtl/>
        </w:rPr>
        <w:t>,</w:t>
      </w:r>
      <w:r w:rsidR="009A55FB">
        <w:rPr>
          <w:rFonts w:eastAsia="Calibri" w:hint="cs"/>
          <w:rtl/>
        </w:rPr>
        <w:t xml:space="preserve"> באמצעות ניתוח החומרה היחסית של מגבלות הביקוש וההיצע ברכיבי הפעילות השונים.</w:t>
      </w:r>
    </w:p>
    <w:p w14:paraId="0FBEEA0E" w14:textId="77777777" w:rsidR="003B2D4B" w:rsidRPr="003B2D4B" w:rsidRDefault="003B2D4B" w:rsidP="00910C95">
      <w:pPr>
        <w:pStyle w:val="a"/>
        <w:rPr>
          <w:rtl/>
        </w:rPr>
      </w:pPr>
      <w:r w:rsidRPr="003B2D4B">
        <w:rPr>
          <w:rFonts w:hint="cs"/>
          <w:rtl/>
        </w:rPr>
        <w:t>הסביבה העולמית</w:t>
      </w:r>
    </w:p>
    <w:p w14:paraId="20785F5C" w14:textId="11E1582B" w:rsidR="000262FD" w:rsidRDefault="000262FD" w:rsidP="000F0E4C">
      <w:pPr>
        <w:spacing w:after="120"/>
        <w:jc w:val="both"/>
        <w:rPr>
          <w:rFonts w:ascii="Calibri" w:eastAsia="Calibri" w:hAnsi="Calibri"/>
          <w:rtl/>
        </w:rPr>
      </w:pPr>
      <w:r w:rsidRPr="000262FD">
        <w:rPr>
          <w:rFonts w:ascii="Calibri" w:eastAsia="Calibri" w:hAnsi="Calibri"/>
          <w:rtl/>
        </w:rPr>
        <w:t xml:space="preserve">הערכותינו לגבי ההתפתחויות בסביבה העולמית מתבססות בעיקרן על התחזיות שמגבשים מוסדות בין-לאומיים ובתי השקעות זרים. ההנחות המרכזיות לגבי הסביבה העולמית נותרו </w:t>
      </w:r>
      <w:r w:rsidR="00FF75A8">
        <w:rPr>
          <w:rFonts w:ascii="Calibri" w:eastAsia="Calibri" w:hAnsi="Calibri" w:hint="cs"/>
          <w:rtl/>
        </w:rPr>
        <w:t>דומות</w:t>
      </w:r>
      <w:r w:rsidRPr="000262FD">
        <w:rPr>
          <w:rFonts w:ascii="Calibri" w:eastAsia="Calibri" w:hAnsi="Calibri"/>
          <w:rtl/>
        </w:rPr>
        <w:t xml:space="preserve"> </w:t>
      </w:r>
      <w:r w:rsidR="000F0E4C">
        <w:rPr>
          <w:rFonts w:ascii="Calibri" w:eastAsia="Calibri" w:hAnsi="Calibri" w:hint="cs"/>
          <w:rtl/>
        </w:rPr>
        <w:t>לאלו ששימשו</w:t>
      </w:r>
      <w:r w:rsidR="000F0E4C" w:rsidRPr="000262FD">
        <w:rPr>
          <w:rFonts w:ascii="Calibri" w:eastAsia="Calibri" w:hAnsi="Calibri"/>
          <w:rtl/>
        </w:rPr>
        <w:t xml:space="preserve"> </w:t>
      </w:r>
      <w:r w:rsidRPr="000262FD">
        <w:rPr>
          <w:rFonts w:ascii="Calibri" w:eastAsia="Calibri" w:hAnsi="Calibri"/>
          <w:rtl/>
        </w:rPr>
        <w:t xml:space="preserve">לתחזית שפורסמה בנובמבר. בהתאם, אנו מניחים כי </w:t>
      </w:r>
      <w:r w:rsidR="00DC3ECA">
        <w:rPr>
          <w:rFonts w:ascii="Calibri" w:eastAsia="Calibri" w:hAnsi="Calibri" w:hint="cs"/>
          <w:rtl/>
        </w:rPr>
        <w:t xml:space="preserve">בדומה לתחזית נובמבר, </w:t>
      </w:r>
      <w:r w:rsidR="00815F31">
        <w:rPr>
          <w:rFonts w:ascii="Calibri" w:eastAsia="Calibri" w:hAnsi="Calibri" w:hint="cs"/>
          <w:rtl/>
        </w:rPr>
        <w:t xml:space="preserve">התוצר </w:t>
      </w:r>
      <w:r w:rsidRPr="000262FD">
        <w:rPr>
          <w:rFonts w:ascii="Calibri" w:eastAsia="Calibri" w:hAnsi="Calibri"/>
          <w:rtl/>
        </w:rPr>
        <w:t xml:space="preserve">במשקים המפותחים </w:t>
      </w:r>
      <w:r w:rsidR="00815F31">
        <w:rPr>
          <w:rFonts w:ascii="Calibri" w:eastAsia="Calibri" w:hAnsi="Calibri" w:hint="cs"/>
          <w:rtl/>
        </w:rPr>
        <w:t xml:space="preserve">צמח בשיעור של </w:t>
      </w:r>
      <w:r w:rsidRPr="000262FD">
        <w:rPr>
          <w:rFonts w:ascii="Calibri" w:eastAsia="Calibri" w:hAnsi="Calibri"/>
          <w:rtl/>
        </w:rPr>
        <w:t>1.</w:t>
      </w:r>
      <w:r w:rsidR="00380DE8">
        <w:rPr>
          <w:rFonts w:ascii="Calibri" w:eastAsia="Calibri" w:hAnsi="Calibri" w:hint="cs"/>
          <w:rtl/>
        </w:rPr>
        <w:t>3</w:t>
      </w:r>
      <w:r w:rsidRPr="000262FD">
        <w:rPr>
          <w:rFonts w:ascii="Calibri" w:eastAsia="Calibri" w:hAnsi="Calibri"/>
          <w:rtl/>
        </w:rPr>
        <w:t>% בשנת 2023</w:t>
      </w:r>
      <w:r w:rsidR="00F8106B">
        <w:rPr>
          <w:rFonts w:ascii="Calibri" w:eastAsia="Calibri" w:hAnsi="Calibri" w:hint="cs"/>
          <w:rtl/>
        </w:rPr>
        <w:t>,</w:t>
      </w:r>
      <w:r w:rsidRPr="000262FD">
        <w:rPr>
          <w:rFonts w:ascii="Calibri" w:eastAsia="Calibri" w:hAnsi="Calibri"/>
          <w:rtl/>
        </w:rPr>
        <w:t xml:space="preserve"> </w:t>
      </w:r>
      <w:r w:rsidR="00815F31">
        <w:rPr>
          <w:rFonts w:ascii="Calibri" w:eastAsia="Calibri" w:hAnsi="Calibri" w:hint="cs"/>
          <w:rtl/>
        </w:rPr>
        <w:t xml:space="preserve">ושהוא יצמח בשיעורים של </w:t>
      </w:r>
      <w:r w:rsidRPr="000262FD">
        <w:rPr>
          <w:rFonts w:ascii="Calibri" w:eastAsia="Calibri" w:hAnsi="Calibri"/>
          <w:rtl/>
        </w:rPr>
        <w:t xml:space="preserve">0.8% בשנת 2024 </w:t>
      </w:r>
      <w:r w:rsidR="00F8106B">
        <w:rPr>
          <w:rFonts w:ascii="Calibri" w:eastAsia="Calibri" w:hAnsi="Calibri" w:hint="cs"/>
          <w:rtl/>
        </w:rPr>
        <w:t xml:space="preserve"> ו</w:t>
      </w:r>
      <w:r w:rsidR="00815F31">
        <w:rPr>
          <w:rFonts w:ascii="Calibri" w:eastAsia="Calibri" w:hAnsi="Calibri" w:hint="cs"/>
          <w:rtl/>
        </w:rPr>
        <w:t xml:space="preserve">של </w:t>
      </w:r>
      <w:r w:rsidR="00F8106B">
        <w:rPr>
          <w:rFonts w:ascii="Calibri" w:eastAsia="Calibri" w:hAnsi="Calibri" w:hint="cs"/>
          <w:rtl/>
        </w:rPr>
        <w:t>1.5</w:t>
      </w:r>
      <w:r w:rsidR="00FF75A8">
        <w:rPr>
          <w:rFonts w:ascii="Calibri" w:eastAsia="Calibri" w:hAnsi="Calibri" w:hint="cs"/>
          <w:rtl/>
        </w:rPr>
        <w:t>%</w:t>
      </w:r>
      <w:r w:rsidR="00F8106B">
        <w:rPr>
          <w:rFonts w:ascii="Calibri" w:eastAsia="Calibri" w:hAnsi="Calibri" w:hint="cs"/>
          <w:rtl/>
        </w:rPr>
        <w:t xml:space="preserve"> בשנת 2025</w:t>
      </w:r>
      <w:r w:rsidRPr="000262FD">
        <w:rPr>
          <w:rFonts w:ascii="Calibri" w:eastAsia="Calibri" w:hAnsi="Calibri"/>
          <w:rtl/>
        </w:rPr>
        <w:t>. אשר לסחר העולמי, אנו מניחים כי הוא צמח ב-</w:t>
      </w:r>
      <w:r w:rsidR="00380DE8">
        <w:rPr>
          <w:rFonts w:ascii="Calibri" w:eastAsia="Calibri" w:hAnsi="Calibri" w:hint="cs"/>
          <w:rtl/>
        </w:rPr>
        <w:t>1.2</w:t>
      </w:r>
      <w:r w:rsidRPr="000262FD">
        <w:rPr>
          <w:rFonts w:ascii="Calibri" w:eastAsia="Calibri" w:hAnsi="Calibri"/>
          <w:rtl/>
        </w:rPr>
        <w:t>%</w:t>
      </w:r>
      <w:r w:rsidR="00043DA5">
        <w:rPr>
          <w:rFonts w:ascii="Calibri" w:eastAsia="Calibri" w:hAnsi="Calibri" w:hint="cs"/>
          <w:rtl/>
        </w:rPr>
        <w:t xml:space="preserve"> בשנת 2023, </w:t>
      </w:r>
      <w:r w:rsidR="00815F31">
        <w:rPr>
          <w:rFonts w:ascii="Calibri" w:eastAsia="Calibri" w:hAnsi="Calibri" w:hint="cs"/>
          <w:rtl/>
        </w:rPr>
        <w:t xml:space="preserve">וכן שיצמח </w:t>
      </w:r>
      <w:r w:rsidR="00043DA5">
        <w:rPr>
          <w:rFonts w:ascii="Calibri" w:eastAsia="Calibri" w:hAnsi="Calibri" w:hint="cs"/>
          <w:rtl/>
        </w:rPr>
        <w:t xml:space="preserve">ב3.5% בשנת 2024 </w:t>
      </w:r>
      <w:r w:rsidRPr="000262FD">
        <w:rPr>
          <w:rFonts w:ascii="Calibri" w:eastAsia="Calibri" w:hAnsi="Calibri"/>
          <w:rtl/>
        </w:rPr>
        <w:t>ו</w:t>
      </w:r>
      <w:r w:rsidR="00043DA5">
        <w:rPr>
          <w:rFonts w:ascii="Calibri" w:eastAsia="Calibri" w:hAnsi="Calibri" w:hint="cs"/>
          <w:rtl/>
        </w:rPr>
        <w:t>ב</w:t>
      </w:r>
      <w:r w:rsidRPr="000262FD">
        <w:rPr>
          <w:rFonts w:ascii="Calibri" w:eastAsia="Calibri" w:hAnsi="Calibri"/>
          <w:rtl/>
        </w:rPr>
        <w:t>-</w:t>
      </w:r>
      <w:r w:rsidR="00043DA5">
        <w:rPr>
          <w:rFonts w:ascii="Calibri" w:eastAsia="Calibri" w:hAnsi="Calibri" w:hint="cs"/>
          <w:rtl/>
        </w:rPr>
        <w:t>3%</w:t>
      </w:r>
      <w:r w:rsidRPr="000262FD">
        <w:rPr>
          <w:rFonts w:ascii="Calibri" w:eastAsia="Calibri" w:hAnsi="Calibri"/>
          <w:rtl/>
        </w:rPr>
        <w:t xml:space="preserve"> בשנ</w:t>
      </w:r>
      <w:r w:rsidR="00043DA5">
        <w:rPr>
          <w:rFonts w:ascii="Calibri" w:eastAsia="Calibri" w:hAnsi="Calibri" w:hint="cs"/>
          <w:rtl/>
        </w:rPr>
        <w:t>ת 2025</w:t>
      </w:r>
      <w:r w:rsidRPr="000262FD">
        <w:rPr>
          <w:rFonts w:ascii="Calibri" w:eastAsia="Calibri" w:hAnsi="Calibri"/>
          <w:rtl/>
        </w:rPr>
        <w:t xml:space="preserve">. התחזיות לאינפלציה במשקים המפותחים עודכנו </w:t>
      </w:r>
      <w:r w:rsidR="00DC3ECA">
        <w:rPr>
          <w:rFonts w:ascii="Calibri" w:eastAsia="Calibri" w:hAnsi="Calibri" w:hint="cs"/>
          <w:rtl/>
        </w:rPr>
        <w:t>ל</w:t>
      </w:r>
      <w:r w:rsidR="00DC3ECA" w:rsidRPr="000262FD">
        <w:rPr>
          <w:rFonts w:ascii="Calibri" w:eastAsia="Calibri" w:hAnsi="Calibri"/>
          <w:rtl/>
        </w:rPr>
        <w:t>-3.</w:t>
      </w:r>
      <w:r w:rsidR="00DC3ECA">
        <w:rPr>
          <w:rFonts w:ascii="Calibri" w:eastAsia="Calibri" w:hAnsi="Calibri" w:hint="cs"/>
          <w:rtl/>
        </w:rPr>
        <w:t>1</w:t>
      </w:r>
      <w:r w:rsidR="00DC3ECA" w:rsidRPr="000262FD">
        <w:rPr>
          <w:rFonts w:ascii="Calibri" w:eastAsia="Calibri" w:hAnsi="Calibri"/>
          <w:rtl/>
        </w:rPr>
        <w:t xml:space="preserve">% </w:t>
      </w:r>
      <w:r w:rsidR="00DC3ECA">
        <w:rPr>
          <w:rFonts w:ascii="Calibri" w:eastAsia="Calibri" w:hAnsi="Calibri" w:hint="cs"/>
          <w:rtl/>
        </w:rPr>
        <w:t>ו-2.3% לשנים</w:t>
      </w:r>
      <w:r w:rsidR="00DC3ECA" w:rsidRPr="000262FD">
        <w:rPr>
          <w:rFonts w:ascii="Calibri" w:eastAsia="Calibri" w:hAnsi="Calibri"/>
          <w:rtl/>
        </w:rPr>
        <w:t xml:space="preserve"> 2023</w:t>
      </w:r>
      <w:r w:rsidR="00DC3ECA">
        <w:rPr>
          <w:rFonts w:ascii="Calibri" w:eastAsia="Calibri" w:hAnsi="Calibri" w:hint="cs"/>
          <w:rtl/>
        </w:rPr>
        <w:t>-2024</w:t>
      </w:r>
      <w:r w:rsidR="00865D9A">
        <w:rPr>
          <w:rFonts w:ascii="Calibri" w:eastAsia="Calibri" w:hAnsi="Calibri" w:hint="cs"/>
          <w:rtl/>
        </w:rPr>
        <w:t>,</w:t>
      </w:r>
      <w:r w:rsidR="00DC3ECA" w:rsidRPr="000262FD">
        <w:rPr>
          <w:rFonts w:ascii="Calibri" w:eastAsia="Calibri" w:hAnsi="Calibri"/>
          <w:rtl/>
        </w:rPr>
        <w:t xml:space="preserve"> </w:t>
      </w:r>
      <w:r w:rsidR="00DC3ECA">
        <w:rPr>
          <w:rFonts w:ascii="Calibri" w:eastAsia="Calibri" w:hAnsi="Calibri" w:hint="cs"/>
          <w:rtl/>
        </w:rPr>
        <w:t xml:space="preserve">לעומת </w:t>
      </w:r>
      <w:r w:rsidR="00DC3ECA" w:rsidRPr="000262FD">
        <w:rPr>
          <w:rFonts w:ascii="Calibri" w:eastAsia="Calibri" w:hAnsi="Calibri"/>
          <w:rtl/>
        </w:rPr>
        <w:t xml:space="preserve">3.4% </w:t>
      </w:r>
      <w:r w:rsidR="00DC3ECA">
        <w:rPr>
          <w:rFonts w:ascii="Calibri" w:eastAsia="Calibri" w:hAnsi="Calibri" w:hint="cs"/>
          <w:rtl/>
        </w:rPr>
        <w:t xml:space="preserve">ו-2.3% </w:t>
      </w:r>
      <w:r w:rsidR="00DC3ECA" w:rsidRPr="000262FD">
        <w:rPr>
          <w:rFonts w:ascii="Calibri" w:eastAsia="Calibri" w:hAnsi="Calibri"/>
          <w:rtl/>
        </w:rPr>
        <w:t>ב</w:t>
      </w:r>
      <w:r w:rsidR="00DC3ECA">
        <w:rPr>
          <w:rFonts w:ascii="Calibri" w:eastAsia="Calibri" w:hAnsi="Calibri" w:hint="cs"/>
          <w:rtl/>
        </w:rPr>
        <w:t xml:space="preserve">תחזית </w:t>
      </w:r>
      <w:r w:rsidR="00DC3ECA" w:rsidRPr="000262FD">
        <w:rPr>
          <w:rFonts w:ascii="Calibri" w:eastAsia="Calibri" w:hAnsi="Calibri"/>
          <w:rtl/>
        </w:rPr>
        <w:t>נובמבר</w:t>
      </w:r>
      <w:r w:rsidR="00865D9A">
        <w:rPr>
          <w:rFonts w:ascii="Calibri" w:eastAsia="Calibri" w:hAnsi="Calibri" w:hint="cs"/>
          <w:rtl/>
        </w:rPr>
        <w:t xml:space="preserve">. </w:t>
      </w:r>
      <w:r w:rsidR="00DC3ECA">
        <w:rPr>
          <w:rFonts w:ascii="Calibri" w:eastAsia="Calibri" w:hAnsi="Calibri" w:hint="cs"/>
          <w:rtl/>
        </w:rPr>
        <w:t>עבור 2025 אנו מניחים אינפלציה של 2.2%</w:t>
      </w:r>
      <w:r w:rsidR="00DC3ECA" w:rsidRPr="000262FD">
        <w:rPr>
          <w:rFonts w:ascii="Calibri" w:eastAsia="Calibri" w:hAnsi="Calibri"/>
          <w:rtl/>
        </w:rPr>
        <w:t>.</w:t>
      </w:r>
      <w:r w:rsidRPr="000262FD">
        <w:rPr>
          <w:rFonts w:ascii="Calibri" w:eastAsia="Calibri" w:hAnsi="Calibri"/>
          <w:rtl/>
        </w:rPr>
        <w:t xml:space="preserve"> התחזית של בתי ההשקעות לריבית הממוצעת במדינות המפותחות </w:t>
      </w:r>
      <w:r w:rsidR="00815F31">
        <w:rPr>
          <w:rFonts w:ascii="Calibri" w:eastAsia="Calibri" w:hAnsi="Calibri" w:hint="cs"/>
          <w:rtl/>
        </w:rPr>
        <w:t xml:space="preserve">היא </w:t>
      </w:r>
      <w:r w:rsidRPr="000262FD">
        <w:rPr>
          <w:rFonts w:ascii="Calibri" w:eastAsia="Calibri" w:hAnsi="Calibri"/>
          <w:rtl/>
        </w:rPr>
        <w:t xml:space="preserve">3.9% בסוף 2024 (בדומה לתחזית </w:t>
      </w:r>
      <w:r w:rsidR="00865D9A">
        <w:rPr>
          <w:rFonts w:ascii="Calibri" w:eastAsia="Calibri" w:hAnsi="Calibri" w:hint="cs"/>
          <w:rtl/>
        </w:rPr>
        <w:t>מ</w:t>
      </w:r>
      <w:r w:rsidRPr="000262FD">
        <w:rPr>
          <w:rFonts w:ascii="Calibri" w:eastAsia="Calibri" w:hAnsi="Calibri"/>
          <w:rtl/>
        </w:rPr>
        <w:t>נובמבר)</w:t>
      </w:r>
      <w:r w:rsidR="004603E6">
        <w:rPr>
          <w:rFonts w:ascii="Calibri" w:eastAsia="Calibri" w:hAnsi="Calibri" w:hint="cs"/>
          <w:rtl/>
        </w:rPr>
        <w:t xml:space="preserve"> ו-3.1% </w:t>
      </w:r>
      <w:r w:rsidR="00815F31">
        <w:rPr>
          <w:rFonts w:ascii="Calibri" w:eastAsia="Calibri" w:hAnsi="Calibri" w:hint="cs"/>
          <w:rtl/>
        </w:rPr>
        <w:t>ב</w:t>
      </w:r>
      <w:r w:rsidR="004603E6">
        <w:rPr>
          <w:rFonts w:ascii="Calibri" w:eastAsia="Calibri" w:hAnsi="Calibri" w:hint="cs"/>
          <w:rtl/>
        </w:rPr>
        <w:t>סוף 2025</w:t>
      </w:r>
      <w:r w:rsidRPr="000262FD">
        <w:rPr>
          <w:rFonts w:ascii="Calibri" w:eastAsia="Calibri" w:hAnsi="Calibri"/>
          <w:rtl/>
        </w:rPr>
        <w:t xml:space="preserve">. </w:t>
      </w:r>
      <w:r w:rsidR="00130E3C">
        <w:rPr>
          <w:rFonts w:ascii="Calibri" w:eastAsia="Calibri" w:hAnsi="Calibri" w:hint="cs"/>
          <w:rtl/>
        </w:rPr>
        <w:t xml:space="preserve">למרות שאופיין בתנודתיות מסוימת בשבועות האחרונים, </w:t>
      </w:r>
      <w:r w:rsidRPr="000262FD">
        <w:rPr>
          <w:rFonts w:ascii="Calibri" w:eastAsia="Calibri" w:hAnsi="Calibri"/>
          <w:rtl/>
        </w:rPr>
        <w:t xml:space="preserve">מחירה של חבית נפט מסוג "ברנט" </w:t>
      </w:r>
      <w:r w:rsidR="00DC4E14">
        <w:rPr>
          <w:rFonts w:ascii="Calibri" w:eastAsia="Calibri" w:hAnsi="Calibri" w:hint="cs"/>
          <w:rtl/>
        </w:rPr>
        <w:t>דומה לרמתה בעת</w:t>
      </w:r>
      <w:r w:rsidR="00815F31">
        <w:rPr>
          <w:rFonts w:ascii="Calibri" w:eastAsia="Calibri" w:hAnsi="Calibri" w:hint="cs"/>
          <w:rtl/>
        </w:rPr>
        <w:t xml:space="preserve"> </w:t>
      </w:r>
      <w:r w:rsidRPr="000262FD">
        <w:rPr>
          <w:rFonts w:ascii="Calibri" w:eastAsia="Calibri" w:hAnsi="Calibri"/>
          <w:rtl/>
        </w:rPr>
        <w:t>עריכת התחזית הקודמת בנובמבר</w:t>
      </w:r>
      <w:r w:rsidR="00815F31">
        <w:rPr>
          <w:rFonts w:ascii="Calibri" w:eastAsia="Calibri" w:hAnsi="Calibri" w:hint="cs"/>
          <w:rtl/>
        </w:rPr>
        <w:t>, סביב רמה של כ-80$</w:t>
      </w:r>
      <w:r w:rsidRPr="000262FD">
        <w:rPr>
          <w:rFonts w:ascii="Calibri" w:eastAsia="Calibri" w:hAnsi="Calibri"/>
          <w:rtl/>
        </w:rPr>
        <w:t>.</w:t>
      </w:r>
    </w:p>
    <w:p w14:paraId="0A57DA9F" w14:textId="77777777" w:rsidR="003B2D4B" w:rsidRPr="003B2D4B" w:rsidRDefault="003B2D4B" w:rsidP="00910C95">
      <w:pPr>
        <w:pStyle w:val="a"/>
        <w:rPr>
          <w:rtl/>
        </w:rPr>
      </w:pPr>
      <w:r w:rsidRPr="003B2D4B">
        <w:rPr>
          <w:rtl/>
        </w:rPr>
        <w:t>הפעילות הריאלית בישראל</w:t>
      </w:r>
    </w:p>
    <w:p w14:paraId="1883CC88" w14:textId="2BFC65BA" w:rsidR="00C86273" w:rsidRDefault="00C86273" w:rsidP="00C86273">
      <w:pPr>
        <w:ind w:left="8"/>
        <w:jc w:val="both"/>
      </w:pPr>
      <w:r>
        <w:rPr>
          <w:b/>
          <w:bCs/>
          <w:rtl/>
        </w:rPr>
        <w:t>התוצר צפוי לצמוח ב-2% בשנים 2023 ו-2024</w:t>
      </w:r>
      <w:r w:rsidR="00BA276F">
        <w:rPr>
          <w:rFonts w:hint="cs"/>
          <w:b/>
          <w:bCs/>
          <w:rtl/>
        </w:rPr>
        <w:t xml:space="preserve">, וב-5% בשנת 2025 </w:t>
      </w:r>
      <w:r>
        <w:rPr>
          <w:rtl/>
        </w:rPr>
        <w:t xml:space="preserve"> (לוח 1).</w:t>
      </w:r>
    </w:p>
    <w:p w14:paraId="134A2D23" w14:textId="30377273" w:rsidR="00C86273" w:rsidRDefault="00C86273" w:rsidP="00854A84">
      <w:pPr>
        <w:ind w:left="8"/>
        <w:jc w:val="both"/>
      </w:pPr>
      <w:r>
        <w:rPr>
          <w:rtl/>
        </w:rPr>
        <w:t xml:space="preserve">התחזית בלוח 1 מבוססת על ההנחה שההשפעה </w:t>
      </w:r>
      <w:r w:rsidR="00815F31">
        <w:rPr>
          <w:rFonts w:hint="cs"/>
          <w:rtl/>
        </w:rPr>
        <w:t xml:space="preserve">הכלכלית </w:t>
      </w:r>
      <w:r>
        <w:rPr>
          <w:rtl/>
        </w:rPr>
        <w:t xml:space="preserve">הישירה של המלחמה על המשק </w:t>
      </w:r>
      <w:proofErr w:type="spellStart"/>
      <w:r w:rsidR="00815F31">
        <w:rPr>
          <w:rFonts w:hint="cs"/>
          <w:rtl/>
        </w:rPr>
        <w:t>היתה</w:t>
      </w:r>
      <w:proofErr w:type="spellEnd"/>
      <w:r w:rsidR="00815F31">
        <w:rPr>
          <w:rtl/>
        </w:rPr>
        <w:t xml:space="preserve"> </w:t>
      </w:r>
      <w:r>
        <w:rPr>
          <w:rtl/>
        </w:rPr>
        <w:t>בשיאה ברבעון הרביעי של 2023</w:t>
      </w:r>
      <w:r w:rsidR="00272036">
        <w:rPr>
          <w:rFonts w:hint="cs"/>
          <w:rtl/>
        </w:rPr>
        <w:t>,</w:t>
      </w:r>
      <w:r>
        <w:rPr>
          <w:rtl/>
        </w:rPr>
        <w:t xml:space="preserve"> ו</w:t>
      </w:r>
      <w:r w:rsidR="00815F31">
        <w:rPr>
          <w:rFonts w:hint="cs"/>
          <w:rtl/>
        </w:rPr>
        <w:t xml:space="preserve">שהיא </w:t>
      </w:r>
      <w:r>
        <w:rPr>
          <w:rtl/>
        </w:rPr>
        <w:t xml:space="preserve">תימשך </w:t>
      </w:r>
      <w:r w:rsidR="00815F31">
        <w:rPr>
          <w:rFonts w:hint="cs"/>
          <w:rtl/>
        </w:rPr>
        <w:t xml:space="preserve">במהלך </w:t>
      </w:r>
      <w:r>
        <w:rPr>
          <w:rtl/>
        </w:rPr>
        <w:t>2024 בעצימות פוחתת</w:t>
      </w:r>
      <w:r w:rsidR="00B9024D">
        <w:rPr>
          <w:rtl/>
        </w:rPr>
        <w:t xml:space="preserve">. </w:t>
      </w:r>
      <w:r w:rsidR="002710CE">
        <w:rPr>
          <w:rFonts w:hint="cs"/>
          <w:rtl/>
        </w:rPr>
        <w:t>ב-2025 צפויה התאוששות שת</w:t>
      </w:r>
      <w:r w:rsidR="00272036">
        <w:rPr>
          <w:rFonts w:hint="cs"/>
          <w:rtl/>
        </w:rPr>
        <w:t xml:space="preserve">תמוך בהתכנסות </w:t>
      </w:r>
      <w:r w:rsidR="002710CE">
        <w:rPr>
          <w:rFonts w:hint="cs"/>
          <w:rtl/>
        </w:rPr>
        <w:t xml:space="preserve">של רמת </w:t>
      </w:r>
      <w:r w:rsidR="00272036">
        <w:rPr>
          <w:rFonts w:hint="cs"/>
          <w:rtl/>
        </w:rPr>
        <w:t>התוצר למגמה שאפיינה אותו בשנים 2014</w:t>
      </w:r>
      <w:r w:rsidR="00303E52">
        <w:rPr>
          <w:rFonts w:hint="eastAsia"/>
          <w:rtl/>
        </w:rPr>
        <w:t>–</w:t>
      </w:r>
      <w:r w:rsidR="00303E52">
        <w:rPr>
          <w:rFonts w:hint="cs"/>
          <w:rtl/>
        </w:rPr>
        <w:t>20</w:t>
      </w:r>
      <w:r w:rsidR="00272036">
        <w:rPr>
          <w:rFonts w:hint="cs"/>
          <w:rtl/>
        </w:rPr>
        <w:t>19, טרם הקורונה</w:t>
      </w:r>
      <w:r w:rsidR="008B753E">
        <w:rPr>
          <w:rFonts w:hint="cs"/>
          <w:rtl/>
        </w:rPr>
        <w:t xml:space="preserve"> (איור 1</w:t>
      </w:r>
      <w:r w:rsidR="0054398A">
        <w:rPr>
          <w:rFonts w:hint="cs"/>
          <w:rtl/>
        </w:rPr>
        <w:t xml:space="preserve">). </w:t>
      </w:r>
      <w:r>
        <w:rPr>
          <w:rtl/>
        </w:rPr>
        <w:t xml:space="preserve">הפגיעה </w:t>
      </w:r>
      <w:r w:rsidR="00272036">
        <w:rPr>
          <w:rFonts w:hint="cs"/>
          <w:rtl/>
        </w:rPr>
        <w:t xml:space="preserve">הצפויה </w:t>
      </w:r>
      <w:r>
        <w:rPr>
          <w:rtl/>
        </w:rPr>
        <w:t xml:space="preserve">בתוצר </w:t>
      </w:r>
      <w:r w:rsidR="0054398A">
        <w:rPr>
          <w:rFonts w:hint="cs"/>
          <w:rtl/>
        </w:rPr>
        <w:t xml:space="preserve">בשנים 2023 ו-2024 </w:t>
      </w:r>
      <w:r>
        <w:rPr>
          <w:rtl/>
        </w:rPr>
        <w:t xml:space="preserve">נובעת הן מפגיעה בצד ההיצע והן מפגיעה בצד הביקוש. בצד ההיצע, גיוס המילואים הנרחב וההשבתה החלקית של מוסדות החינוך, בעיקר בחודשיים הראשונים של המלחמה, </w:t>
      </w:r>
      <w:r w:rsidR="00303E52">
        <w:rPr>
          <w:rFonts w:hint="cs"/>
          <w:rtl/>
        </w:rPr>
        <w:t>התבטאו</w:t>
      </w:r>
      <w:r w:rsidR="00303E52">
        <w:rPr>
          <w:rtl/>
        </w:rPr>
        <w:t xml:space="preserve"> </w:t>
      </w:r>
      <w:r>
        <w:rPr>
          <w:rtl/>
        </w:rPr>
        <w:t>בירידה בהיצע העבודה בכל ענפי המשק. בענפי הבנייה והחקלאות</w:t>
      </w:r>
      <w:r w:rsidR="00A37A44">
        <w:rPr>
          <w:rFonts w:hint="cs"/>
          <w:rtl/>
        </w:rPr>
        <w:t xml:space="preserve"> </w:t>
      </w:r>
      <w:r w:rsidR="003C33E7">
        <w:rPr>
          <w:rFonts w:hint="cs"/>
          <w:rtl/>
        </w:rPr>
        <w:t>ניכרת</w:t>
      </w:r>
      <w:r w:rsidR="003C33E7">
        <w:rPr>
          <w:rtl/>
        </w:rPr>
        <w:t xml:space="preserve"> </w:t>
      </w:r>
      <w:r>
        <w:rPr>
          <w:rtl/>
        </w:rPr>
        <w:t xml:space="preserve">פגיעה משמעותית במיוחד בהיצע העבודה </w:t>
      </w:r>
      <w:r w:rsidR="00815F31">
        <w:rPr>
          <w:rFonts w:hint="eastAsia"/>
          <w:rtl/>
        </w:rPr>
        <w:t>–</w:t>
      </w:r>
      <w:r w:rsidR="00815F31">
        <w:rPr>
          <w:rFonts w:hint="cs"/>
          <w:rtl/>
        </w:rPr>
        <w:t xml:space="preserve"> </w:t>
      </w:r>
      <w:r w:rsidR="00303E52">
        <w:rPr>
          <w:rFonts w:hint="cs"/>
          <w:rtl/>
        </w:rPr>
        <w:t xml:space="preserve">בבניה </w:t>
      </w:r>
      <w:r>
        <w:rPr>
          <w:rtl/>
        </w:rPr>
        <w:t xml:space="preserve">בשל </w:t>
      </w:r>
      <w:r w:rsidR="00122671">
        <w:rPr>
          <w:rtl/>
        </w:rPr>
        <w:t>הגבלות על כניסת עובדים מיהודה ושומרון והפסקה מוחלטת של העסקת של עובדים מעזה</w:t>
      </w:r>
      <w:r w:rsidR="00122671">
        <w:rPr>
          <w:rFonts w:hint="cs"/>
          <w:rtl/>
        </w:rPr>
        <w:t>, ו</w:t>
      </w:r>
      <w:r w:rsidR="00303E52">
        <w:rPr>
          <w:rFonts w:hint="cs"/>
          <w:rtl/>
        </w:rPr>
        <w:t>בחקלאות בשל</w:t>
      </w:r>
      <w:r w:rsidR="00122671">
        <w:rPr>
          <w:rtl/>
        </w:rPr>
        <w:t xml:space="preserve"> עזיבתם של עובדים זרים</w:t>
      </w:r>
      <w:r>
        <w:rPr>
          <w:rtl/>
        </w:rPr>
        <w:t xml:space="preserve">. </w:t>
      </w:r>
      <w:r w:rsidR="00613C19">
        <w:rPr>
          <w:rFonts w:hint="cs"/>
          <w:rtl/>
        </w:rPr>
        <w:t xml:space="preserve">בתחזית זו </w:t>
      </w:r>
      <w:r w:rsidR="00A76B70">
        <w:rPr>
          <w:rFonts w:hint="cs"/>
          <w:rtl/>
        </w:rPr>
        <w:t>אנו מעריכים</w:t>
      </w:r>
      <w:r w:rsidR="00613C19">
        <w:rPr>
          <w:rFonts w:hint="cs"/>
          <w:rtl/>
        </w:rPr>
        <w:t xml:space="preserve"> </w:t>
      </w:r>
      <w:r w:rsidR="00A76B70">
        <w:rPr>
          <w:rFonts w:hint="cs"/>
          <w:rtl/>
        </w:rPr>
        <w:t>ש</w:t>
      </w:r>
      <w:r w:rsidR="00613C19">
        <w:rPr>
          <w:rFonts w:hint="cs"/>
          <w:rtl/>
        </w:rPr>
        <w:t>משך הזמן שייקח לפתור בעיית היצע זו</w:t>
      </w:r>
      <w:r w:rsidR="00A76B70">
        <w:rPr>
          <w:rFonts w:hint="cs"/>
          <w:rtl/>
        </w:rPr>
        <w:t xml:space="preserve"> יתארך</w:t>
      </w:r>
      <w:r w:rsidR="00613C19">
        <w:rPr>
          <w:rFonts w:hint="cs"/>
          <w:rtl/>
        </w:rPr>
        <w:t xml:space="preserve">. </w:t>
      </w:r>
      <w:r>
        <w:rPr>
          <w:rtl/>
        </w:rPr>
        <w:t xml:space="preserve">נוסף על הירידה בהיצע העבודה, באזורי הלחימה ובאזורים </w:t>
      </w:r>
      <w:r>
        <w:rPr>
          <w:rFonts w:hint="cs"/>
          <w:rtl/>
        </w:rPr>
        <w:t>מאוימים</w:t>
      </w:r>
      <w:r>
        <w:rPr>
          <w:rtl/>
        </w:rPr>
        <w:t xml:space="preserve"> נפגע כושר הייצור בשל פגיעה בהון הפיזי וביכולת לעבוד. בצד הביקוש, </w:t>
      </w:r>
      <w:r w:rsidR="003C33E7">
        <w:rPr>
          <w:rFonts w:hint="cs"/>
          <w:rtl/>
        </w:rPr>
        <w:t>אנו מעריכים ש</w:t>
      </w:r>
      <w:r>
        <w:rPr>
          <w:rtl/>
        </w:rPr>
        <w:t xml:space="preserve">סנטימנט צרכני שלילי צפוי </w:t>
      </w:r>
      <w:r w:rsidR="00815F31">
        <w:rPr>
          <w:rFonts w:hint="cs"/>
          <w:rtl/>
        </w:rPr>
        <w:t xml:space="preserve">להמשיך </w:t>
      </w:r>
      <w:r>
        <w:rPr>
          <w:rtl/>
        </w:rPr>
        <w:t xml:space="preserve">לפגוע בביקוש לצריכה. גם הביקוש ליצוא שירותי התיירות </w:t>
      </w:r>
      <w:r w:rsidR="00A76B70">
        <w:rPr>
          <w:rFonts w:hint="cs"/>
          <w:rtl/>
        </w:rPr>
        <w:t xml:space="preserve">(תיירות נכנסת) </w:t>
      </w:r>
      <w:r w:rsidR="00BA730D">
        <w:rPr>
          <w:rFonts w:hint="cs"/>
          <w:rtl/>
        </w:rPr>
        <w:t>נפגע</w:t>
      </w:r>
      <w:r>
        <w:rPr>
          <w:rtl/>
        </w:rPr>
        <w:t>, כאשר הניסיון מאירועים ביטחוניים קודמים מלמד שפגיעה זו צפויה להיות ממושכת. מנגד, בענף הבניה צפויה בטווח התחזית עלייה בביקוש</w:t>
      </w:r>
      <w:r w:rsidR="00815F31">
        <w:rPr>
          <w:rFonts w:hint="cs"/>
          <w:rtl/>
        </w:rPr>
        <w:t>, בין היתר</w:t>
      </w:r>
      <w:r>
        <w:rPr>
          <w:rtl/>
        </w:rPr>
        <w:t xml:space="preserve"> בעקבות הצורך בשיקום מבנים. לאור התפתחויות אלו, אנו מעריכים כי שיעור האבטלה הרחב בגילי העבודה העיקריים </w:t>
      </w:r>
      <w:r w:rsidR="00735776">
        <w:rPr>
          <w:rFonts w:hint="cs"/>
          <w:rtl/>
        </w:rPr>
        <w:t>ש</w:t>
      </w:r>
      <w:r>
        <w:rPr>
          <w:rtl/>
        </w:rPr>
        <w:t>עלה ברבעון הרביעי של 2023</w:t>
      </w:r>
      <w:r w:rsidR="00815F31">
        <w:rPr>
          <w:rFonts w:hint="cs"/>
          <w:rtl/>
        </w:rPr>
        <w:t xml:space="preserve">, </w:t>
      </w:r>
      <w:r>
        <w:rPr>
          <w:rtl/>
        </w:rPr>
        <w:t>י</w:t>
      </w:r>
      <w:r w:rsidR="00735776">
        <w:rPr>
          <w:rFonts w:hint="cs"/>
          <w:rtl/>
        </w:rPr>
        <w:t>רד בהדרגה</w:t>
      </w:r>
      <w:r>
        <w:rPr>
          <w:rtl/>
        </w:rPr>
        <w:t xml:space="preserve"> </w:t>
      </w:r>
      <w:r w:rsidR="00E56812">
        <w:rPr>
          <w:rFonts w:hint="cs"/>
          <w:rtl/>
        </w:rPr>
        <w:t>במהלך</w:t>
      </w:r>
      <w:r>
        <w:rPr>
          <w:rtl/>
        </w:rPr>
        <w:t xml:space="preserve"> 2024</w:t>
      </w:r>
      <w:r w:rsidR="00FC70E3">
        <w:rPr>
          <w:rFonts w:hint="cs"/>
          <w:rtl/>
        </w:rPr>
        <w:t>,</w:t>
      </w:r>
      <w:r w:rsidR="00E56812">
        <w:rPr>
          <w:rFonts w:hint="cs"/>
          <w:rtl/>
        </w:rPr>
        <w:t xml:space="preserve"> ו</w:t>
      </w:r>
      <w:r w:rsidR="00735776">
        <w:rPr>
          <w:rFonts w:hint="cs"/>
          <w:rtl/>
        </w:rPr>
        <w:t>יתכנס לרמתו לפני המלחמה רק</w:t>
      </w:r>
      <w:r w:rsidR="00E56812">
        <w:rPr>
          <w:rFonts w:hint="cs"/>
          <w:rtl/>
        </w:rPr>
        <w:t xml:space="preserve"> במהלך 2025.</w:t>
      </w:r>
      <w:r w:rsidR="00815F31" w:rsidRPr="00B27CD2">
        <w:rPr>
          <w:rStyle w:val="a6"/>
          <w:rFonts w:ascii="Calibri" w:eastAsia="Calibri" w:hAnsi="Calibri"/>
          <w:rtl/>
        </w:rPr>
        <w:footnoteReference w:id="3"/>
      </w:r>
    </w:p>
    <w:p w14:paraId="4FF5FFF7" w14:textId="4D5EC129" w:rsidR="001051A0" w:rsidRPr="007F7044" w:rsidRDefault="007C1CB4" w:rsidP="00A76B70">
      <w:pPr>
        <w:spacing w:before="0" w:after="120"/>
        <w:jc w:val="both"/>
        <w:rPr>
          <w:rFonts w:eastAsia="Calibri"/>
          <w:rtl/>
        </w:rPr>
      </w:pPr>
      <w:r>
        <w:rPr>
          <w:rFonts w:eastAsia="Calibri" w:hint="cs"/>
          <w:rtl/>
        </w:rPr>
        <w:lastRenderedPageBreak/>
        <w:t>אשר להתפתחויות מאז ה</w:t>
      </w:r>
      <w:r w:rsidR="007F7044">
        <w:rPr>
          <w:rFonts w:eastAsia="Calibri" w:hint="cs"/>
          <w:rtl/>
        </w:rPr>
        <w:t>תחזית הקודמת</w:t>
      </w:r>
      <w:r>
        <w:rPr>
          <w:rFonts w:eastAsia="Calibri" w:hint="cs"/>
          <w:rtl/>
        </w:rPr>
        <w:t xml:space="preserve"> שפורסמה</w:t>
      </w:r>
      <w:r w:rsidR="005B771A">
        <w:rPr>
          <w:rFonts w:eastAsia="Calibri" w:hint="cs"/>
          <w:rtl/>
        </w:rPr>
        <w:t xml:space="preserve"> </w:t>
      </w:r>
      <w:r>
        <w:rPr>
          <w:rFonts w:eastAsia="Calibri" w:hint="cs"/>
          <w:rtl/>
        </w:rPr>
        <w:t>ב</w:t>
      </w:r>
      <w:r w:rsidR="005B771A">
        <w:rPr>
          <w:rFonts w:eastAsia="Calibri" w:hint="cs"/>
          <w:rtl/>
        </w:rPr>
        <w:t>נובמבר</w:t>
      </w:r>
      <w:r>
        <w:rPr>
          <w:rFonts w:eastAsia="Calibri" w:hint="cs"/>
          <w:rtl/>
        </w:rPr>
        <w:t xml:space="preserve">. </w:t>
      </w:r>
      <w:r w:rsidR="007F7044">
        <w:rPr>
          <w:rFonts w:eastAsia="Calibri" w:hint="cs"/>
          <w:rtl/>
        </w:rPr>
        <w:t xml:space="preserve">נתוני הרכישות בכרטיסי אשראי </w:t>
      </w:r>
      <w:r>
        <w:rPr>
          <w:rFonts w:eastAsia="Calibri" w:hint="cs"/>
          <w:rtl/>
        </w:rPr>
        <w:t>מלמדים כי רמת ה</w:t>
      </w:r>
      <w:r w:rsidR="007F7044">
        <w:rPr>
          <w:rFonts w:eastAsia="Calibri" w:hint="cs"/>
          <w:rtl/>
        </w:rPr>
        <w:t>צריכה הפרטית</w:t>
      </w:r>
      <w:r>
        <w:rPr>
          <w:rFonts w:eastAsia="Calibri" w:hint="cs"/>
          <w:rtl/>
        </w:rPr>
        <w:t xml:space="preserve"> גבוהה מכפי ש</w:t>
      </w:r>
      <w:r w:rsidR="007F7044">
        <w:rPr>
          <w:rFonts w:eastAsia="Calibri" w:hint="cs"/>
          <w:rtl/>
        </w:rPr>
        <w:t>הנחנו ב</w:t>
      </w:r>
      <w:r>
        <w:rPr>
          <w:rFonts w:eastAsia="Calibri" w:hint="cs"/>
          <w:rtl/>
        </w:rPr>
        <w:t>מסגרת ה</w:t>
      </w:r>
      <w:r w:rsidR="007F7044">
        <w:rPr>
          <w:rFonts w:eastAsia="Calibri" w:hint="cs"/>
          <w:rtl/>
        </w:rPr>
        <w:t>תחזית הקודמת</w:t>
      </w:r>
      <w:r>
        <w:rPr>
          <w:rFonts w:eastAsia="Calibri" w:hint="cs"/>
          <w:rtl/>
        </w:rPr>
        <w:t xml:space="preserve">. </w:t>
      </w:r>
      <w:r w:rsidR="001B7292">
        <w:rPr>
          <w:rFonts w:eastAsia="Calibri" w:hint="cs"/>
          <w:rtl/>
        </w:rPr>
        <w:t xml:space="preserve">נוסף על כך, נתוני סחר </w:t>
      </w:r>
      <w:r w:rsidR="008C3866">
        <w:rPr>
          <w:rFonts w:eastAsia="Calibri" w:hint="cs"/>
          <w:rtl/>
        </w:rPr>
        <w:t>ה</w:t>
      </w:r>
      <w:r w:rsidR="001B7292">
        <w:rPr>
          <w:rFonts w:eastAsia="Calibri" w:hint="cs"/>
          <w:rtl/>
        </w:rPr>
        <w:t xml:space="preserve">חוץ מצביעים על ירידה חדה ביבוא לצד ירידה מתונה יותר ביצוא. </w:t>
      </w:r>
      <w:r>
        <w:rPr>
          <w:rFonts w:eastAsia="Calibri" w:hint="cs"/>
          <w:rtl/>
        </w:rPr>
        <w:t>להתפתחו</w:t>
      </w:r>
      <w:r w:rsidR="001B7292">
        <w:rPr>
          <w:rFonts w:eastAsia="Calibri" w:hint="cs"/>
          <w:rtl/>
        </w:rPr>
        <w:t>יו</w:t>
      </w:r>
      <w:r>
        <w:rPr>
          <w:rFonts w:eastAsia="Calibri" w:hint="cs"/>
          <w:rtl/>
        </w:rPr>
        <w:t xml:space="preserve">ת </w:t>
      </w:r>
      <w:r w:rsidR="001B7292">
        <w:rPr>
          <w:rFonts w:eastAsia="Calibri" w:hint="cs"/>
          <w:rtl/>
        </w:rPr>
        <w:t xml:space="preserve">אלו יש </w:t>
      </w:r>
      <w:r>
        <w:rPr>
          <w:rFonts w:eastAsia="Calibri" w:hint="cs"/>
          <w:rtl/>
        </w:rPr>
        <w:t>תרומה</w:t>
      </w:r>
      <w:r w:rsidR="007F7044">
        <w:rPr>
          <w:rFonts w:eastAsia="Calibri" w:hint="cs"/>
          <w:rtl/>
        </w:rPr>
        <w:t xml:space="preserve"> </w:t>
      </w:r>
      <w:r w:rsidR="000E4249">
        <w:rPr>
          <w:rFonts w:eastAsia="Calibri" w:hint="cs"/>
          <w:rtl/>
        </w:rPr>
        <w:t xml:space="preserve">חיובית </w:t>
      </w:r>
      <w:r w:rsidR="007F7044">
        <w:rPr>
          <w:rFonts w:eastAsia="Calibri" w:hint="cs"/>
          <w:rtl/>
        </w:rPr>
        <w:t xml:space="preserve">הן לאומדן הצמיחה ב-2023, והן </w:t>
      </w:r>
      <w:r>
        <w:rPr>
          <w:rFonts w:eastAsia="Calibri" w:hint="cs"/>
          <w:rtl/>
        </w:rPr>
        <w:t>לזו הצפויה</w:t>
      </w:r>
      <w:r w:rsidR="007F7044">
        <w:rPr>
          <w:rFonts w:eastAsia="Calibri" w:hint="cs"/>
          <w:rtl/>
        </w:rPr>
        <w:t xml:space="preserve"> ב-2024. מ</w:t>
      </w:r>
      <w:r>
        <w:rPr>
          <w:rFonts w:eastAsia="Calibri" w:hint="cs"/>
          <w:rtl/>
        </w:rPr>
        <w:t>נגד</w:t>
      </w:r>
      <w:r w:rsidR="007F7044">
        <w:rPr>
          <w:rFonts w:eastAsia="Calibri" w:hint="cs"/>
          <w:rtl/>
        </w:rPr>
        <w:t xml:space="preserve">, </w:t>
      </w:r>
      <w:r>
        <w:rPr>
          <w:rFonts w:eastAsia="Calibri" w:hint="cs"/>
          <w:rtl/>
        </w:rPr>
        <w:t xml:space="preserve">על רקע המגבלות על הכנסת </w:t>
      </w:r>
      <w:r w:rsidR="007F7044">
        <w:rPr>
          <w:rFonts w:eastAsia="Calibri" w:hint="cs"/>
          <w:rtl/>
        </w:rPr>
        <w:t>פועלים פלסטיניים</w:t>
      </w:r>
      <w:r>
        <w:rPr>
          <w:rFonts w:eastAsia="Calibri" w:hint="cs"/>
          <w:rtl/>
        </w:rPr>
        <w:t xml:space="preserve">, </w:t>
      </w:r>
      <w:r w:rsidR="002A713A">
        <w:rPr>
          <w:rFonts w:eastAsia="Calibri" w:hint="cs"/>
          <w:rtl/>
        </w:rPr>
        <w:t xml:space="preserve">שאנו מעריכים כי יימשכו ברביעים הקרובים, </w:t>
      </w:r>
      <w:r>
        <w:rPr>
          <w:rFonts w:eastAsia="Calibri" w:hint="cs"/>
          <w:rtl/>
        </w:rPr>
        <w:t xml:space="preserve">ענף הבנייה עדיין </w:t>
      </w:r>
      <w:r w:rsidR="002A713A">
        <w:rPr>
          <w:rFonts w:eastAsia="Calibri" w:hint="cs"/>
          <w:rtl/>
        </w:rPr>
        <w:t>י</w:t>
      </w:r>
      <w:r>
        <w:rPr>
          <w:rFonts w:eastAsia="Calibri" w:hint="cs"/>
          <w:rtl/>
        </w:rPr>
        <w:t>אופיין בצמצום משמעותי של היקף הפעילות</w:t>
      </w:r>
      <w:r w:rsidR="002A713A">
        <w:rPr>
          <w:rFonts w:eastAsia="Calibri" w:hint="cs"/>
          <w:rtl/>
        </w:rPr>
        <w:t xml:space="preserve"> בשנת 2024</w:t>
      </w:r>
      <w:r>
        <w:rPr>
          <w:rFonts w:eastAsia="Calibri" w:hint="cs"/>
          <w:rtl/>
        </w:rPr>
        <w:t xml:space="preserve">. התפתחות זו </w:t>
      </w:r>
      <w:r w:rsidR="00A76B70">
        <w:rPr>
          <w:rFonts w:eastAsia="Calibri" w:hint="cs"/>
          <w:rtl/>
        </w:rPr>
        <w:t>פועלת ל</w:t>
      </w:r>
      <w:r>
        <w:rPr>
          <w:rFonts w:eastAsia="Calibri" w:hint="cs"/>
          <w:rtl/>
        </w:rPr>
        <w:t>עדכון</w:t>
      </w:r>
      <w:r w:rsidR="00A76B70">
        <w:rPr>
          <w:rFonts w:eastAsia="Calibri" w:hint="cs"/>
          <w:rtl/>
        </w:rPr>
        <w:t xml:space="preserve"> כלפי מטה של</w:t>
      </w:r>
      <w:r>
        <w:rPr>
          <w:rFonts w:eastAsia="Calibri" w:hint="cs"/>
          <w:rtl/>
        </w:rPr>
        <w:t xml:space="preserve"> התחזית </w:t>
      </w:r>
      <w:r w:rsidR="007F7044">
        <w:rPr>
          <w:rFonts w:eastAsia="Calibri" w:hint="cs"/>
          <w:rtl/>
        </w:rPr>
        <w:t xml:space="preserve">לצמיחת ההשקעה והתוצר במהלך שנת 2024. </w:t>
      </w:r>
      <w:r w:rsidR="001B7292">
        <w:rPr>
          <w:rFonts w:eastAsia="Calibri" w:hint="cs"/>
          <w:rtl/>
        </w:rPr>
        <w:t>בסיכומו של דבר</w:t>
      </w:r>
      <w:r w:rsidR="007F7044">
        <w:rPr>
          <w:rFonts w:eastAsia="Calibri" w:hint="cs"/>
          <w:rtl/>
        </w:rPr>
        <w:t xml:space="preserve">, השינויים ברכיבי </w:t>
      </w:r>
      <w:r w:rsidR="001B7292">
        <w:rPr>
          <w:rFonts w:eastAsia="Calibri" w:hint="cs"/>
          <w:rtl/>
        </w:rPr>
        <w:t xml:space="preserve">החשבונאות השונים צפויים לקזז </w:t>
      </w:r>
      <w:r w:rsidR="007F7044">
        <w:rPr>
          <w:rFonts w:eastAsia="Calibri" w:hint="cs"/>
          <w:rtl/>
        </w:rPr>
        <w:t>אל</w:t>
      </w:r>
      <w:r w:rsidR="001B7292">
        <w:rPr>
          <w:rFonts w:eastAsia="Calibri" w:hint="cs"/>
          <w:rtl/>
        </w:rPr>
        <w:t>ו</w:t>
      </w:r>
      <w:r w:rsidR="007F7044">
        <w:rPr>
          <w:rFonts w:eastAsia="Calibri" w:hint="cs"/>
          <w:rtl/>
        </w:rPr>
        <w:t xml:space="preserve"> את אל</w:t>
      </w:r>
      <w:r w:rsidR="001B7292">
        <w:rPr>
          <w:rFonts w:eastAsia="Calibri" w:hint="cs"/>
          <w:rtl/>
        </w:rPr>
        <w:t xml:space="preserve">ו בהשפעתם על סך </w:t>
      </w:r>
      <w:proofErr w:type="spellStart"/>
      <w:r w:rsidR="001B7292">
        <w:rPr>
          <w:rFonts w:eastAsia="Calibri" w:hint="cs"/>
          <w:rtl/>
        </w:rPr>
        <w:t>הביקושים</w:t>
      </w:r>
      <w:proofErr w:type="spellEnd"/>
      <w:r w:rsidR="001B7292">
        <w:rPr>
          <w:rFonts w:eastAsia="Calibri" w:hint="cs"/>
          <w:rtl/>
        </w:rPr>
        <w:t xml:space="preserve"> לתוצר</w:t>
      </w:r>
      <w:r w:rsidR="007F7044">
        <w:rPr>
          <w:rFonts w:eastAsia="Calibri" w:hint="cs"/>
          <w:rtl/>
        </w:rPr>
        <w:t xml:space="preserve">, כך </w:t>
      </w:r>
      <w:r w:rsidR="006E7831">
        <w:rPr>
          <w:rFonts w:eastAsia="Calibri" w:hint="cs"/>
          <w:rtl/>
        </w:rPr>
        <w:t xml:space="preserve">שאין שינוי בתחזית </w:t>
      </w:r>
      <w:r w:rsidR="007F7044">
        <w:rPr>
          <w:rFonts w:eastAsia="Calibri" w:hint="cs"/>
          <w:rtl/>
        </w:rPr>
        <w:t>לצמיחה בשנים 2023</w:t>
      </w:r>
      <w:r w:rsidR="002A713A">
        <w:rPr>
          <w:rFonts w:eastAsia="Calibri" w:hint="eastAsia"/>
          <w:rtl/>
        </w:rPr>
        <w:t>–</w:t>
      </w:r>
      <w:r w:rsidR="007F7044">
        <w:rPr>
          <w:rFonts w:eastAsia="Calibri" w:hint="cs"/>
          <w:rtl/>
        </w:rPr>
        <w:t>2024</w:t>
      </w:r>
      <w:r w:rsidR="006E7831">
        <w:rPr>
          <w:rFonts w:eastAsia="Calibri" w:hint="cs"/>
          <w:rtl/>
        </w:rPr>
        <w:t>, והיא</w:t>
      </w:r>
      <w:r w:rsidR="007F7044">
        <w:rPr>
          <w:rFonts w:eastAsia="Calibri" w:hint="cs"/>
          <w:rtl/>
        </w:rPr>
        <w:t xml:space="preserve"> עומד</w:t>
      </w:r>
      <w:r w:rsidR="006E7831">
        <w:rPr>
          <w:rFonts w:eastAsia="Calibri" w:hint="cs"/>
          <w:rtl/>
        </w:rPr>
        <w:t>ת</w:t>
      </w:r>
      <w:r w:rsidR="007F7044">
        <w:rPr>
          <w:rFonts w:eastAsia="Calibri" w:hint="cs"/>
          <w:rtl/>
        </w:rPr>
        <w:t xml:space="preserve"> על 2% לכל אחת משנים</w:t>
      </w:r>
      <w:r w:rsidR="00A76B70">
        <w:rPr>
          <w:rFonts w:eastAsia="Calibri" w:hint="cs"/>
          <w:rtl/>
        </w:rPr>
        <w:t xml:space="preserve"> אלו</w:t>
      </w:r>
      <w:r w:rsidR="007F7044">
        <w:rPr>
          <w:rFonts w:eastAsia="Calibri" w:hint="cs"/>
          <w:rtl/>
        </w:rPr>
        <w:t>, בדומה לתחזית נובמבר.</w:t>
      </w:r>
    </w:p>
    <w:p w14:paraId="12FD5E2F" w14:textId="55F45F09" w:rsidR="00C93A33" w:rsidRPr="003B2D4B" w:rsidRDefault="00C93A33" w:rsidP="00C93A33">
      <w:pPr>
        <w:keepNext/>
        <w:keepLines/>
        <w:spacing w:line="240" w:lineRule="auto"/>
        <w:ind w:firstLine="40"/>
        <w:jc w:val="center"/>
        <w:outlineLvl w:val="1"/>
        <w:rPr>
          <w:rFonts w:eastAsia="Calibri"/>
          <w:b/>
          <w:bCs/>
          <w:color w:val="4F81BD"/>
          <w:rtl/>
        </w:rPr>
      </w:pPr>
      <w:r w:rsidRPr="00DF3C8D">
        <w:rPr>
          <w:rFonts w:eastAsia="Calibri"/>
          <w:b/>
          <w:bCs/>
          <w:color w:val="4F81BD"/>
          <w:rtl/>
        </w:rPr>
        <w:t>לוח 1</w:t>
      </w:r>
      <w:r w:rsidRPr="003B2D4B">
        <w:rPr>
          <w:rFonts w:eastAsia="Calibri"/>
          <w:b/>
          <w:bCs/>
          <w:color w:val="4F81BD"/>
          <w:rtl/>
        </w:rPr>
        <w:br/>
        <w:t xml:space="preserve"> תחזית חטיבת המחקר ל-202</w:t>
      </w:r>
      <w:r w:rsidRPr="003B2D4B">
        <w:rPr>
          <w:rFonts w:eastAsia="Calibri" w:hint="cs"/>
          <w:b/>
          <w:bCs/>
          <w:color w:val="4F81BD"/>
          <w:rtl/>
        </w:rPr>
        <w:t>3</w:t>
      </w:r>
      <w:r w:rsidRPr="003B2D4B">
        <w:rPr>
          <w:rFonts w:eastAsia="Calibri"/>
          <w:b/>
          <w:bCs/>
          <w:color w:val="4F81BD"/>
          <w:rtl/>
        </w:rPr>
        <w:t>—202</w:t>
      </w:r>
      <w:r w:rsidR="00E036EF">
        <w:rPr>
          <w:rFonts w:eastAsia="Calibri" w:hint="cs"/>
          <w:b/>
          <w:bCs/>
          <w:color w:val="4F81BD"/>
          <w:rtl/>
        </w:rPr>
        <w:t>5</w:t>
      </w:r>
    </w:p>
    <w:p w14:paraId="1D12DC29" w14:textId="77777777" w:rsidR="00C93A33" w:rsidRPr="003B2D4B" w:rsidRDefault="00C93A33" w:rsidP="00C93A33">
      <w:pPr>
        <w:keepNext/>
        <w:keepLines/>
        <w:spacing w:line="240" w:lineRule="auto"/>
        <w:ind w:firstLine="40"/>
        <w:jc w:val="center"/>
        <w:rPr>
          <w:rFonts w:eastAsia="Calibri"/>
          <w:color w:val="4F81BD"/>
          <w:rtl/>
        </w:rPr>
      </w:pPr>
      <w:r w:rsidRPr="003B2D4B">
        <w:rPr>
          <w:rFonts w:eastAsia="Calibri"/>
          <w:color w:val="4F81BD"/>
          <w:rtl/>
        </w:rPr>
        <w:t xml:space="preserve"> (שיעורי השינוי באחוזים</w:t>
      </w:r>
      <w:r w:rsidRPr="003B2D4B">
        <w:rPr>
          <w:rFonts w:eastAsia="Calibri"/>
          <w:b/>
          <w:bCs/>
          <w:color w:val="4F81BD"/>
          <w:sz w:val="20"/>
          <w:szCs w:val="20"/>
          <w:vertAlign w:val="superscript"/>
          <w:rtl/>
        </w:rPr>
        <w:t>1</w:t>
      </w:r>
      <w:r w:rsidRPr="003B2D4B">
        <w:rPr>
          <w:rFonts w:eastAsia="Calibri"/>
          <w:color w:val="4F81BD"/>
          <w:rtl/>
        </w:rPr>
        <w:t>, אלא אם צוין אחרת)</w:t>
      </w:r>
    </w:p>
    <w:tbl>
      <w:tblPr>
        <w:bidiVisual/>
        <w:tblW w:w="5000" w:type="pct"/>
        <w:tblCellMar>
          <w:left w:w="0" w:type="dxa"/>
          <w:right w:w="0" w:type="dxa"/>
        </w:tblCellMar>
        <w:tblLook w:val="04A0" w:firstRow="1" w:lastRow="0" w:firstColumn="1" w:lastColumn="0" w:noHBand="0" w:noVBand="1"/>
      </w:tblPr>
      <w:tblGrid>
        <w:gridCol w:w="3120"/>
        <w:gridCol w:w="580"/>
        <w:gridCol w:w="110"/>
        <w:gridCol w:w="699"/>
        <w:gridCol w:w="817"/>
        <w:gridCol w:w="103"/>
        <w:gridCol w:w="676"/>
        <w:gridCol w:w="786"/>
        <w:gridCol w:w="1415"/>
      </w:tblGrid>
      <w:tr w:rsidR="00150315" w:rsidRPr="003B2D4B" w14:paraId="1C499FF5" w14:textId="48FD2E6F" w:rsidTr="00150315">
        <w:trPr>
          <w:trHeight w:val="20"/>
        </w:trPr>
        <w:tc>
          <w:tcPr>
            <w:tcW w:w="1878" w:type="pct"/>
            <w:tcBorders>
              <w:top w:val="nil"/>
              <w:left w:val="nil"/>
              <w:bottom w:val="nil"/>
              <w:right w:val="nil"/>
            </w:tcBorders>
            <w:shd w:val="clear" w:color="auto" w:fill="auto"/>
            <w:tcMar>
              <w:top w:w="15" w:type="dxa"/>
              <w:left w:w="15" w:type="dxa"/>
              <w:bottom w:w="0" w:type="dxa"/>
              <w:right w:w="15" w:type="dxa"/>
            </w:tcMar>
            <w:vAlign w:val="bottom"/>
            <w:hideMark/>
          </w:tcPr>
          <w:p w14:paraId="7794D560" w14:textId="77777777" w:rsidR="00150315" w:rsidRPr="003B2D4B" w:rsidRDefault="00150315" w:rsidP="00712048">
            <w:pPr>
              <w:bidi w:val="0"/>
              <w:spacing w:beforeLines="20" w:before="48" w:afterLines="20" w:after="48" w:line="240" w:lineRule="auto"/>
              <w:contextualSpacing w:val="0"/>
              <w:rPr>
                <w:rFonts w:ascii="Times New Roman" w:eastAsia="Times New Roman" w:hAnsi="Times New Roman" w:cs="Times New Roman"/>
              </w:rPr>
            </w:pPr>
          </w:p>
        </w:tc>
        <w:tc>
          <w:tcPr>
            <w:tcW w:w="349"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3CAC4D4" w14:textId="77777777" w:rsidR="00150315" w:rsidRPr="003B2D4B" w:rsidRDefault="00150315" w:rsidP="00712048">
            <w:pPr>
              <w:spacing w:beforeLines="20" w:before="48" w:afterLines="20" w:after="48" w:line="240" w:lineRule="auto"/>
              <w:contextualSpacing w:val="0"/>
              <w:jc w:val="center"/>
              <w:rPr>
                <w:rFonts w:ascii="Arial" w:eastAsia="Times New Roman" w:hAnsi="Arial" w:cs="Arial"/>
              </w:rPr>
            </w:pPr>
            <w:r w:rsidRPr="003B2D4B">
              <w:rPr>
                <w:rFonts w:ascii="Calibri" w:eastAsia="Calibri" w:hAnsi="Calibri"/>
                <w:b/>
                <w:bCs/>
                <w:color w:val="000000"/>
                <w:kern w:val="24"/>
                <w:sz w:val="22"/>
                <w:szCs w:val="22"/>
                <w:rtl/>
              </w:rPr>
              <w:t>2022</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34EDC3B8" w14:textId="77777777" w:rsidR="00150315" w:rsidRPr="003B2D4B" w:rsidRDefault="00150315" w:rsidP="00712048">
            <w:pPr>
              <w:bidi w:val="0"/>
              <w:spacing w:beforeLines="20" w:before="48" w:afterLines="20" w:after="48" w:line="240" w:lineRule="auto"/>
              <w:contextualSpacing w:val="0"/>
              <w:jc w:val="center"/>
              <w:rPr>
                <w:rFonts w:ascii="Arial" w:eastAsia="Times New Roman" w:hAnsi="Arial" w:cs="Arial"/>
                <w:rtl/>
              </w:rPr>
            </w:pPr>
          </w:p>
        </w:tc>
        <w:tc>
          <w:tcPr>
            <w:tcW w:w="913"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07A475B" w14:textId="77777777" w:rsidR="00150315" w:rsidRPr="003B2D4B" w:rsidRDefault="00150315" w:rsidP="00712048">
            <w:pPr>
              <w:bidi w:val="0"/>
              <w:spacing w:beforeLines="20" w:before="48" w:afterLines="20" w:after="48" w:line="240" w:lineRule="auto"/>
              <w:contextualSpacing w:val="0"/>
              <w:jc w:val="center"/>
              <w:rPr>
                <w:rFonts w:ascii="Arial" w:eastAsia="Times New Roman" w:hAnsi="Arial" w:cs="Arial"/>
              </w:rPr>
            </w:pPr>
            <w:r w:rsidRPr="003B2D4B">
              <w:rPr>
                <w:rFonts w:eastAsia="Calibri"/>
                <w:b/>
                <w:bCs/>
                <w:color w:val="000000"/>
                <w:kern w:val="24"/>
                <w:sz w:val="22"/>
                <w:szCs w:val="22"/>
              </w:rPr>
              <w:t>2023</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0E103BEA" w14:textId="77777777" w:rsidR="00150315" w:rsidRPr="003B2D4B" w:rsidRDefault="00150315" w:rsidP="00712048">
            <w:pPr>
              <w:bidi w:val="0"/>
              <w:spacing w:beforeLines="20" w:before="48" w:afterLines="20" w:after="48" w:line="240" w:lineRule="auto"/>
              <w:contextualSpacing w:val="0"/>
              <w:jc w:val="center"/>
              <w:rPr>
                <w:rFonts w:ascii="Arial" w:eastAsia="Times New Roman" w:hAnsi="Arial" w:cs="Arial"/>
                <w:rtl/>
              </w:rPr>
            </w:pPr>
          </w:p>
        </w:tc>
        <w:tc>
          <w:tcPr>
            <w:tcW w:w="880"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1FD728EC" w14:textId="77777777" w:rsidR="00150315" w:rsidRPr="003B2D4B" w:rsidRDefault="00150315" w:rsidP="00712048">
            <w:pPr>
              <w:spacing w:beforeLines="20" w:before="48" w:afterLines="20" w:after="48" w:line="240" w:lineRule="auto"/>
              <w:contextualSpacing w:val="0"/>
              <w:jc w:val="center"/>
              <w:rPr>
                <w:rFonts w:ascii="Arial" w:eastAsia="Times New Roman" w:hAnsi="Arial" w:cs="Arial"/>
              </w:rPr>
            </w:pPr>
            <w:r w:rsidRPr="003B2D4B">
              <w:rPr>
                <w:rFonts w:ascii="Calibri" w:eastAsia="Calibri" w:hAnsi="Calibri"/>
                <w:b/>
                <w:bCs/>
                <w:color w:val="000000"/>
                <w:kern w:val="24"/>
                <w:sz w:val="22"/>
                <w:szCs w:val="22"/>
                <w:rtl/>
              </w:rPr>
              <w:t>2024</w:t>
            </w:r>
          </w:p>
        </w:tc>
        <w:tc>
          <w:tcPr>
            <w:tcW w:w="852" w:type="pct"/>
            <w:tcBorders>
              <w:top w:val="single" w:sz="8" w:space="0" w:color="000000"/>
              <w:left w:val="nil"/>
              <w:bottom w:val="nil"/>
              <w:right w:val="nil"/>
            </w:tcBorders>
          </w:tcPr>
          <w:p w14:paraId="33EB3756" w14:textId="4C43B813" w:rsidR="00150315" w:rsidRPr="003B2D4B" w:rsidRDefault="00150315" w:rsidP="00712048">
            <w:pPr>
              <w:spacing w:beforeLines="20" w:before="48" w:afterLines="20" w:after="48" w:line="240" w:lineRule="auto"/>
              <w:contextualSpacing w:val="0"/>
              <w:jc w:val="center"/>
              <w:rPr>
                <w:rFonts w:ascii="Calibri" w:eastAsia="Calibri" w:hAnsi="Calibri"/>
                <w:b/>
                <w:bCs/>
                <w:color w:val="000000"/>
                <w:kern w:val="24"/>
                <w:sz w:val="22"/>
                <w:szCs w:val="22"/>
                <w:rtl/>
              </w:rPr>
            </w:pPr>
            <w:r>
              <w:rPr>
                <w:rFonts w:ascii="Calibri" w:eastAsia="Calibri" w:hAnsi="Calibri" w:hint="cs"/>
                <w:b/>
                <w:bCs/>
                <w:color w:val="000000"/>
                <w:kern w:val="24"/>
                <w:sz w:val="22"/>
                <w:szCs w:val="22"/>
                <w:rtl/>
              </w:rPr>
              <w:t>2025</w:t>
            </w:r>
          </w:p>
        </w:tc>
      </w:tr>
      <w:tr w:rsidR="00150315" w:rsidRPr="00B27CD2" w14:paraId="501E16D4" w14:textId="61B69E01" w:rsidTr="00150315">
        <w:trPr>
          <w:trHeight w:val="20"/>
        </w:trPr>
        <w:tc>
          <w:tcPr>
            <w:tcW w:w="187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4F8A32A6" w14:textId="77777777" w:rsidR="00150315" w:rsidRPr="00B27CD2" w:rsidRDefault="00150315" w:rsidP="00712048">
            <w:pPr>
              <w:bidi w:val="0"/>
              <w:spacing w:beforeLines="20" w:before="48" w:afterLines="20" w:after="48" w:line="240" w:lineRule="auto"/>
              <w:contextualSpacing w:val="0"/>
              <w:jc w:val="both"/>
              <w:rPr>
                <w:rFonts w:ascii="Arial" w:eastAsia="Times New Roman" w:hAnsi="Arial" w:cs="Arial"/>
              </w:rPr>
            </w:pPr>
            <w:r w:rsidRPr="00B27CD2">
              <w:rPr>
                <w:rFonts w:eastAsia="Calibri"/>
                <w:color w:val="000000"/>
                <w:kern w:val="24"/>
                <w:sz w:val="22"/>
                <w:szCs w:val="22"/>
              </w:rPr>
              <w:t> </w:t>
            </w:r>
          </w:p>
        </w:tc>
        <w:tc>
          <w:tcPr>
            <w:tcW w:w="34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14:paraId="03C5F070" w14:textId="77777777" w:rsidR="00150315" w:rsidRPr="00B27CD2" w:rsidRDefault="00150315" w:rsidP="00712048">
            <w:pPr>
              <w:spacing w:beforeLines="20" w:before="48" w:afterLines="20" w:after="48" w:line="240" w:lineRule="auto"/>
              <w:contextualSpacing w:val="0"/>
              <w:jc w:val="center"/>
              <w:rPr>
                <w:rFonts w:ascii="Arial" w:eastAsia="Times New Roman" w:hAnsi="Arial" w:cs="Arial"/>
                <w:rtl/>
              </w:rPr>
            </w:pPr>
            <w:r w:rsidRPr="00B27CD2">
              <w:rPr>
                <w:rFonts w:ascii="Calibri" w:eastAsia="Calibri"/>
                <w:color w:val="000000"/>
                <w:kern w:val="24"/>
                <w:sz w:val="22"/>
                <w:szCs w:val="22"/>
                <w:rtl/>
              </w:rPr>
              <w:t>בפועל</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5BA59BE7" w14:textId="77777777" w:rsidR="00150315" w:rsidRPr="00B27CD2" w:rsidRDefault="00150315" w:rsidP="00712048">
            <w:pPr>
              <w:bidi w:val="0"/>
              <w:spacing w:beforeLines="20" w:before="48" w:afterLines="20" w:after="48" w:line="240" w:lineRule="auto"/>
              <w:contextualSpacing w:val="0"/>
              <w:jc w:val="center"/>
              <w:rPr>
                <w:rFonts w:ascii="Arial" w:eastAsia="Times New Roman" w:hAnsi="Arial" w:cs="Arial"/>
                <w:rtl/>
              </w:rPr>
            </w:pPr>
          </w:p>
        </w:tc>
        <w:tc>
          <w:tcPr>
            <w:tcW w:w="42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7B5AD4FD" w14:textId="77777777" w:rsidR="00150315" w:rsidRPr="00B27CD2" w:rsidRDefault="00150315" w:rsidP="007144A9">
            <w:pPr>
              <w:spacing w:beforeLines="20" w:before="48" w:afterLines="20" w:after="48" w:line="240" w:lineRule="auto"/>
              <w:contextualSpacing w:val="0"/>
              <w:jc w:val="center"/>
              <w:rPr>
                <w:rFonts w:ascii="Arial" w:eastAsia="Times New Roman" w:hAnsi="Arial" w:cs="Arial"/>
              </w:rPr>
            </w:pPr>
            <w:r w:rsidRPr="00B27CD2">
              <w:rPr>
                <w:rFonts w:ascii="Calibri" w:eastAsia="Calibri"/>
                <w:color w:val="000000"/>
                <w:kern w:val="24"/>
                <w:sz w:val="22"/>
                <w:szCs w:val="22"/>
                <w:rtl/>
              </w:rPr>
              <w:t>ה</w:t>
            </w:r>
            <w:r w:rsidRPr="00B27CD2">
              <w:rPr>
                <w:rFonts w:ascii="Calibri" w:eastAsia="Calibri" w:hint="cs"/>
                <w:color w:val="000000"/>
                <w:kern w:val="24"/>
                <w:sz w:val="22"/>
                <w:szCs w:val="22"/>
                <w:rtl/>
              </w:rPr>
              <w:t>אומדן</w:t>
            </w:r>
            <w:r w:rsidRPr="00B27CD2">
              <w:rPr>
                <w:rFonts w:ascii="Calibri" w:eastAsia="Calibri"/>
                <w:color w:val="000000"/>
                <w:kern w:val="24"/>
                <w:sz w:val="22"/>
                <w:szCs w:val="22"/>
                <w:rtl/>
              </w:rPr>
              <w:t xml:space="preserve"> </w:t>
            </w:r>
            <w:r w:rsidRPr="00B27CD2">
              <w:rPr>
                <w:rFonts w:ascii="Calibri" w:eastAsia="Calibri" w:hAnsi="Calibri"/>
                <w:color w:val="000000"/>
                <w:kern w:val="24"/>
                <w:sz w:val="22"/>
                <w:szCs w:val="22"/>
              </w:rPr>
              <w:br/>
            </w:r>
            <w:r w:rsidRPr="00B27CD2">
              <w:rPr>
                <w:rFonts w:ascii="Calibri" w:eastAsia="Calibri"/>
                <w:color w:val="000000"/>
                <w:kern w:val="24"/>
                <w:sz w:val="22"/>
                <w:szCs w:val="22"/>
                <w:rtl/>
              </w:rPr>
              <w:t>ל-2023</w:t>
            </w:r>
          </w:p>
        </w:tc>
        <w:tc>
          <w:tcPr>
            <w:tcW w:w="492"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6A9F993" w14:textId="7B854335" w:rsidR="00150315" w:rsidRPr="00B27CD2" w:rsidRDefault="00150315" w:rsidP="0019583F">
            <w:pPr>
              <w:spacing w:beforeLines="20" w:before="48" w:afterLines="20" w:after="48" w:line="240" w:lineRule="auto"/>
              <w:contextualSpacing w:val="0"/>
              <w:jc w:val="center"/>
              <w:rPr>
                <w:rFonts w:ascii="Arial" w:eastAsia="Times New Roman" w:hAnsi="Arial" w:cs="Arial"/>
                <w:rtl/>
              </w:rPr>
            </w:pPr>
            <w:r w:rsidRPr="00B27CD2">
              <w:rPr>
                <w:rFonts w:ascii="Calibri" w:eastAsia="Calibri"/>
                <w:color w:val="4F81BD"/>
                <w:kern w:val="24"/>
                <w:sz w:val="22"/>
                <w:szCs w:val="22"/>
                <w:rtl/>
              </w:rPr>
              <w:t xml:space="preserve">השינוי מתחזית </w:t>
            </w:r>
            <w:r>
              <w:rPr>
                <w:rFonts w:ascii="Calibri" w:eastAsia="Calibri" w:hint="cs"/>
                <w:color w:val="4F81BD"/>
                <w:kern w:val="24"/>
                <w:sz w:val="22"/>
                <w:szCs w:val="22"/>
                <w:rtl/>
              </w:rPr>
              <w:t>נובמבר</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21D86C6C" w14:textId="77777777" w:rsidR="00150315" w:rsidRPr="00B27CD2" w:rsidRDefault="00150315" w:rsidP="00712048">
            <w:pPr>
              <w:bidi w:val="0"/>
              <w:spacing w:beforeLines="20" w:before="48" w:afterLines="20" w:after="48" w:line="240" w:lineRule="auto"/>
              <w:contextualSpacing w:val="0"/>
              <w:jc w:val="center"/>
              <w:rPr>
                <w:rFonts w:ascii="Arial" w:eastAsia="Times New Roman" w:hAnsi="Arial" w:cs="Arial"/>
                <w:rtl/>
              </w:rPr>
            </w:pPr>
          </w:p>
        </w:tc>
        <w:tc>
          <w:tcPr>
            <w:tcW w:w="40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06C433EB" w14:textId="77777777" w:rsidR="00150315" w:rsidRPr="00B27CD2" w:rsidRDefault="00150315" w:rsidP="00712048">
            <w:pPr>
              <w:spacing w:beforeLines="20" w:before="48" w:afterLines="20" w:after="48" w:line="240" w:lineRule="auto"/>
              <w:contextualSpacing w:val="0"/>
              <w:jc w:val="center"/>
              <w:rPr>
                <w:rFonts w:ascii="Arial" w:eastAsia="Times New Roman" w:hAnsi="Arial" w:cs="Arial"/>
              </w:rPr>
            </w:pPr>
            <w:r w:rsidRPr="00B27CD2">
              <w:rPr>
                <w:rFonts w:ascii="Calibri" w:eastAsia="Calibri"/>
                <w:color w:val="000000"/>
                <w:kern w:val="24"/>
                <w:sz w:val="22"/>
                <w:szCs w:val="22"/>
                <w:rtl/>
              </w:rPr>
              <w:t xml:space="preserve">התחזית </w:t>
            </w:r>
            <w:r w:rsidRPr="00B27CD2">
              <w:rPr>
                <w:rFonts w:ascii="Calibri" w:eastAsia="Calibri" w:hAnsi="Calibri"/>
                <w:color w:val="000000"/>
                <w:kern w:val="24"/>
                <w:sz w:val="22"/>
                <w:szCs w:val="22"/>
              </w:rPr>
              <w:br/>
            </w:r>
            <w:r w:rsidRPr="00B27CD2">
              <w:rPr>
                <w:rFonts w:ascii="Calibri" w:eastAsia="Calibri"/>
                <w:color w:val="000000"/>
                <w:kern w:val="24"/>
                <w:sz w:val="22"/>
                <w:szCs w:val="22"/>
                <w:rtl/>
              </w:rPr>
              <w:t>ל-2024</w:t>
            </w:r>
          </w:p>
        </w:tc>
        <w:tc>
          <w:tcPr>
            <w:tcW w:w="47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30087931" w14:textId="2C47FC82" w:rsidR="00150315" w:rsidRPr="00B27CD2" w:rsidRDefault="00150315" w:rsidP="0019583F">
            <w:pPr>
              <w:spacing w:beforeLines="20" w:before="48" w:afterLines="20" w:after="48" w:line="240" w:lineRule="auto"/>
              <w:contextualSpacing w:val="0"/>
              <w:jc w:val="center"/>
              <w:rPr>
                <w:rFonts w:ascii="Arial" w:eastAsia="Times New Roman" w:hAnsi="Arial" w:cs="Arial"/>
                <w:rtl/>
              </w:rPr>
            </w:pPr>
            <w:r w:rsidRPr="00B27CD2">
              <w:rPr>
                <w:rFonts w:ascii="Calibri" w:eastAsia="Calibri"/>
                <w:color w:val="4F81BD"/>
                <w:kern w:val="24"/>
                <w:sz w:val="22"/>
                <w:szCs w:val="22"/>
                <w:rtl/>
              </w:rPr>
              <w:t xml:space="preserve">השינוי מתחזית </w:t>
            </w:r>
            <w:r>
              <w:rPr>
                <w:rFonts w:ascii="Calibri" w:eastAsia="Calibri" w:hint="cs"/>
                <w:color w:val="4F81BD"/>
                <w:kern w:val="24"/>
                <w:sz w:val="22"/>
                <w:szCs w:val="22"/>
                <w:rtl/>
              </w:rPr>
              <w:t>נובמבר</w:t>
            </w:r>
          </w:p>
        </w:tc>
        <w:tc>
          <w:tcPr>
            <w:tcW w:w="852" w:type="pct"/>
            <w:tcBorders>
              <w:top w:val="nil"/>
              <w:left w:val="nil"/>
              <w:bottom w:val="single" w:sz="8" w:space="0" w:color="000000"/>
              <w:right w:val="nil"/>
            </w:tcBorders>
          </w:tcPr>
          <w:p w14:paraId="35D87C4F" w14:textId="228107ED" w:rsidR="00150315" w:rsidRPr="00B27CD2" w:rsidRDefault="00DC3ECA" w:rsidP="0019583F">
            <w:pPr>
              <w:spacing w:beforeLines="20" w:before="48" w:afterLines="20" w:after="48" w:line="240" w:lineRule="auto"/>
              <w:contextualSpacing w:val="0"/>
              <w:jc w:val="center"/>
              <w:rPr>
                <w:rFonts w:ascii="Calibri" w:eastAsia="Calibri"/>
                <w:color w:val="4F81BD"/>
                <w:kern w:val="24"/>
                <w:sz w:val="22"/>
                <w:szCs w:val="22"/>
                <w:rtl/>
              </w:rPr>
            </w:pPr>
            <w:r w:rsidRPr="00B27CD2">
              <w:rPr>
                <w:rFonts w:ascii="Calibri" w:eastAsia="Calibri"/>
                <w:color w:val="000000"/>
                <w:kern w:val="24"/>
                <w:sz w:val="22"/>
                <w:szCs w:val="22"/>
                <w:rtl/>
              </w:rPr>
              <w:t xml:space="preserve">התחזית </w:t>
            </w:r>
            <w:r w:rsidRPr="00B27CD2">
              <w:rPr>
                <w:rFonts w:ascii="Calibri" w:eastAsia="Calibri" w:hAnsi="Calibri"/>
                <w:color w:val="000000"/>
                <w:kern w:val="24"/>
                <w:sz w:val="22"/>
                <w:szCs w:val="22"/>
              </w:rPr>
              <w:br/>
            </w:r>
            <w:r w:rsidRPr="00B27CD2">
              <w:rPr>
                <w:rFonts w:ascii="Calibri" w:eastAsia="Calibri"/>
                <w:color w:val="000000"/>
                <w:kern w:val="24"/>
                <w:sz w:val="22"/>
                <w:szCs w:val="22"/>
                <w:rtl/>
              </w:rPr>
              <w:t>ל-202</w:t>
            </w:r>
            <w:r>
              <w:rPr>
                <w:rFonts w:ascii="Calibri" w:eastAsia="Calibri" w:hint="cs"/>
                <w:color w:val="000000"/>
                <w:kern w:val="24"/>
                <w:sz w:val="22"/>
                <w:szCs w:val="22"/>
                <w:rtl/>
              </w:rPr>
              <w:t>5</w:t>
            </w:r>
          </w:p>
        </w:tc>
      </w:tr>
      <w:tr w:rsidR="00150315" w:rsidRPr="00B27CD2" w14:paraId="4DAB0A71" w14:textId="4D25A469" w:rsidTr="00F359D2">
        <w:trPr>
          <w:trHeight w:val="20"/>
        </w:trPr>
        <w:tc>
          <w:tcPr>
            <w:tcW w:w="1878"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2D5EAE8A" w14:textId="77777777" w:rsidR="00150315" w:rsidRPr="00B27CD2" w:rsidRDefault="00150315" w:rsidP="00712048">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תוצר מקומי גולמי</w:t>
            </w:r>
          </w:p>
        </w:tc>
        <w:tc>
          <w:tcPr>
            <w:tcW w:w="349"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14:paraId="245AB0B6"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6.5</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463A0205"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3A6C53BB"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b/>
                <w:bCs/>
                <w:color w:val="000000"/>
                <w:kern w:val="24"/>
                <w:sz w:val="22"/>
                <w:szCs w:val="22"/>
                <w:rtl/>
              </w:rPr>
              <w:t>2.0</w:t>
            </w:r>
          </w:p>
        </w:tc>
        <w:tc>
          <w:tcPr>
            <w:tcW w:w="492"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68D50592" w14:textId="68A07580"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4F43ADAC"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0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26A6E15"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b/>
                <w:bCs/>
                <w:color w:val="000000"/>
                <w:kern w:val="24"/>
                <w:sz w:val="22"/>
                <w:szCs w:val="22"/>
                <w:rtl/>
              </w:rPr>
              <w:t>2.0</w:t>
            </w:r>
          </w:p>
        </w:tc>
        <w:tc>
          <w:tcPr>
            <w:tcW w:w="473"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14:paraId="780E0A38" w14:textId="21D8D748"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w:t>
            </w:r>
          </w:p>
        </w:tc>
        <w:tc>
          <w:tcPr>
            <w:tcW w:w="852" w:type="pct"/>
            <w:tcBorders>
              <w:top w:val="single" w:sz="8" w:space="0" w:color="000000"/>
              <w:left w:val="nil"/>
              <w:bottom w:val="nil"/>
              <w:right w:val="nil"/>
            </w:tcBorders>
            <w:vAlign w:val="center"/>
          </w:tcPr>
          <w:p w14:paraId="38213573" w14:textId="1599F812" w:rsidR="00150315"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5.0</w:t>
            </w:r>
          </w:p>
        </w:tc>
      </w:tr>
      <w:tr w:rsidR="00150315" w:rsidRPr="00B27CD2" w14:paraId="67DC2592" w14:textId="6D0C466E" w:rsidTr="00F359D2">
        <w:trPr>
          <w:trHeight w:val="20"/>
        </w:trPr>
        <w:tc>
          <w:tcPr>
            <w:tcW w:w="1878" w:type="pct"/>
            <w:tcBorders>
              <w:top w:val="nil"/>
              <w:left w:val="nil"/>
              <w:bottom w:val="nil"/>
              <w:right w:val="nil"/>
            </w:tcBorders>
            <w:shd w:val="clear" w:color="auto" w:fill="auto"/>
            <w:tcMar>
              <w:top w:w="15" w:type="dxa"/>
              <w:left w:w="15" w:type="dxa"/>
              <w:bottom w:w="0" w:type="dxa"/>
              <w:right w:w="15" w:type="dxa"/>
            </w:tcMar>
            <w:vAlign w:val="center"/>
            <w:hideMark/>
          </w:tcPr>
          <w:p w14:paraId="35BC73E2" w14:textId="77777777" w:rsidR="00150315" w:rsidRPr="00B27CD2" w:rsidRDefault="00150315" w:rsidP="00712048">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צריכה פרטית</w:t>
            </w:r>
          </w:p>
        </w:tc>
        <w:tc>
          <w:tcPr>
            <w:tcW w:w="349" w:type="pct"/>
            <w:tcBorders>
              <w:top w:val="nil"/>
              <w:left w:val="nil"/>
              <w:bottom w:val="nil"/>
              <w:right w:val="nil"/>
            </w:tcBorders>
            <w:shd w:val="clear" w:color="auto" w:fill="D9D9D9"/>
            <w:tcMar>
              <w:top w:w="15" w:type="dxa"/>
              <w:left w:w="15" w:type="dxa"/>
              <w:bottom w:w="0" w:type="dxa"/>
              <w:right w:w="15" w:type="dxa"/>
            </w:tcMar>
            <w:vAlign w:val="center"/>
            <w:hideMark/>
          </w:tcPr>
          <w:p w14:paraId="19B66EFC"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7.7</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06CC70C6"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nil"/>
              <w:right w:val="nil"/>
            </w:tcBorders>
            <w:shd w:val="clear" w:color="auto" w:fill="auto"/>
            <w:tcMar>
              <w:top w:w="15" w:type="dxa"/>
              <w:left w:w="15" w:type="dxa"/>
              <w:bottom w:w="0" w:type="dxa"/>
              <w:right w:w="15" w:type="dxa"/>
            </w:tcMar>
            <w:vAlign w:val="center"/>
            <w:hideMark/>
          </w:tcPr>
          <w:p w14:paraId="6C0F0A62"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b/>
                <w:bCs/>
                <w:color w:val="000000"/>
                <w:kern w:val="24"/>
                <w:sz w:val="22"/>
                <w:szCs w:val="22"/>
                <w:rtl/>
              </w:rPr>
              <w:t>0.5</w:t>
            </w:r>
            <w:r w:rsidRPr="00150315">
              <w:rPr>
                <w:rFonts w:eastAsia="Times New Roman"/>
                <w:sz w:val="22"/>
                <w:szCs w:val="22"/>
                <w:rtl/>
              </w:rPr>
              <w:t>-</w:t>
            </w:r>
          </w:p>
        </w:tc>
        <w:tc>
          <w:tcPr>
            <w:tcW w:w="492" w:type="pct"/>
            <w:tcBorders>
              <w:top w:val="nil"/>
              <w:left w:val="nil"/>
              <w:bottom w:val="nil"/>
              <w:right w:val="nil"/>
            </w:tcBorders>
            <w:shd w:val="clear" w:color="auto" w:fill="auto"/>
            <w:tcMar>
              <w:top w:w="15" w:type="dxa"/>
              <w:left w:w="15" w:type="dxa"/>
              <w:bottom w:w="0" w:type="dxa"/>
              <w:right w:w="15" w:type="dxa"/>
            </w:tcMar>
            <w:vAlign w:val="center"/>
            <w:hideMark/>
          </w:tcPr>
          <w:p w14:paraId="180E431F" w14:textId="0737AD58"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7631B6ED" w14:textId="77777777" w:rsidR="00150315" w:rsidRPr="00150315" w:rsidRDefault="00150315" w:rsidP="00F359D2">
            <w:pPr>
              <w:bidi w:val="0"/>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nil"/>
              <w:right w:val="nil"/>
            </w:tcBorders>
            <w:shd w:val="clear" w:color="auto" w:fill="auto"/>
            <w:tcMar>
              <w:top w:w="15" w:type="dxa"/>
              <w:left w:w="15" w:type="dxa"/>
              <w:bottom w:w="0" w:type="dxa"/>
              <w:right w:w="15" w:type="dxa"/>
            </w:tcMar>
            <w:vAlign w:val="center"/>
            <w:hideMark/>
          </w:tcPr>
          <w:p w14:paraId="6C43AAEA" w14:textId="0459B24E" w:rsidR="00150315" w:rsidRPr="00150315" w:rsidRDefault="00150315" w:rsidP="00F359D2">
            <w:pPr>
              <w:spacing w:beforeLines="20" w:before="48" w:afterLines="20" w:after="48" w:line="240" w:lineRule="auto"/>
              <w:contextualSpacing w:val="0"/>
              <w:jc w:val="center"/>
              <w:rPr>
                <w:rFonts w:eastAsia="Times New Roman"/>
                <w:sz w:val="22"/>
                <w:szCs w:val="22"/>
              </w:rPr>
            </w:pPr>
            <w:r w:rsidRPr="00150315">
              <w:rPr>
                <w:rFonts w:eastAsia="Times New Roman"/>
                <w:b/>
                <w:bCs/>
                <w:color w:val="000000"/>
                <w:kern w:val="24"/>
                <w:sz w:val="22"/>
                <w:szCs w:val="22"/>
                <w:rtl/>
              </w:rPr>
              <w:t>3.0</w:t>
            </w:r>
          </w:p>
        </w:tc>
        <w:tc>
          <w:tcPr>
            <w:tcW w:w="473" w:type="pct"/>
            <w:tcBorders>
              <w:top w:val="nil"/>
              <w:left w:val="nil"/>
              <w:bottom w:val="nil"/>
              <w:right w:val="nil"/>
            </w:tcBorders>
            <w:shd w:val="clear" w:color="auto" w:fill="auto"/>
            <w:tcMar>
              <w:top w:w="15" w:type="dxa"/>
              <w:left w:w="15" w:type="dxa"/>
              <w:bottom w:w="0" w:type="dxa"/>
              <w:right w:w="15" w:type="dxa"/>
            </w:tcMar>
            <w:vAlign w:val="center"/>
            <w:hideMark/>
          </w:tcPr>
          <w:p w14:paraId="7B00C6EB" w14:textId="7593024F"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1.0</w:t>
            </w:r>
          </w:p>
        </w:tc>
        <w:tc>
          <w:tcPr>
            <w:tcW w:w="852" w:type="pct"/>
            <w:tcBorders>
              <w:top w:val="nil"/>
              <w:left w:val="nil"/>
              <w:bottom w:val="nil"/>
              <w:right w:val="nil"/>
            </w:tcBorders>
            <w:vAlign w:val="center"/>
          </w:tcPr>
          <w:p w14:paraId="0AF6D902" w14:textId="787286DE" w:rsidR="00150315"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6.0</w:t>
            </w:r>
          </w:p>
        </w:tc>
      </w:tr>
      <w:tr w:rsidR="00150315" w:rsidRPr="00B27CD2" w14:paraId="39D9DB40" w14:textId="3AEFDCB2" w:rsidTr="00F359D2">
        <w:trPr>
          <w:trHeight w:val="20"/>
        </w:trPr>
        <w:tc>
          <w:tcPr>
            <w:tcW w:w="1878" w:type="pct"/>
            <w:tcBorders>
              <w:top w:val="nil"/>
              <w:left w:val="nil"/>
              <w:bottom w:val="nil"/>
              <w:right w:val="nil"/>
            </w:tcBorders>
            <w:shd w:val="clear" w:color="auto" w:fill="auto"/>
            <w:tcMar>
              <w:top w:w="15" w:type="dxa"/>
              <w:left w:w="15" w:type="dxa"/>
              <w:bottom w:w="0" w:type="dxa"/>
              <w:right w:w="15" w:type="dxa"/>
            </w:tcMar>
            <w:vAlign w:val="center"/>
            <w:hideMark/>
          </w:tcPr>
          <w:p w14:paraId="039A4A27" w14:textId="77777777" w:rsidR="00150315" w:rsidRPr="00B27CD2" w:rsidRDefault="00150315" w:rsidP="00712048">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 xml:space="preserve">השקעה בנכסים קבועים (ללא </w:t>
            </w:r>
            <w:proofErr w:type="spellStart"/>
            <w:r w:rsidRPr="00B27CD2">
              <w:rPr>
                <w:rFonts w:ascii="Calibri" w:eastAsia="Calibri"/>
                <w:color w:val="000000"/>
                <w:kern w:val="24"/>
                <w:sz w:val="22"/>
                <w:szCs w:val="22"/>
                <w:rtl/>
              </w:rPr>
              <w:t>אוניות</w:t>
            </w:r>
            <w:proofErr w:type="spellEnd"/>
            <w:r w:rsidRPr="00B27CD2">
              <w:rPr>
                <w:rFonts w:ascii="Calibri" w:eastAsia="Calibri"/>
                <w:color w:val="000000"/>
                <w:kern w:val="24"/>
                <w:sz w:val="22"/>
                <w:szCs w:val="22"/>
                <w:rtl/>
              </w:rPr>
              <w:t xml:space="preserve"> ומטוסים)</w:t>
            </w:r>
          </w:p>
        </w:tc>
        <w:tc>
          <w:tcPr>
            <w:tcW w:w="349" w:type="pct"/>
            <w:tcBorders>
              <w:top w:val="nil"/>
              <w:left w:val="nil"/>
              <w:bottom w:val="nil"/>
              <w:right w:val="nil"/>
            </w:tcBorders>
            <w:shd w:val="clear" w:color="auto" w:fill="D9D9D9"/>
            <w:tcMar>
              <w:top w:w="15" w:type="dxa"/>
              <w:left w:w="15" w:type="dxa"/>
              <w:bottom w:w="0" w:type="dxa"/>
              <w:right w:w="15" w:type="dxa"/>
            </w:tcMar>
            <w:vAlign w:val="center"/>
            <w:hideMark/>
          </w:tcPr>
          <w:p w14:paraId="511B7429"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11.0</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2544395D"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nil"/>
              <w:right w:val="nil"/>
            </w:tcBorders>
            <w:shd w:val="clear" w:color="auto" w:fill="auto"/>
            <w:tcMar>
              <w:top w:w="15" w:type="dxa"/>
              <w:left w:w="15" w:type="dxa"/>
              <w:bottom w:w="0" w:type="dxa"/>
              <w:right w:w="15" w:type="dxa"/>
            </w:tcMar>
            <w:vAlign w:val="center"/>
            <w:hideMark/>
          </w:tcPr>
          <w:p w14:paraId="455970EA" w14:textId="145A8326" w:rsidR="00150315" w:rsidRPr="00150315" w:rsidRDefault="00150315" w:rsidP="00F359D2">
            <w:pPr>
              <w:spacing w:beforeLines="20" w:before="48" w:afterLines="20" w:after="48" w:line="240" w:lineRule="auto"/>
              <w:contextualSpacing w:val="0"/>
              <w:jc w:val="center"/>
              <w:rPr>
                <w:rFonts w:eastAsia="Times New Roman"/>
                <w:sz w:val="22"/>
                <w:szCs w:val="22"/>
              </w:rPr>
            </w:pPr>
            <w:r w:rsidRPr="00150315">
              <w:rPr>
                <w:rFonts w:eastAsia="Times New Roman"/>
                <w:b/>
                <w:bCs/>
                <w:color w:val="000000"/>
                <w:kern w:val="24"/>
                <w:sz w:val="22"/>
                <w:szCs w:val="22"/>
                <w:rtl/>
              </w:rPr>
              <w:t>0.5</w:t>
            </w:r>
          </w:p>
        </w:tc>
        <w:tc>
          <w:tcPr>
            <w:tcW w:w="492" w:type="pct"/>
            <w:tcBorders>
              <w:top w:val="nil"/>
              <w:left w:val="nil"/>
              <w:bottom w:val="nil"/>
              <w:right w:val="nil"/>
            </w:tcBorders>
            <w:shd w:val="clear" w:color="auto" w:fill="auto"/>
            <w:tcMar>
              <w:top w:w="15" w:type="dxa"/>
              <w:left w:w="15" w:type="dxa"/>
              <w:bottom w:w="0" w:type="dxa"/>
              <w:right w:w="15" w:type="dxa"/>
            </w:tcMar>
            <w:vAlign w:val="center"/>
            <w:hideMark/>
          </w:tcPr>
          <w:p w14:paraId="134D8977" w14:textId="1A24D6B2"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1.5-</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209F6682" w14:textId="77777777" w:rsidR="00150315" w:rsidRPr="00150315" w:rsidRDefault="00150315" w:rsidP="00F359D2">
            <w:pPr>
              <w:bidi w:val="0"/>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nil"/>
              <w:right w:val="nil"/>
            </w:tcBorders>
            <w:shd w:val="clear" w:color="auto" w:fill="auto"/>
            <w:tcMar>
              <w:top w:w="15" w:type="dxa"/>
              <w:left w:w="15" w:type="dxa"/>
              <w:bottom w:w="0" w:type="dxa"/>
              <w:right w:w="15" w:type="dxa"/>
            </w:tcMar>
            <w:vAlign w:val="center"/>
            <w:hideMark/>
          </w:tcPr>
          <w:p w14:paraId="1E2C5F9F" w14:textId="05C5A13E" w:rsidR="00150315" w:rsidRPr="00150315" w:rsidRDefault="00150315" w:rsidP="00F359D2">
            <w:pPr>
              <w:spacing w:beforeLines="20" w:before="48" w:afterLines="20" w:after="48" w:line="240" w:lineRule="auto"/>
              <w:contextualSpacing w:val="0"/>
              <w:jc w:val="center"/>
              <w:rPr>
                <w:rFonts w:eastAsia="Times New Roman"/>
                <w:sz w:val="22"/>
                <w:szCs w:val="22"/>
              </w:rPr>
            </w:pPr>
            <w:r w:rsidRPr="00150315">
              <w:rPr>
                <w:rFonts w:eastAsia="Times New Roman"/>
                <w:b/>
                <w:bCs/>
                <w:color w:val="000000"/>
                <w:kern w:val="24"/>
                <w:sz w:val="22"/>
                <w:szCs w:val="22"/>
                <w:rtl/>
              </w:rPr>
              <w:t>3.0-</w:t>
            </w:r>
          </w:p>
        </w:tc>
        <w:tc>
          <w:tcPr>
            <w:tcW w:w="473" w:type="pct"/>
            <w:tcBorders>
              <w:top w:val="nil"/>
              <w:left w:val="nil"/>
              <w:bottom w:val="nil"/>
              <w:right w:val="nil"/>
            </w:tcBorders>
            <w:shd w:val="clear" w:color="auto" w:fill="auto"/>
            <w:tcMar>
              <w:top w:w="15" w:type="dxa"/>
              <w:left w:w="15" w:type="dxa"/>
              <w:bottom w:w="0" w:type="dxa"/>
              <w:right w:w="15" w:type="dxa"/>
            </w:tcMar>
            <w:vAlign w:val="center"/>
            <w:hideMark/>
          </w:tcPr>
          <w:p w14:paraId="275D1ACC" w14:textId="2ED85623"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4.0-</w:t>
            </w:r>
          </w:p>
        </w:tc>
        <w:tc>
          <w:tcPr>
            <w:tcW w:w="852" w:type="pct"/>
            <w:tcBorders>
              <w:top w:val="nil"/>
              <w:left w:val="nil"/>
              <w:bottom w:val="nil"/>
              <w:right w:val="nil"/>
            </w:tcBorders>
            <w:vAlign w:val="center"/>
          </w:tcPr>
          <w:p w14:paraId="1EF270A2" w14:textId="60D0DEF4" w:rsidR="00150315"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6.5</w:t>
            </w:r>
          </w:p>
        </w:tc>
      </w:tr>
      <w:tr w:rsidR="00150315" w:rsidRPr="00B27CD2" w14:paraId="1C90FE05" w14:textId="55D7B3C4" w:rsidTr="00F359D2">
        <w:trPr>
          <w:trHeight w:val="20"/>
        </w:trPr>
        <w:tc>
          <w:tcPr>
            <w:tcW w:w="1878" w:type="pct"/>
            <w:tcBorders>
              <w:top w:val="nil"/>
              <w:left w:val="nil"/>
              <w:bottom w:val="nil"/>
              <w:right w:val="nil"/>
            </w:tcBorders>
            <w:shd w:val="clear" w:color="auto" w:fill="auto"/>
            <w:tcMar>
              <w:top w:w="15" w:type="dxa"/>
              <w:left w:w="15" w:type="dxa"/>
              <w:bottom w:w="0" w:type="dxa"/>
              <w:right w:w="15" w:type="dxa"/>
            </w:tcMar>
            <w:vAlign w:val="center"/>
            <w:hideMark/>
          </w:tcPr>
          <w:p w14:paraId="75BD099A" w14:textId="77777777" w:rsidR="00150315" w:rsidRPr="00B27CD2" w:rsidRDefault="00150315" w:rsidP="00712048">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צריכה ציבורית (ללא יבוא ביטחוני)</w:t>
            </w:r>
          </w:p>
        </w:tc>
        <w:tc>
          <w:tcPr>
            <w:tcW w:w="349" w:type="pct"/>
            <w:tcBorders>
              <w:top w:val="nil"/>
              <w:left w:val="nil"/>
              <w:bottom w:val="nil"/>
              <w:right w:val="nil"/>
            </w:tcBorders>
            <w:shd w:val="clear" w:color="auto" w:fill="D9D9D9"/>
            <w:tcMar>
              <w:top w:w="15" w:type="dxa"/>
              <w:left w:w="15" w:type="dxa"/>
              <w:bottom w:w="0" w:type="dxa"/>
              <w:right w:w="15" w:type="dxa"/>
            </w:tcMar>
            <w:vAlign w:val="center"/>
            <w:hideMark/>
          </w:tcPr>
          <w:p w14:paraId="7026539A"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1.4</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09622220"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nil"/>
              <w:right w:val="nil"/>
            </w:tcBorders>
            <w:shd w:val="clear" w:color="auto" w:fill="auto"/>
            <w:tcMar>
              <w:top w:w="15" w:type="dxa"/>
              <w:left w:w="15" w:type="dxa"/>
              <w:bottom w:w="0" w:type="dxa"/>
              <w:right w:w="15" w:type="dxa"/>
            </w:tcMar>
            <w:vAlign w:val="center"/>
            <w:hideMark/>
          </w:tcPr>
          <w:p w14:paraId="14C3DDC0" w14:textId="5053F16D" w:rsidR="00150315" w:rsidRPr="00150315" w:rsidRDefault="00C46E15" w:rsidP="00F359D2">
            <w:pPr>
              <w:spacing w:beforeLines="20" w:before="48" w:afterLines="20" w:after="48" w:line="240" w:lineRule="auto"/>
              <w:contextualSpacing w:val="0"/>
              <w:jc w:val="center"/>
              <w:rPr>
                <w:rFonts w:eastAsia="Times New Roman"/>
                <w:sz w:val="22"/>
                <w:szCs w:val="22"/>
                <w:rtl/>
              </w:rPr>
            </w:pPr>
            <w:r>
              <w:rPr>
                <w:rFonts w:eastAsia="Times New Roman" w:hint="cs"/>
                <w:b/>
                <w:bCs/>
                <w:color w:val="000000"/>
                <w:kern w:val="24"/>
                <w:sz w:val="22"/>
                <w:szCs w:val="22"/>
                <w:rtl/>
              </w:rPr>
              <w:t>9</w:t>
            </w:r>
            <w:r w:rsidR="00150315" w:rsidRPr="00150315">
              <w:rPr>
                <w:rFonts w:eastAsia="Times New Roman"/>
                <w:b/>
                <w:bCs/>
                <w:color w:val="000000"/>
                <w:kern w:val="24"/>
                <w:sz w:val="22"/>
                <w:szCs w:val="22"/>
                <w:rtl/>
              </w:rPr>
              <w:t>.5</w:t>
            </w:r>
          </w:p>
        </w:tc>
        <w:tc>
          <w:tcPr>
            <w:tcW w:w="492" w:type="pct"/>
            <w:tcBorders>
              <w:top w:val="nil"/>
              <w:left w:val="nil"/>
              <w:bottom w:val="nil"/>
              <w:right w:val="nil"/>
            </w:tcBorders>
            <w:shd w:val="clear" w:color="auto" w:fill="auto"/>
            <w:tcMar>
              <w:top w:w="15" w:type="dxa"/>
              <w:left w:w="15" w:type="dxa"/>
              <w:bottom w:w="0" w:type="dxa"/>
              <w:right w:w="15" w:type="dxa"/>
            </w:tcMar>
            <w:vAlign w:val="center"/>
            <w:hideMark/>
          </w:tcPr>
          <w:p w14:paraId="391EC41A" w14:textId="3283CD1C" w:rsidR="00150315" w:rsidRPr="00150315" w:rsidRDefault="00C46E15" w:rsidP="00F359D2">
            <w:pPr>
              <w:spacing w:beforeLines="20" w:before="48" w:afterLines="20" w:after="48" w:line="240" w:lineRule="auto"/>
              <w:contextualSpacing w:val="0"/>
              <w:jc w:val="center"/>
              <w:rPr>
                <w:rFonts w:eastAsia="Times New Roman"/>
                <w:sz w:val="22"/>
                <w:szCs w:val="22"/>
              </w:rPr>
            </w:pPr>
            <w:r>
              <w:rPr>
                <w:rFonts w:eastAsia="Times New Roman" w:hint="cs"/>
                <w:color w:val="4F81BD"/>
                <w:kern w:val="24"/>
                <w:sz w:val="22"/>
                <w:szCs w:val="22"/>
                <w:rtl/>
              </w:rPr>
              <w:t>1.0</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6C55D982" w14:textId="77777777" w:rsidR="00150315" w:rsidRPr="00150315" w:rsidRDefault="00150315" w:rsidP="00F359D2">
            <w:pPr>
              <w:bidi w:val="0"/>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nil"/>
              <w:right w:val="nil"/>
            </w:tcBorders>
            <w:shd w:val="clear" w:color="auto" w:fill="auto"/>
            <w:tcMar>
              <w:top w:w="15" w:type="dxa"/>
              <w:left w:w="15" w:type="dxa"/>
              <w:bottom w:w="0" w:type="dxa"/>
              <w:right w:w="15" w:type="dxa"/>
            </w:tcMar>
            <w:vAlign w:val="center"/>
            <w:hideMark/>
          </w:tcPr>
          <w:p w14:paraId="348635AE" w14:textId="26D6591E" w:rsidR="00150315" w:rsidRPr="00150315" w:rsidRDefault="00C46E15" w:rsidP="00F359D2">
            <w:pPr>
              <w:spacing w:beforeLines="20" w:before="48" w:afterLines="20" w:after="48" w:line="240" w:lineRule="auto"/>
              <w:contextualSpacing w:val="0"/>
              <w:jc w:val="center"/>
              <w:rPr>
                <w:rFonts w:eastAsia="Times New Roman"/>
                <w:sz w:val="22"/>
                <w:szCs w:val="22"/>
              </w:rPr>
            </w:pPr>
            <w:r>
              <w:rPr>
                <w:rFonts w:eastAsia="Times New Roman" w:hint="cs"/>
                <w:b/>
                <w:bCs/>
                <w:color w:val="000000"/>
                <w:kern w:val="24"/>
                <w:sz w:val="22"/>
                <w:szCs w:val="22"/>
                <w:rtl/>
              </w:rPr>
              <w:t>6.5</w:t>
            </w:r>
          </w:p>
        </w:tc>
        <w:tc>
          <w:tcPr>
            <w:tcW w:w="473" w:type="pct"/>
            <w:tcBorders>
              <w:top w:val="nil"/>
              <w:left w:val="nil"/>
              <w:bottom w:val="nil"/>
              <w:right w:val="nil"/>
            </w:tcBorders>
            <w:shd w:val="clear" w:color="auto" w:fill="auto"/>
            <w:tcMar>
              <w:top w:w="15" w:type="dxa"/>
              <w:left w:w="15" w:type="dxa"/>
              <w:bottom w:w="0" w:type="dxa"/>
              <w:right w:w="15" w:type="dxa"/>
            </w:tcMar>
            <w:vAlign w:val="center"/>
            <w:hideMark/>
          </w:tcPr>
          <w:p w14:paraId="1BC62BF4" w14:textId="06FEFB02" w:rsidR="00150315" w:rsidRPr="00150315" w:rsidRDefault="00C46E15" w:rsidP="00F359D2">
            <w:pPr>
              <w:spacing w:beforeLines="20" w:before="48" w:afterLines="20" w:after="48" w:line="240" w:lineRule="auto"/>
              <w:contextualSpacing w:val="0"/>
              <w:jc w:val="center"/>
              <w:rPr>
                <w:rFonts w:eastAsia="Times New Roman"/>
                <w:sz w:val="22"/>
                <w:szCs w:val="22"/>
                <w:rtl/>
              </w:rPr>
            </w:pPr>
            <w:r>
              <w:rPr>
                <w:rFonts w:eastAsia="Times New Roman" w:hint="cs"/>
                <w:color w:val="4F81BD"/>
                <w:kern w:val="24"/>
                <w:sz w:val="22"/>
                <w:szCs w:val="22"/>
                <w:rtl/>
              </w:rPr>
              <w:t>5.0</w:t>
            </w:r>
          </w:p>
        </w:tc>
        <w:tc>
          <w:tcPr>
            <w:tcW w:w="852" w:type="pct"/>
            <w:tcBorders>
              <w:top w:val="nil"/>
              <w:left w:val="nil"/>
              <w:bottom w:val="nil"/>
              <w:right w:val="nil"/>
            </w:tcBorders>
            <w:vAlign w:val="center"/>
          </w:tcPr>
          <w:p w14:paraId="4F1859E4" w14:textId="1C6F1894" w:rsidR="00150315" w:rsidRPr="00150315" w:rsidRDefault="00C46E15" w:rsidP="00F359D2">
            <w:pPr>
              <w:spacing w:beforeLines="20" w:before="48" w:afterLines="20" w:after="48" w:line="240" w:lineRule="auto"/>
              <w:contextualSpacing w:val="0"/>
              <w:jc w:val="center"/>
              <w:rPr>
                <w:rFonts w:eastAsia="Times New Roman"/>
                <w:b/>
                <w:bCs/>
                <w:kern w:val="24"/>
                <w:sz w:val="22"/>
                <w:szCs w:val="22"/>
                <w:rtl/>
              </w:rPr>
            </w:pPr>
            <w:r>
              <w:rPr>
                <w:rFonts w:eastAsia="Times New Roman" w:hint="cs"/>
                <w:b/>
                <w:bCs/>
                <w:kern w:val="24"/>
                <w:sz w:val="22"/>
                <w:szCs w:val="22"/>
                <w:rtl/>
              </w:rPr>
              <w:t>0.5</w:t>
            </w:r>
          </w:p>
        </w:tc>
      </w:tr>
      <w:tr w:rsidR="00150315" w:rsidRPr="00B27CD2" w14:paraId="7CDAC5AE" w14:textId="743D6B0C" w:rsidTr="00F359D2">
        <w:trPr>
          <w:trHeight w:val="20"/>
        </w:trPr>
        <w:tc>
          <w:tcPr>
            <w:tcW w:w="1878" w:type="pct"/>
            <w:tcBorders>
              <w:top w:val="nil"/>
              <w:left w:val="nil"/>
              <w:bottom w:val="nil"/>
              <w:right w:val="nil"/>
            </w:tcBorders>
            <w:shd w:val="clear" w:color="auto" w:fill="auto"/>
            <w:tcMar>
              <w:top w:w="15" w:type="dxa"/>
              <w:left w:w="15" w:type="dxa"/>
              <w:bottom w:w="0" w:type="dxa"/>
              <w:right w:w="15" w:type="dxa"/>
            </w:tcMar>
            <w:vAlign w:val="center"/>
            <w:hideMark/>
          </w:tcPr>
          <w:p w14:paraId="016DB925" w14:textId="77777777" w:rsidR="00150315" w:rsidRPr="00B27CD2" w:rsidRDefault="00150315" w:rsidP="00712048">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יצוא (ללא יהלומים והזנק)</w:t>
            </w:r>
          </w:p>
        </w:tc>
        <w:tc>
          <w:tcPr>
            <w:tcW w:w="349" w:type="pct"/>
            <w:tcBorders>
              <w:top w:val="nil"/>
              <w:left w:val="nil"/>
              <w:bottom w:val="nil"/>
              <w:right w:val="nil"/>
            </w:tcBorders>
            <w:shd w:val="clear" w:color="auto" w:fill="D9D9D9"/>
            <w:tcMar>
              <w:top w:w="15" w:type="dxa"/>
              <w:left w:w="15" w:type="dxa"/>
              <w:bottom w:w="0" w:type="dxa"/>
              <w:right w:w="15" w:type="dxa"/>
            </w:tcMar>
            <w:vAlign w:val="center"/>
            <w:hideMark/>
          </w:tcPr>
          <w:p w14:paraId="6964842D"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9.6</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502F93FB"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nil"/>
              <w:right w:val="nil"/>
            </w:tcBorders>
            <w:shd w:val="clear" w:color="auto" w:fill="auto"/>
            <w:tcMar>
              <w:top w:w="15" w:type="dxa"/>
              <w:left w:w="15" w:type="dxa"/>
              <w:bottom w:w="0" w:type="dxa"/>
              <w:right w:w="15" w:type="dxa"/>
            </w:tcMar>
            <w:vAlign w:val="center"/>
            <w:hideMark/>
          </w:tcPr>
          <w:p w14:paraId="4C4CDD20" w14:textId="6140139E"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b/>
                <w:bCs/>
                <w:color w:val="000000"/>
                <w:kern w:val="24"/>
                <w:sz w:val="22"/>
                <w:szCs w:val="22"/>
                <w:rtl/>
              </w:rPr>
              <w:t>0</w:t>
            </w:r>
            <w:r w:rsidR="002A713A">
              <w:rPr>
                <w:rFonts w:eastAsia="Times New Roman" w:hint="cs"/>
                <w:b/>
                <w:bCs/>
                <w:color w:val="000000"/>
                <w:kern w:val="24"/>
                <w:sz w:val="22"/>
                <w:szCs w:val="22"/>
                <w:rtl/>
              </w:rPr>
              <w:t>.0</w:t>
            </w:r>
          </w:p>
        </w:tc>
        <w:tc>
          <w:tcPr>
            <w:tcW w:w="492" w:type="pct"/>
            <w:tcBorders>
              <w:top w:val="nil"/>
              <w:left w:val="nil"/>
              <w:bottom w:val="nil"/>
              <w:right w:val="nil"/>
            </w:tcBorders>
            <w:shd w:val="clear" w:color="auto" w:fill="auto"/>
            <w:tcMar>
              <w:top w:w="15" w:type="dxa"/>
              <w:left w:w="15" w:type="dxa"/>
              <w:bottom w:w="0" w:type="dxa"/>
              <w:right w:w="15" w:type="dxa"/>
            </w:tcMar>
            <w:vAlign w:val="center"/>
            <w:hideMark/>
          </w:tcPr>
          <w:p w14:paraId="3BCBDF67" w14:textId="62E5DFC5"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1.0-</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174656E6" w14:textId="77777777" w:rsidR="00150315" w:rsidRPr="00150315" w:rsidRDefault="00150315" w:rsidP="00F359D2">
            <w:pPr>
              <w:bidi w:val="0"/>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nil"/>
              <w:right w:val="nil"/>
            </w:tcBorders>
            <w:shd w:val="clear" w:color="auto" w:fill="auto"/>
            <w:tcMar>
              <w:top w:w="15" w:type="dxa"/>
              <w:left w:w="15" w:type="dxa"/>
              <w:bottom w:w="0" w:type="dxa"/>
              <w:right w:w="15" w:type="dxa"/>
            </w:tcMar>
            <w:vAlign w:val="center"/>
            <w:hideMark/>
          </w:tcPr>
          <w:p w14:paraId="00807F4A" w14:textId="4303BA5F" w:rsidR="00150315" w:rsidRPr="00150315" w:rsidRDefault="00150315" w:rsidP="00F359D2">
            <w:pPr>
              <w:spacing w:beforeLines="20" w:before="48" w:afterLines="20" w:after="48" w:line="240" w:lineRule="auto"/>
              <w:contextualSpacing w:val="0"/>
              <w:jc w:val="center"/>
              <w:rPr>
                <w:rFonts w:eastAsia="Times New Roman"/>
                <w:sz w:val="22"/>
                <w:szCs w:val="22"/>
              </w:rPr>
            </w:pPr>
            <w:r w:rsidRPr="00150315">
              <w:rPr>
                <w:rFonts w:eastAsia="Times New Roman"/>
                <w:b/>
                <w:bCs/>
                <w:color w:val="000000"/>
                <w:kern w:val="24"/>
                <w:sz w:val="22"/>
                <w:szCs w:val="22"/>
                <w:rtl/>
              </w:rPr>
              <w:t>0.5</w:t>
            </w:r>
          </w:p>
        </w:tc>
        <w:tc>
          <w:tcPr>
            <w:tcW w:w="473" w:type="pct"/>
            <w:tcBorders>
              <w:top w:val="nil"/>
              <w:left w:val="nil"/>
              <w:bottom w:val="nil"/>
              <w:right w:val="nil"/>
            </w:tcBorders>
            <w:shd w:val="clear" w:color="auto" w:fill="auto"/>
            <w:tcMar>
              <w:top w:w="15" w:type="dxa"/>
              <w:left w:w="15" w:type="dxa"/>
              <w:bottom w:w="0" w:type="dxa"/>
              <w:right w:w="15" w:type="dxa"/>
            </w:tcMar>
            <w:vAlign w:val="center"/>
            <w:hideMark/>
          </w:tcPr>
          <w:p w14:paraId="5C9FE32B" w14:textId="55BEC6D1"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1.0-</w:t>
            </w:r>
          </w:p>
        </w:tc>
        <w:tc>
          <w:tcPr>
            <w:tcW w:w="852" w:type="pct"/>
            <w:tcBorders>
              <w:top w:val="nil"/>
              <w:left w:val="nil"/>
              <w:bottom w:val="nil"/>
              <w:right w:val="nil"/>
            </w:tcBorders>
            <w:vAlign w:val="center"/>
          </w:tcPr>
          <w:p w14:paraId="7340A8C9" w14:textId="0A5A2D2C" w:rsidR="00150315"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5.0</w:t>
            </w:r>
          </w:p>
        </w:tc>
      </w:tr>
      <w:tr w:rsidR="00150315" w:rsidRPr="00B27CD2" w14:paraId="35DDD08B" w14:textId="129829EC" w:rsidTr="00F359D2">
        <w:trPr>
          <w:trHeight w:val="20"/>
        </w:trPr>
        <w:tc>
          <w:tcPr>
            <w:tcW w:w="1878"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6FDEA071" w14:textId="77777777" w:rsidR="00150315" w:rsidRPr="00B27CD2" w:rsidRDefault="00150315" w:rsidP="00712048">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 xml:space="preserve">יבוא אזרחי (ללא יהלומים, </w:t>
            </w:r>
            <w:proofErr w:type="spellStart"/>
            <w:r w:rsidRPr="00B27CD2">
              <w:rPr>
                <w:rFonts w:ascii="Calibri" w:eastAsia="Calibri"/>
                <w:color w:val="000000"/>
                <w:kern w:val="24"/>
                <w:sz w:val="22"/>
                <w:szCs w:val="22"/>
                <w:rtl/>
              </w:rPr>
              <w:t>אוניות</w:t>
            </w:r>
            <w:proofErr w:type="spellEnd"/>
            <w:r w:rsidRPr="00B27CD2">
              <w:rPr>
                <w:rFonts w:ascii="Calibri" w:eastAsia="Calibri"/>
                <w:color w:val="000000"/>
                <w:kern w:val="24"/>
                <w:sz w:val="22"/>
                <w:szCs w:val="22"/>
                <w:rtl/>
              </w:rPr>
              <w:t xml:space="preserve"> ומטוסים)</w:t>
            </w:r>
          </w:p>
        </w:tc>
        <w:tc>
          <w:tcPr>
            <w:tcW w:w="34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14:paraId="4ABDEF2F"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12.7</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738DB9B5"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1F1A5A94" w14:textId="377A8C79"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b/>
                <w:bCs/>
                <w:color w:val="000000"/>
                <w:kern w:val="24"/>
                <w:sz w:val="22"/>
                <w:szCs w:val="22"/>
                <w:rtl/>
              </w:rPr>
              <w:t>5.5-</w:t>
            </w:r>
          </w:p>
        </w:tc>
        <w:tc>
          <w:tcPr>
            <w:tcW w:w="492"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111A320" w14:textId="631D3190"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2.5-</w:t>
            </w:r>
          </w:p>
        </w:tc>
        <w:tc>
          <w:tcPr>
            <w:tcW w:w="62" w:type="pct"/>
            <w:tcBorders>
              <w:top w:val="nil"/>
              <w:left w:val="nil"/>
              <w:bottom w:val="nil"/>
              <w:right w:val="nil"/>
            </w:tcBorders>
            <w:shd w:val="clear" w:color="auto" w:fill="auto"/>
            <w:tcMar>
              <w:top w:w="15" w:type="dxa"/>
              <w:left w:w="15" w:type="dxa"/>
              <w:bottom w:w="0" w:type="dxa"/>
              <w:right w:w="15" w:type="dxa"/>
            </w:tcMar>
            <w:vAlign w:val="center"/>
            <w:hideMark/>
          </w:tcPr>
          <w:p w14:paraId="2CABE7C8" w14:textId="77777777" w:rsidR="00150315" w:rsidRPr="00150315" w:rsidRDefault="00150315" w:rsidP="00F359D2">
            <w:pPr>
              <w:bidi w:val="0"/>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59E79F5F" w14:textId="3DD35AF4" w:rsidR="00150315" w:rsidRPr="00150315" w:rsidRDefault="00150315" w:rsidP="00F359D2">
            <w:pPr>
              <w:spacing w:beforeLines="20" w:before="48" w:afterLines="20" w:after="48" w:line="240" w:lineRule="auto"/>
              <w:contextualSpacing w:val="0"/>
              <w:jc w:val="center"/>
              <w:rPr>
                <w:rFonts w:eastAsia="Times New Roman"/>
                <w:sz w:val="22"/>
                <w:szCs w:val="22"/>
              </w:rPr>
            </w:pPr>
            <w:r w:rsidRPr="00150315">
              <w:rPr>
                <w:rFonts w:eastAsia="Times New Roman"/>
                <w:b/>
                <w:bCs/>
                <w:color w:val="000000"/>
                <w:kern w:val="24"/>
                <w:sz w:val="22"/>
                <w:szCs w:val="22"/>
                <w:rtl/>
              </w:rPr>
              <w:t>4.0-</w:t>
            </w:r>
          </w:p>
        </w:tc>
        <w:tc>
          <w:tcPr>
            <w:tcW w:w="473"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14:paraId="25D9F6CD" w14:textId="6AFE15C0"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5.</w:t>
            </w:r>
            <w:r w:rsidR="00E74767">
              <w:rPr>
                <w:rFonts w:eastAsia="Times New Roman" w:hint="cs"/>
                <w:color w:val="4F81BD"/>
                <w:kern w:val="24"/>
                <w:sz w:val="22"/>
                <w:szCs w:val="22"/>
                <w:rtl/>
              </w:rPr>
              <w:t>0</w:t>
            </w:r>
            <w:r w:rsidRPr="00150315">
              <w:rPr>
                <w:rFonts w:eastAsia="Times New Roman"/>
                <w:color w:val="4F81BD"/>
                <w:kern w:val="24"/>
                <w:sz w:val="22"/>
                <w:szCs w:val="22"/>
                <w:rtl/>
              </w:rPr>
              <w:t>-</w:t>
            </w:r>
          </w:p>
        </w:tc>
        <w:tc>
          <w:tcPr>
            <w:tcW w:w="852" w:type="pct"/>
            <w:tcBorders>
              <w:top w:val="nil"/>
              <w:left w:val="nil"/>
              <w:bottom w:val="single" w:sz="8" w:space="0" w:color="000000"/>
              <w:right w:val="nil"/>
            </w:tcBorders>
            <w:vAlign w:val="center"/>
          </w:tcPr>
          <w:p w14:paraId="728D02CC" w14:textId="7BBEA760" w:rsidR="00C119C6"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9.5</w:t>
            </w:r>
          </w:p>
        </w:tc>
      </w:tr>
      <w:tr w:rsidR="00150315" w:rsidRPr="00B27CD2" w14:paraId="2BD7F785" w14:textId="26B13190" w:rsidTr="00F359D2">
        <w:trPr>
          <w:trHeight w:val="20"/>
        </w:trPr>
        <w:tc>
          <w:tcPr>
            <w:tcW w:w="1878" w:type="pct"/>
            <w:tcBorders>
              <w:left w:val="nil"/>
              <w:bottom w:val="nil"/>
              <w:right w:val="nil"/>
            </w:tcBorders>
            <w:shd w:val="clear" w:color="auto" w:fill="auto"/>
            <w:tcMar>
              <w:top w:w="15" w:type="dxa"/>
              <w:left w:w="15" w:type="dxa"/>
              <w:bottom w:w="0" w:type="dxa"/>
              <w:right w:w="15" w:type="dxa"/>
            </w:tcMar>
            <w:vAlign w:val="center"/>
          </w:tcPr>
          <w:p w14:paraId="19963592" w14:textId="77777777" w:rsidR="00150315" w:rsidRPr="00B27CD2" w:rsidRDefault="00150315" w:rsidP="0066439E">
            <w:pPr>
              <w:spacing w:beforeLines="20" w:before="48" w:afterLines="20" w:after="48" w:line="240" w:lineRule="auto"/>
              <w:contextualSpacing w:val="0"/>
              <w:rPr>
                <w:rFonts w:ascii="Calibri" w:eastAsia="Times New Roman"/>
                <w:color w:val="000000"/>
                <w:kern w:val="24"/>
                <w:rtl/>
              </w:rPr>
            </w:pPr>
            <w:r w:rsidRPr="00B27CD2">
              <w:rPr>
                <w:rFonts w:ascii="Calibri" w:eastAsia="Times New Roman" w:hint="cs"/>
                <w:color w:val="000000"/>
                <w:kern w:val="24"/>
                <w:sz w:val="22"/>
                <w:szCs w:val="22"/>
                <w:rtl/>
              </w:rPr>
              <w:t xml:space="preserve">שיעור האבטלה </w:t>
            </w:r>
            <w:r w:rsidRPr="00B27CD2">
              <w:rPr>
                <w:rFonts w:ascii="Calibri" w:eastAsia="Times New Roman" w:hint="eastAsia"/>
                <w:color w:val="000000"/>
                <w:kern w:val="24"/>
                <w:sz w:val="22"/>
                <w:szCs w:val="22"/>
                <w:rtl/>
              </w:rPr>
              <w:t>הרחב</w:t>
            </w:r>
            <w:r w:rsidRPr="00B27CD2">
              <w:rPr>
                <w:rFonts w:ascii="Calibri" w:eastAsia="Times New Roman"/>
                <w:color w:val="000000"/>
                <w:kern w:val="24"/>
                <w:sz w:val="22"/>
                <w:szCs w:val="22"/>
                <w:rtl/>
              </w:rPr>
              <w:t xml:space="preserve"> – ממוצע שנתי (גילאי 25-64)</w:t>
            </w:r>
            <w:r w:rsidRPr="00B27CD2">
              <w:rPr>
                <w:rFonts w:ascii="Calibri" w:eastAsia="Calibri" w:hAnsi="Calibri" w:hint="cs"/>
                <w:color w:val="000000"/>
                <w:kern w:val="24"/>
                <w:position w:val="8"/>
                <w:sz w:val="22"/>
                <w:szCs w:val="22"/>
                <w:vertAlign w:val="superscript"/>
                <w:rtl/>
              </w:rPr>
              <w:t xml:space="preserve"> 2</w:t>
            </w:r>
          </w:p>
        </w:tc>
        <w:tc>
          <w:tcPr>
            <w:tcW w:w="349" w:type="pct"/>
            <w:tcBorders>
              <w:left w:val="nil"/>
              <w:bottom w:val="nil"/>
              <w:right w:val="nil"/>
            </w:tcBorders>
            <w:shd w:val="clear" w:color="auto" w:fill="D9D9D9"/>
            <w:tcMar>
              <w:top w:w="15" w:type="dxa"/>
              <w:left w:w="15" w:type="dxa"/>
              <w:bottom w:w="0" w:type="dxa"/>
              <w:right w:w="15" w:type="dxa"/>
            </w:tcMar>
            <w:vAlign w:val="center"/>
          </w:tcPr>
          <w:p w14:paraId="3291EA0C" w14:textId="77777777" w:rsidR="00150315" w:rsidRPr="00150315" w:rsidRDefault="00150315" w:rsidP="00F359D2">
            <w:pPr>
              <w:spacing w:beforeLines="20" w:before="48" w:afterLines="20" w:after="48" w:line="240" w:lineRule="auto"/>
              <w:contextualSpacing w:val="0"/>
              <w:jc w:val="center"/>
              <w:rPr>
                <w:rFonts w:eastAsia="Times New Roman"/>
                <w:color w:val="000000"/>
                <w:kern w:val="24"/>
                <w:sz w:val="22"/>
                <w:szCs w:val="22"/>
                <w:rtl/>
              </w:rPr>
            </w:pPr>
            <w:r w:rsidRPr="00150315">
              <w:rPr>
                <w:rFonts w:eastAsia="Times New Roman"/>
                <w:color w:val="000000"/>
                <w:kern w:val="24"/>
                <w:sz w:val="22"/>
                <w:szCs w:val="22"/>
                <w:rtl/>
              </w:rPr>
              <w:t>3.6</w:t>
            </w:r>
          </w:p>
        </w:tc>
        <w:tc>
          <w:tcPr>
            <w:tcW w:w="66" w:type="pct"/>
            <w:tcBorders>
              <w:left w:val="nil"/>
              <w:bottom w:val="nil"/>
              <w:right w:val="nil"/>
            </w:tcBorders>
            <w:shd w:val="clear" w:color="auto" w:fill="auto"/>
            <w:tcMar>
              <w:top w:w="15" w:type="dxa"/>
              <w:left w:w="15" w:type="dxa"/>
              <w:bottom w:w="0" w:type="dxa"/>
              <w:right w:w="15" w:type="dxa"/>
            </w:tcMar>
            <w:vAlign w:val="center"/>
          </w:tcPr>
          <w:p w14:paraId="22CC9731"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left w:val="nil"/>
              <w:bottom w:val="nil"/>
              <w:right w:val="nil"/>
            </w:tcBorders>
            <w:shd w:val="clear" w:color="auto" w:fill="auto"/>
            <w:tcMar>
              <w:top w:w="15" w:type="dxa"/>
              <w:left w:w="15" w:type="dxa"/>
              <w:bottom w:w="0" w:type="dxa"/>
              <w:right w:w="15" w:type="dxa"/>
            </w:tcMar>
            <w:vAlign w:val="center"/>
          </w:tcPr>
          <w:p w14:paraId="1DD0FB8F" w14:textId="11480C11" w:rsidR="00150315" w:rsidRPr="00150315" w:rsidRDefault="00E74767" w:rsidP="00F359D2">
            <w:pPr>
              <w:spacing w:beforeLines="20" w:before="48" w:afterLines="20" w:after="48" w:line="240" w:lineRule="auto"/>
              <w:contextualSpacing w:val="0"/>
              <w:jc w:val="center"/>
              <w:rPr>
                <w:rFonts w:eastAsia="Times New Roman"/>
                <w:b/>
                <w:bCs/>
                <w:color w:val="000000"/>
                <w:kern w:val="24"/>
                <w:sz w:val="22"/>
                <w:szCs w:val="22"/>
                <w:rtl/>
              </w:rPr>
            </w:pPr>
            <w:r>
              <w:rPr>
                <w:rFonts w:eastAsia="Times New Roman" w:hint="cs"/>
                <w:b/>
                <w:bCs/>
                <w:color w:val="000000"/>
                <w:kern w:val="24"/>
                <w:sz w:val="22"/>
                <w:szCs w:val="22"/>
                <w:rtl/>
              </w:rPr>
              <w:t>4.5</w:t>
            </w:r>
          </w:p>
        </w:tc>
        <w:tc>
          <w:tcPr>
            <w:tcW w:w="492" w:type="pct"/>
            <w:tcBorders>
              <w:left w:val="nil"/>
              <w:bottom w:val="nil"/>
              <w:right w:val="nil"/>
            </w:tcBorders>
            <w:shd w:val="clear" w:color="auto" w:fill="auto"/>
            <w:tcMar>
              <w:top w:w="15" w:type="dxa"/>
              <w:left w:w="15" w:type="dxa"/>
              <w:bottom w:w="0" w:type="dxa"/>
              <w:right w:w="15" w:type="dxa"/>
            </w:tcMar>
            <w:vAlign w:val="center"/>
          </w:tcPr>
          <w:p w14:paraId="754F5EBC" w14:textId="17B554AF" w:rsidR="00150315" w:rsidRPr="00150315" w:rsidRDefault="00F359D2" w:rsidP="00F359D2">
            <w:pPr>
              <w:spacing w:beforeLines="20" w:before="48" w:afterLines="20" w:after="48" w:line="240" w:lineRule="auto"/>
              <w:contextualSpacing w:val="0"/>
              <w:jc w:val="center"/>
              <w:rPr>
                <w:rFonts w:eastAsia="Times New Roman"/>
                <w:color w:val="4F81BD"/>
                <w:kern w:val="24"/>
                <w:sz w:val="22"/>
                <w:szCs w:val="22"/>
                <w:rtl/>
              </w:rPr>
            </w:pPr>
            <w:r>
              <w:rPr>
                <w:rFonts w:eastAsia="Times New Roman"/>
                <w:color w:val="4F81BD"/>
                <w:kern w:val="24"/>
                <w:sz w:val="22"/>
                <w:szCs w:val="22"/>
              </w:rPr>
              <w:t>0.2</w:t>
            </w:r>
          </w:p>
        </w:tc>
        <w:tc>
          <w:tcPr>
            <w:tcW w:w="62" w:type="pct"/>
            <w:tcBorders>
              <w:left w:val="nil"/>
              <w:bottom w:val="nil"/>
              <w:right w:val="nil"/>
            </w:tcBorders>
            <w:shd w:val="clear" w:color="auto" w:fill="auto"/>
            <w:tcMar>
              <w:top w:w="15" w:type="dxa"/>
              <w:left w:w="15" w:type="dxa"/>
              <w:bottom w:w="0" w:type="dxa"/>
              <w:right w:w="15" w:type="dxa"/>
            </w:tcMar>
            <w:vAlign w:val="center"/>
          </w:tcPr>
          <w:p w14:paraId="00F23E93"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07" w:type="pct"/>
            <w:tcBorders>
              <w:left w:val="nil"/>
              <w:bottom w:val="nil"/>
              <w:right w:val="nil"/>
            </w:tcBorders>
            <w:shd w:val="clear" w:color="auto" w:fill="auto"/>
            <w:tcMar>
              <w:top w:w="15" w:type="dxa"/>
              <w:left w:w="15" w:type="dxa"/>
              <w:bottom w:w="0" w:type="dxa"/>
              <w:right w:w="15" w:type="dxa"/>
            </w:tcMar>
            <w:vAlign w:val="center"/>
          </w:tcPr>
          <w:p w14:paraId="68572CA5" w14:textId="434FFAF0" w:rsidR="00150315" w:rsidRPr="00150315" w:rsidRDefault="00F359D2" w:rsidP="00F359D2">
            <w:pPr>
              <w:spacing w:beforeLines="20" w:before="48" w:afterLines="20" w:after="48" w:line="240" w:lineRule="auto"/>
              <w:contextualSpacing w:val="0"/>
              <w:jc w:val="center"/>
              <w:rPr>
                <w:rFonts w:eastAsia="Times New Roman"/>
                <w:b/>
                <w:bCs/>
                <w:color w:val="000000"/>
                <w:kern w:val="24"/>
                <w:sz w:val="22"/>
                <w:szCs w:val="22"/>
                <w:rtl/>
              </w:rPr>
            </w:pPr>
            <w:r>
              <w:rPr>
                <w:rFonts w:eastAsia="Times New Roman"/>
                <w:b/>
                <w:bCs/>
                <w:color w:val="000000"/>
                <w:kern w:val="24"/>
                <w:sz w:val="22"/>
                <w:szCs w:val="22"/>
              </w:rPr>
              <w:t>5.3</w:t>
            </w:r>
          </w:p>
        </w:tc>
        <w:tc>
          <w:tcPr>
            <w:tcW w:w="473" w:type="pct"/>
            <w:tcBorders>
              <w:left w:val="nil"/>
              <w:bottom w:val="nil"/>
              <w:right w:val="nil"/>
            </w:tcBorders>
            <w:shd w:val="clear" w:color="auto" w:fill="auto"/>
            <w:tcMar>
              <w:top w:w="15" w:type="dxa"/>
              <w:left w:w="15" w:type="dxa"/>
              <w:bottom w:w="0" w:type="dxa"/>
              <w:right w:w="15" w:type="dxa"/>
            </w:tcMar>
            <w:vAlign w:val="center"/>
          </w:tcPr>
          <w:p w14:paraId="7358AC54" w14:textId="3AD52E5A" w:rsidR="00150315" w:rsidRPr="00150315" w:rsidRDefault="00F359D2" w:rsidP="00F359D2">
            <w:pPr>
              <w:spacing w:beforeLines="20" w:before="48" w:afterLines="20" w:after="48" w:line="240" w:lineRule="auto"/>
              <w:contextualSpacing w:val="0"/>
              <w:jc w:val="center"/>
              <w:rPr>
                <w:rFonts w:eastAsia="Times New Roman"/>
                <w:color w:val="4F81BD"/>
                <w:kern w:val="24"/>
                <w:sz w:val="22"/>
                <w:szCs w:val="22"/>
                <w:rtl/>
              </w:rPr>
            </w:pPr>
            <w:r>
              <w:rPr>
                <w:rFonts w:eastAsia="Times New Roman"/>
                <w:color w:val="4F81BD"/>
                <w:kern w:val="24"/>
                <w:sz w:val="22"/>
                <w:szCs w:val="22"/>
              </w:rPr>
              <w:t>0.8</w:t>
            </w:r>
          </w:p>
        </w:tc>
        <w:tc>
          <w:tcPr>
            <w:tcW w:w="852" w:type="pct"/>
            <w:tcBorders>
              <w:left w:val="nil"/>
              <w:bottom w:val="nil"/>
              <w:right w:val="nil"/>
            </w:tcBorders>
            <w:vAlign w:val="center"/>
          </w:tcPr>
          <w:p w14:paraId="76C7390D" w14:textId="4BB2B80E" w:rsidR="00150315" w:rsidRPr="00150315" w:rsidRDefault="00F359D2" w:rsidP="00F359D2">
            <w:pPr>
              <w:spacing w:beforeLines="20" w:before="48" w:afterLines="20" w:after="48" w:line="240" w:lineRule="auto"/>
              <w:contextualSpacing w:val="0"/>
              <w:jc w:val="center"/>
              <w:rPr>
                <w:rFonts w:eastAsia="Times New Roman"/>
                <w:b/>
                <w:bCs/>
                <w:kern w:val="24"/>
                <w:sz w:val="22"/>
                <w:szCs w:val="22"/>
                <w:rtl/>
              </w:rPr>
            </w:pPr>
            <w:r>
              <w:rPr>
                <w:rFonts w:eastAsia="Times New Roman"/>
                <w:b/>
                <w:bCs/>
                <w:kern w:val="24"/>
                <w:sz w:val="22"/>
                <w:szCs w:val="22"/>
              </w:rPr>
              <w:t>3.2</w:t>
            </w:r>
          </w:p>
        </w:tc>
      </w:tr>
      <w:tr w:rsidR="00150315" w:rsidRPr="00B27CD2" w14:paraId="21600ADB" w14:textId="53E49C76" w:rsidTr="00F359D2">
        <w:trPr>
          <w:trHeight w:val="20"/>
        </w:trPr>
        <w:tc>
          <w:tcPr>
            <w:tcW w:w="187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14:paraId="173F7D77" w14:textId="77777777" w:rsidR="00150315" w:rsidRPr="00B27CD2" w:rsidRDefault="00150315" w:rsidP="0066439E">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 xml:space="preserve">שיעור </w:t>
            </w:r>
            <w:r w:rsidRPr="00B27CD2">
              <w:rPr>
                <w:rFonts w:ascii="Calibri" w:eastAsia="Calibri" w:hint="cs"/>
                <w:color w:val="000000"/>
                <w:kern w:val="24"/>
                <w:sz w:val="22"/>
                <w:szCs w:val="22"/>
                <w:rtl/>
              </w:rPr>
              <w:t>ה</w:t>
            </w:r>
            <w:r w:rsidRPr="00B27CD2">
              <w:rPr>
                <w:rFonts w:ascii="Calibri" w:eastAsia="Calibri"/>
                <w:color w:val="000000"/>
                <w:kern w:val="24"/>
                <w:sz w:val="22"/>
                <w:szCs w:val="22"/>
                <w:rtl/>
              </w:rPr>
              <w:t>תעסוקה</w:t>
            </w:r>
            <w:r w:rsidRPr="00B27CD2">
              <w:rPr>
                <w:rFonts w:ascii="Calibri" w:eastAsia="Calibri" w:hint="cs"/>
                <w:color w:val="000000"/>
                <w:kern w:val="24"/>
                <w:sz w:val="22"/>
                <w:szCs w:val="22"/>
                <w:rtl/>
              </w:rPr>
              <w:t xml:space="preserve"> </w:t>
            </w:r>
            <w:r w:rsidRPr="00B27CD2">
              <w:rPr>
                <w:rFonts w:ascii="Calibri" w:eastAsia="Calibri" w:hint="eastAsia"/>
                <w:color w:val="000000"/>
                <w:kern w:val="24"/>
                <w:sz w:val="22"/>
                <w:szCs w:val="22"/>
                <w:rtl/>
              </w:rPr>
              <w:t>המותאם</w:t>
            </w:r>
            <w:r w:rsidRPr="00B27CD2">
              <w:rPr>
                <w:rFonts w:ascii="Calibri" w:eastAsia="Calibri"/>
                <w:color w:val="000000"/>
                <w:kern w:val="24"/>
                <w:sz w:val="22"/>
                <w:szCs w:val="22"/>
                <w:rtl/>
              </w:rPr>
              <w:t xml:space="preserve">  – ממוצע שנתי</w:t>
            </w:r>
            <w:r w:rsidRPr="00B27CD2">
              <w:rPr>
                <w:rFonts w:ascii="Calibri" w:eastAsia="Times New Roman" w:hAnsi="Calibri"/>
                <w:b/>
                <w:bCs/>
                <w:color w:val="000000"/>
                <w:kern w:val="24"/>
                <w:sz w:val="22"/>
                <w:szCs w:val="22"/>
                <w:rtl/>
              </w:rPr>
              <w:t xml:space="preserve"> </w:t>
            </w:r>
            <w:r w:rsidRPr="00B27CD2">
              <w:rPr>
                <w:rFonts w:ascii="Calibri" w:eastAsia="Times New Roman" w:hAnsi="Calibri"/>
                <w:color w:val="000000"/>
                <w:kern w:val="24"/>
                <w:sz w:val="22"/>
                <w:szCs w:val="22"/>
                <w:rtl/>
              </w:rPr>
              <w:t>(גילאי 25-64</w:t>
            </w:r>
            <w:r w:rsidRPr="00B27CD2">
              <w:rPr>
                <w:rFonts w:ascii="Calibri" w:eastAsia="Times New Roman" w:hAnsi="Calibri"/>
                <w:b/>
                <w:bCs/>
                <w:color w:val="000000"/>
                <w:kern w:val="24"/>
                <w:sz w:val="22"/>
                <w:szCs w:val="22"/>
                <w:rtl/>
              </w:rPr>
              <w:t>)</w:t>
            </w:r>
            <w:r w:rsidRPr="00B27CD2">
              <w:rPr>
                <w:rFonts w:ascii="Calibri" w:eastAsia="Calibri" w:hAnsi="Calibri"/>
                <w:color w:val="000000"/>
                <w:kern w:val="24"/>
                <w:position w:val="8"/>
                <w:sz w:val="22"/>
                <w:szCs w:val="22"/>
                <w:vertAlign w:val="superscript"/>
                <w:rtl/>
              </w:rPr>
              <w:t xml:space="preserve"> 2</w:t>
            </w:r>
          </w:p>
        </w:tc>
        <w:tc>
          <w:tcPr>
            <w:tcW w:w="349" w:type="pct"/>
            <w:tcBorders>
              <w:top w:val="nil"/>
              <w:left w:val="nil"/>
              <w:bottom w:val="double" w:sz="4" w:space="0" w:color="auto"/>
              <w:right w:val="nil"/>
            </w:tcBorders>
            <w:shd w:val="clear" w:color="auto" w:fill="D9D9D9"/>
            <w:tcMar>
              <w:top w:w="15" w:type="dxa"/>
              <w:left w:w="15" w:type="dxa"/>
              <w:bottom w:w="0" w:type="dxa"/>
              <w:right w:w="15" w:type="dxa"/>
            </w:tcMar>
            <w:vAlign w:val="center"/>
            <w:hideMark/>
          </w:tcPr>
          <w:p w14:paraId="79BCF107"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78.3</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60779F97"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double" w:sz="4" w:space="0" w:color="auto"/>
              <w:right w:val="nil"/>
            </w:tcBorders>
            <w:shd w:val="clear" w:color="auto" w:fill="auto"/>
            <w:tcMar>
              <w:top w:w="15" w:type="dxa"/>
              <w:left w:w="15" w:type="dxa"/>
              <w:bottom w:w="0" w:type="dxa"/>
              <w:right w:w="15" w:type="dxa"/>
            </w:tcMar>
            <w:vAlign w:val="center"/>
          </w:tcPr>
          <w:p w14:paraId="68323C0B" w14:textId="7814DF5F" w:rsidR="00150315" w:rsidRPr="00150315" w:rsidRDefault="00F359D2" w:rsidP="00F359D2">
            <w:pPr>
              <w:spacing w:beforeLines="20" w:before="48" w:afterLines="20" w:after="48" w:line="240" w:lineRule="auto"/>
              <w:contextualSpacing w:val="0"/>
              <w:jc w:val="center"/>
              <w:rPr>
                <w:rFonts w:eastAsia="Times New Roman"/>
                <w:b/>
                <w:bCs/>
                <w:color w:val="000000"/>
                <w:kern w:val="24"/>
                <w:sz w:val="22"/>
                <w:szCs w:val="22"/>
                <w:rtl/>
              </w:rPr>
            </w:pPr>
            <w:r>
              <w:rPr>
                <w:rFonts w:eastAsia="Times New Roman" w:hint="cs"/>
                <w:b/>
                <w:bCs/>
                <w:color w:val="000000"/>
                <w:kern w:val="24"/>
                <w:sz w:val="22"/>
                <w:szCs w:val="22"/>
                <w:rtl/>
              </w:rPr>
              <w:t>77.7</w:t>
            </w:r>
          </w:p>
        </w:tc>
        <w:tc>
          <w:tcPr>
            <w:tcW w:w="492" w:type="pct"/>
            <w:tcBorders>
              <w:top w:val="nil"/>
              <w:left w:val="nil"/>
              <w:bottom w:val="double" w:sz="4" w:space="0" w:color="auto"/>
              <w:right w:val="nil"/>
            </w:tcBorders>
            <w:shd w:val="clear" w:color="auto" w:fill="auto"/>
            <w:tcMar>
              <w:top w:w="15" w:type="dxa"/>
              <w:left w:w="15" w:type="dxa"/>
              <w:bottom w:w="0" w:type="dxa"/>
              <w:right w:w="15" w:type="dxa"/>
            </w:tcMar>
            <w:vAlign w:val="center"/>
          </w:tcPr>
          <w:p w14:paraId="6A366A2E" w14:textId="3E9AE826" w:rsidR="00150315" w:rsidRPr="00150315" w:rsidRDefault="00F359D2" w:rsidP="00F359D2">
            <w:pPr>
              <w:spacing w:beforeLines="20" w:before="48" w:afterLines="20" w:after="48" w:line="240" w:lineRule="auto"/>
              <w:contextualSpacing w:val="0"/>
              <w:jc w:val="center"/>
              <w:rPr>
                <w:rFonts w:eastAsia="Times New Roman"/>
                <w:color w:val="4F81BD"/>
                <w:kern w:val="24"/>
                <w:sz w:val="22"/>
                <w:szCs w:val="22"/>
              </w:rPr>
            </w:pPr>
            <w:r>
              <w:rPr>
                <w:rFonts w:eastAsia="Times New Roman"/>
                <w:color w:val="4F81BD"/>
                <w:kern w:val="24"/>
                <w:sz w:val="22"/>
                <w:szCs w:val="22"/>
              </w:rPr>
              <w:t>-0.4</w:t>
            </w:r>
          </w:p>
        </w:tc>
        <w:tc>
          <w:tcPr>
            <w:tcW w:w="62" w:type="pct"/>
            <w:tcBorders>
              <w:top w:val="nil"/>
              <w:left w:val="nil"/>
              <w:bottom w:val="nil"/>
              <w:right w:val="nil"/>
            </w:tcBorders>
            <w:shd w:val="clear" w:color="auto" w:fill="auto"/>
            <w:tcMar>
              <w:top w:w="15" w:type="dxa"/>
              <w:left w:w="15" w:type="dxa"/>
              <w:bottom w:w="0" w:type="dxa"/>
              <w:right w:w="15" w:type="dxa"/>
            </w:tcMar>
            <w:vAlign w:val="center"/>
          </w:tcPr>
          <w:p w14:paraId="44944E09"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double" w:sz="4" w:space="0" w:color="auto"/>
              <w:right w:val="nil"/>
            </w:tcBorders>
            <w:shd w:val="clear" w:color="auto" w:fill="auto"/>
            <w:tcMar>
              <w:top w:w="15" w:type="dxa"/>
              <w:left w:w="15" w:type="dxa"/>
              <w:bottom w:w="0" w:type="dxa"/>
              <w:right w:w="15" w:type="dxa"/>
            </w:tcMar>
            <w:vAlign w:val="center"/>
          </w:tcPr>
          <w:p w14:paraId="08829B9F" w14:textId="111F771B" w:rsidR="00150315" w:rsidRPr="00150315" w:rsidRDefault="00F359D2" w:rsidP="00F359D2">
            <w:pPr>
              <w:spacing w:beforeLines="20" w:before="48" w:afterLines="20" w:after="48" w:line="240" w:lineRule="auto"/>
              <w:contextualSpacing w:val="0"/>
              <w:jc w:val="center"/>
              <w:rPr>
                <w:rFonts w:eastAsia="Times New Roman"/>
                <w:b/>
                <w:bCs/>
                <w:color w:val="000000"/>
                <w:kern w:val="24"/>
                <w:sz w:val="22"/>
                <w:szCs w:val="22"/>
                <w:rtl/>
              </w:rPr>
            </w:pPr>
            <w:r>
              <w:rPr>
                <w:rFonts w:eastAsia="Times New Roman" w:hint="cs"/>
                <w:b/>
                <w:bCs/>
                <w:color w:val="000000"/>
                <w:kern w:val="24"/>
                <w:sz w:val="22"/>
                <w:szCs w:val="22"/>
                <w:rtl/>
              </w:rPr>
              <w:t>76.7</w:t>
            </w:r>
          </w:p>
        </w:tc>
        <w:tc>
          <w:tcPr>
            <w:tcW w:w="473" w:type="pct"/>
            <w:tcBorders>
              <w:top w:val="nil"/>
              <w:left w:val="nil"/>
              <w:bottom w:val="double" w:sz="4" w:space="0" w:color="auto"/>
              <w:right w:val="nil"/>
            </w:tcBorders>
            <w:shd w:val="clear" w:color="auto" w:fill="auto"/>
            <w:tcMar>
              <w:top w:w="15" w:type="dxa"/>
              <w:left w:w="15" w:type="dxa"/>
              <w:bottom w:w="0" w:type="dxa"/>
              <w:right w:w="15" w:type="dxa"/>
            </w:tcMar>
            <w:vAlign w:val="center"/>
          </w:tcPr>
          <w:p w14:paraId="1598C8E7" w14:textId="372481D9" w:rsidR="00150315" w:rsidRPr="00150315" w:rsidRDefault="00F359D2" w:rsidP="00F359D2">
            <w:pPr>
              <w:spacing w:beforeLines="20" w:before="48" w:afterLines="20" w:after="48" w:line="240" w:lineRule="auto"/>
              <w:contextualSpacing w:val="0"/>
              <w:jc w:val="center"/>
              <w:rPr>
                <w:rFonts w:eastAsia="Times New Roman"/>
                <w:color w:val="4F81BD"/>
                <w:kern w:val="24"/>
                <w:sz w:val="22"/>
                <w:szCs w:val="22"/>
                <w:rtl/>
              </w:rPr>
            </w:pPr>
            <w:r>
              <w:rPr>
                <w:rFonts w:eastAsia="Times New Roman"/>
                <w:color w:val="4F81BD"/>
                <w:kern w:val="24"/>
                <w:sz w:val="22"/>
                <w:szCs w:val="22"/>
              </w:rPr>
              <w:t>-0.9</w:t>
            </w:r>
          </w:p>
        </w:tc>
        <w:tc>
          <w:tcPr>
            <w:tcW w:w="852" w:type="pct"/>
            <w:tcBorders>
              <w:top w:val="nil"/>
              <w:left w:val="nil"/>
              <w:bottom w:val="double" w:sz="4" w:space="0" w:color="auto"/>
              <w:right w:val="nil"/>
            </w:tcBorders>
            <w:vAlign w:val="center"/>
          </w:tcPr>
          <w:p w14:paraId="045334B6" w14:textId="5A2D97C8" w:rsidR="00150315" w:rsidRPr="00150315" w:rsidRDefault="00F359D2" w:rsidP="00F359D2">
            <w:pPr>
              <w:spacing w:beforeLines="20" w:before="48" w:afterLines="20" w:after="48" w:line="240" w:lineRule="auto"/>
              <w:contextualSpacing w:val="0"/>
              <w:jc w:val="center"/>
              <w:rPr>
                <w:rFonts w:eastAsia="Times New Roman"/>
                <w:b/>
                <w:bCs/>
                <w:kern w:val="24"/>
                <w:sz w:val="22"/>
                <w:szCs w:val="22"/>
                <w:rtl/>
              </w:rPr>
            </w:pPr>
            <w:r>
              <w:rPr>
                <w:rFonts w:eastAsia="Times New Roman"/>
                <w:b/>
                <w:bCs/>
                <w:kern w:val="24"/>
                <w:sz w:val="22"/>
                <w:szCs w:val="22"/>
              </w:rPr>
              <w:t>78.7</w:t>
            </w:r>
          </w:p>
        </w:tc>
      </w:tr>
      <w:tr w:rsidR="00150315" w:rsidRPr="00B27CD2" w14:paraId="4F5CC526" w14:textId="0719D56E" w:rsidTr="00F359D2">
        <w:trPr>
          <w:trHeight w:val="20"/>
        </w:trPr>
        <w:tc>
          <w:tcPr>
            <w:tcW w:w="1878" w:type="pct"/>
            <w:tcBorders>
              <w:top w:val="double" w:sz="6" w:space="0" w:color="000000"/>
              <w:left w:val="nil"/>
              <w:bottom w:val="nil"/>
              <w:right w:val="nil"/>
            </w:tcBorders>
            <w:shd w:val="clear" w:color="auto" w:fill="auto"/>
            <w:tcMar>
              <w:top w:w="15" w:type="dxa"/>
              <w:left w:w="15" w:type="dxa"/>
              <w:bottom w:w="0" w:type="dxa"/>
              <w:right w:w="15" w:type="dxa"/>
            </w:tcMar>
            <w:vAlign w:val="center"/>
            <w:hideMark/>
          </w:tcPr>
          <w:p w14:paraId="7C8D2B3A" w14:textId="77777777" w:rsidR="00150315" w:rsidRPr="00B27CD2" w:rsidRDefault="00150315" w:rsidP="0018075E">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גירעון הממשלה (אחוזי תוצר)</w:t>
            </w:r>
          </w:p>
        </w:tc>
        <w:tc>
          <w:tcPr>
            <w:tcW w:w="349" w:type="pct"/>
            <w:tcBorders>
              <w:top w:val="double" w:sz="4" w:space="0" w:color="auto"/>
              <w:left w:val="nil"/>
              <w:bottom w:val="nil"/>
              <w:right w:val="nil"/>
            </w:tcBorders>
            <w:shd w:val="clear" w:color="auto" w:fill="D9D9D9"/>
            <w:tcMar>
              <w:top w:w="15" w:type="dxa"/>
              <w:left w:w="15" w:type="dxa"/>
              <w:bottom w:w="0" w:type="dxa"/>
              <w:right w:w="15" w:type="dxa"/>
            </w:tcMar>
            <w:vAlign w:val="center"/>
          </w:tcPr>
          <w:p w14:paraId="4EC04EB3" w14:textId="77777777" w:rsidR="00150315" w:rsidRPr="00150315" w:rsidRDefault="00150315" w:rsidP="00F359D2">
            <w:pPr>
              <w:spacing w:beforeLines="20" w:before="48" w:afterLines="20" w:after="48" w:line="240" w:lineRule="auto"/>
              <w:contextualSpacing w:val="0"/>
              <w:jc w:val="center"/>
              <w:rPr>
                <w:rFonts w:eastAsia="Times New Roman"/>
                <w:color w:val="000000"/>
                <w:kern w:val="24"/>
                <w:sz w:val="22"/>
                <w:szCs w:val="22"/>
                <w:rtl/>
              </w:rPr>
            </w:pPr>
            <w:r w:rsidRPr="00150315">
              <w:rPr>
                <w:rFonts w:eastAsia="Times New Roman"/>
                <w:color w:val="000000"/>
                <w:kern w:val="24"/>
                <w:sz w:val="22"/>
                <w:szCs w:val="22"/>
                <w:rtl/>
              </w:rPr>
              <w:t>0.6-</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429801F8"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double" w:sz="4" w:space="0" w:color="auto"/>
              <w:left w:val="nil"/>
              <w:bottom w:val="nil"/>
              <w:right w:val="nil"/>
            </w:tcBorders>
            <w:shd w:val="clear" w:color="auto" w:fill="auto"/>
            <w:tcMar>
              <w:top w:w="15" w:type="dxa"/>
              <w:left w:w="15" w:type="dxa"/>
              <w:bottom w:w="0" w:type="dxa"/>
              <w:right w:w="15" w:type="dxa"/>
            </w:tcMar>
            <w:vAlign w:val="center"/>
          </w:tcPr>
          <w:p w14:paraId="5C9051DF" w14:textId="6A411EE1" w:rsidR="00150315" w:rsidRPr="00150315" w:rsidRDefault="00150315" w:rsidP="00F359D2">
            <w:pPr>
              <w:spacing w:beforeLines="20" w:before="48" w:afterLines="20" w:after="48" w:line="240" w:lineRule="auto"/>
              <w:contextualSpacing w:val="0"/>
              <w:jc w:val="center"/>
              <w:rPr>
                <w:rFonts w:eastAsia="Times New Roman"/>
                <w:b/>
                <w:bCs/>
                <w:color w:val="000000" w:themeColor="text1"/>
                <w:kern w:val="24"/>
                <w:sz w:val="22"/>
                <w:szCs w:val="22"/>
              </w:rPr>
            </w:pPr>
            <w:r w:rsidRPr="00150315">
              <w:rPr>
                <w:rFonts w:eastAsia="Times New Roman"/>
                <w:b/>
                <w:bCs/>
                <w:color w:val="000000" w:themeColor="text1"/>
                <w:kern w:val="24"/>
                <w:sz w:val="22"/>
                <w:szCs w:val="22"/>
                <w:rtl/>
              </w:rPr>
              <w:t>4.0</w:t>
            </w:r>
          </w:p>
        </w:tc>
        <w:tc>
          <w:tcPr>
            <w:tcW w:w="492" w:type="pct"/>
            <w:tcBorders>
              <w:top w:val="double" w:sz="4" w:space="0" w:color="auto"/>
              <w:left w:val="nil"/>
              <w:bottom w:val="nil"/>
              <w:right w:val="nil"/>
            </w:tcBorders>
            <w:shd w:val="clear" w:color="auto" w:fill="auto"/>
            <w:tcMar>
              <w:top w:w="15" w:type="dxa"/>
              <w:left w:w="15" w:type="dxa"/>
              <w:bottom w:w="0" w:type="dxa"/>
              <w:right w:w="15" w:type="dxa"/>
            </w:tcMar>
            <w:vAlign w:val="center"/>
          </w:tcPr>
          <w:p w14:paraId="27A1BC7E" w14:textId="49837BC9" w:rsidR="00150315" w:rsidRPr="00150315" w:rsidRDefault="00150315" w:rsidP="00F359D2">
            <w:pPr>
              <w:spacing w:beforeLines="20" w:before="48" w:afterLines="20" w:after="48" w:line="240" w:lineRule="auto"/>
              <w:contextualSpacing w:val="0"/>
              <w:jc w:val="center"/>
              <w:rPr>
                <w:rFonts w:eastAsia="Times New Roman"/>
                <w:color w:val="4F81BD"/>
                <w:kern w:val="24"/>
                <w:sz w:val="22"/>
                <w:szCs w:val="22"/>
                <w:rtl/>
              </w:rPr>
            </w:pPr>
            <w:r w:rsidRPr="00150315">
              <w:rPr>
                <w:rFonts w:eastAsia="Times New Roman"/>
                <w:color w:val="4F81BD"/>
                <w:kern w:val="24"/>
                <w:sz w:val="22"/>
                <w:szCs w:val="22"/>
                <w:rtl/>
              </w:rPr>
              <w:t>0.3</w:t>
            </w:r>
          </w:p>
        </w:tc>
        <w:tc>
          <w:tcPr>
            <w:tcW w:w="62" w:type="pct"/>
            <w:tcBorders>
              <w:top w:val="nil"/>
              <w:left w:val="single" w:sz="8" w:space="0" w:color="FFFFFF"/>
              <w:bottom w:val="nil"/>
              <w:right w:val="nil"/>
            </w:tcBorders>
            <w:shd w:val="clear" w:color="auto" w:fill="auto"/>
            <w:tcMar>
              <w:top w:w="15" w:type="dxa"/>
              <w:left w:w="15" w:type="dxa"/>
              <w:bottom w:w="0" w:type="dxa"/>
              <w:right w:w="15" w:type="dxa"/>
            </w:tcMar>
            <w:vAlign w:val="center"/>
          </w:tcPr>
          <w:p w14:paraId="02C8F782"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07" w:type="pct"/>
            <w:tcBorders>
              <w:top w:val="double" w:sz="4" w:space="0" w:color="auto"/>
              <w:left w:val="nil"/>
              <w:bottom w:val="nil"/>
              <w:right w:val="single" w:sz="8" w:space="0" w:color="FFFFFF"/>
            </w:tcBorders>
            <w:shd w:val="clear" w:color="auto" w:fill="auto"/>
            <w:tcMar>
              <w:top w:w="15" w:type="dxa"/>
              <w:left w:w="15" w:type="dxa"/>
              <w:bottom w:w="0" w:type="dxa"/>
              <w:right w:w="15" w:type="dxa"/>
            </w:tcMar>
            <w:vAlign w:val="center"/>
          </w:tcPr>
          <w:p w14:paraId="72CBDF82" w14:textId="5CF85915" w:rsidR="00150315" w:rsidRPr="00150315" w:rsidRDefault="00F359D2" w:rsidP="00F359D2">
            <w:pPr>
              <w:spacing w:beforeLines="20" w:before="48" w:afterLines="20" w:after="48" w:line="240" w:lineRule="auto"/>
              <w:contextualSpacing w:val="0"/>
              <w:jc w:val="center"/>
              <w:rPr>
                <w:rFonts w:eastAsia="Times New Roman"/>
                <w:b/>
                <w:bCs/>
                <w:color w:val="000000" w:themeColor="text1"/>
                <w:kern w:val="24"/>
                <w:sz w:val="22"/>
                <w:szCs w:val="22"/>
                <w:rtl/>
              </w:rPr>
            </w:pPr>
            <w:r>
              <w:rPr>
                <w:rFonts w:eastAsia="Times New Roman" w:hint="cs"/>
                <w:b/>
                <w:bCs/>
                <w:color w:val="000000" w:themeColor="text1"/>
                <w:kern w:val="24"/>
                <w:sz w:val="22"/>
                <w:szCs w:val="22"/>
                <w:rtl/>
              </w:rPr>
              <w:t>5.</w:t>
            </w:r>
            <w:r w:rsidR="003543AE">
              <w:rPr>
                <w:rFonts w:eastAsia="Times New Roman" w:hint="cs"/>
                <w:b/>
                <w:bCs/>
                <w:color w:val="000000" w:themeColor="text1"/>
                <w:kern w:val="24"/>
                <w:sz w:val="22"/>
                <w:szCs w:val="22"/>
                <w:rtl/>
              </w:rPr>
              <w:t>7</w:t>
            </w:r>
          </w:p>
        </w:tc>
        <w:tc>
          <w:tcPr>
            <w:tcW w:w="473" w:type="pct"/>
            <w:tcBorders>
              <w:top w:val="double" w:sz="4" w:space="0" w:color="auto"/>
              <w:left w:val="single" w:sz="8" w:space="0" w:color="FFFFFF"/>
              <w:bottom w:val="nil"/>
              <w:right w:val="nil"/>
            </w:tcBorders>
            <w:shd w:val="clear" w:color="auto" w:fill="auto"/>
            <w:tcMar>
              <w:top w:w="15" w:type="dxa"/>
              <w:left w:w="15" w:type="dxa"/>
              <w:bottom w:w="0" w:type="dxa"/>
              <w:right w:w="15" w:type="dxa"/>
            </w:tcMar>
            <w:vAlign w:val="center"/>
          </w:tcPr>
          <w:p w14:paraId="124A81A8" w14:textId="75CF2158" w:rsidR="00150315" w:rsidRPr="00150315" w:rsidRDefault="007772BD" w:rsidP="00F359D2">
            <w:pPr>
              <w:spacing w:beforeLines="20" w:before="48" w:afterLines="20" w:after="48" w:line="240" w:lineRule="auto"/>
              <w:contextualSpacing w:val="0"/>
              <w:jc w:val="center"/>
              <w:rPr>
                <w:rFonts w:eastAsia="Times New Roman"/>
                <w:color w:val="4F81BD"/>
                <w:kern w:val="24"/>
                <w:sz w:val="22"/>
                <w:szCs w:val="22"/>
              </w:rPr>
            </w:pPr>
            <w:r>
              <w:rPr>
                <w:rFonts w:eastAsia="Times New Roman" w:hint="cs"/>
                <w:color w:val="4F81BD"/>
                <w:kern w:val="24"/>
                <w:sz w:val="22"/>
                <w:szCs w:val="22"/>
                <w:rtl/>
              </w:rPr>
              <w:t>0.7</w:t>
            </w:r>
          </w:p>
        </w:tc>
        <w:tc>
          <w:tcPr>
            <w:tcW w:w="852" w:type="pct"/>
            <w:tcBorders>
              <w:top w:val="double" w:sz="4" w:space="0" w:color="auto"/>
              <w:left w:val="single" w:sz="8" w:space="0" w:color="FFFFFF"/>
              <w:bottom w:val="nil"/>
              <w:right w:val="nil"/>
            </w:tcBorders>
            <w:vAlign w:val="center"/>
          </w:tcPr>
          <w:p w14:paraId="051D8FFE" w14:textId="516A106E" w:rsidR="00150315" w:rsidRPr="00150315" w:rsidRDefault="00F359D2" w:rsidP="00A37A44">
            <w:pPr>
              <w:spacing w:beforeLines="20" w:before="48" w:afterLines="20" w:after="48" w:line="240" w:lineRule="auto"/>
              <w:contextualSpacing w:val="0"/>
              <w:jc w:val="center"/>
              <w:rPr>
                <w:rFonts w:eastAsia="Times New Roman"/>
                <w:b/>
                <w:bCs/>
                <w:kern w:val="24"/>
                <w:sz w:val="22"/>
                <w:szCs w:val="22"/>
                <w:rtl/>
              </w:rPr>
            </w:pPr>
            <w:r>
              <w:rPr>
                <w:rFonts w:eastAsia="Times New Roman" w:hint="cs"/>
                <w:b/>
                <w:bCs/>
                <w:kern w:val="24"/>
                <w:sz w:val="22"/>
                <w:szCs w:val="22"/>
                <w:rtl/>
              </w:rPr>
              <w:t>3.</w:t>
            </w:r>
            <w:r w:rsidR="00A37A44">
              <w:rPr>
                <w:rFonts w:eastAsia="Times New Roman" w:hint="cs"/>
                <w:b/>
                <w:bCs/>
                <w:kern w:val="24"/>
                <w:sz w:val="22"/>
                <w:szCs w:val="22"/>
                <w:rtl/>
              </w:rPr>
              <w:t>8</w:t>
            </w:r>
          </w:p>
        </w:tc>
      </w:tr>
      <w:tr w:rsidR="00150315" w:rsidRPr="00B27CD2" w14:paraId="373CD0FB" w14:textId="5A29AB22" w:rsidTr="00F359D2">
        <w:trPr>
          <w:trHeight w:val="20"/>
        </w:trPr>
        <w:tc>
          <w:tcPr>
            <w:tcW w:w="1878"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14:paraId="350428B5" w14:textId="77777777" w:rsidR="00150315" w:rsidRPr="00B27CD2" w:rsidRDefault="00150315" w:rsidP="0018075E">
            <w:pPr>
              <w:spacing w:beforeLines="20" w:before="48" w:afterLines="20" w:after="48" w:line="240" w:lineRule="auto"/>
              <w:contextualSpacing w:val="0"/>
              <w:rPr>
                <w:rFonts w:ascii="Arial" w:eastAsia="Times New Roman" w:hAnsi="Arial" w:cs="Arial"/>
                <w:rtl/>
              </w:rPr>
            </w:pPr>
            <w:r w:rsidRPr="00B27CD2">
              <w:rPr>
                <w:rFonts w:ascii="Calibri" w:eastAsia="Calibri"/>
                <w:color w:val="000000"/>
                <w:kern w:val="24"/>
                <w:sz w:val="22"/>
                <w:szCs w:val="22"/>
                <w:rtl/>
              </w:rPr>
              <w:t>יחס חוב לתוצר</w:t>
            </w:r>
          </w:p>
        </w:tc>
        <w:tc>
          <w:tcPr>
            <w:tcW w:w="349" w:type="pct"/>
            <w:tcBorders>
              <w:top w:val="nil"/>
              <w:left w:val="nil"/>
              <w:bottom w:val="double" w:sz="6" w:space="0" w:color="000000"/>
              <w:right w:val="nil"/>
            </w:tcBorders>
            <w:shd w:val="clear" w:color="auto" w:fill="D9D9D9"/>
            <w:tcMar>
              <w:top w:w="15" w:type="dxa"/>
              <w:left w:w="15" w:type="dxa"/>
              <w:bottom w:w="0" w:type="dxa"/>
              <w:right w:w="15" w:type="dxa"/>
            </w:tcMar>
            <w:vAlign w:val="center"/>
          </w:tcPr>
          <w:p w14:paraId="7B9A82CA" w14:textId="77777777" w:rsidR="00150315" w:rsidRPr="00150315" w:rsidRDefault="00150315" w:rsidP="00F359D2">
            <w:pPr>
              <w:spacing w:beforeLines="20" w:before="48" w:afterLines="20" w:after="48" w:line="240" w:lineRule="auto"/>
              <w:contextualSpacing w:val="0"/>
              <w:jc w:val="center"/>
              <w:rPr>
                <w:rFonts w:eastAsia="Times New Roman"/>
                <w:color w:val="000000"/>
                <w:kern w:val="24"/>
                <w:sz w:val="22"/>
                <w:szCs w:val="22"/>
                <w:rtl/>
              </w:rPr>
            </w:pPr>
            <w:r w:rsidRPr="00150315">
              <w:rPr>
                <w:rFonts w:eastAsia="Times New Roman"/>
                <w:color w:val="000000"/>
                <w:kern w:val="24"/>
                <w:sz w:val="22"/>
                <w:szCs w:val="22"/>
                <w:rtl/>
              </w:rPr>
              <w:t>60.5</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719873D2"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2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14:paraId="00A0239F" w14:textId="6D052905" w:rsidR="00150315" w:rsidRPr="00150315" w:rsidRDefault="00150315" w:rsidP="00F359D2">
            <w:pPr>
              <w:spacing w:beforeLines="20" w:before="48" w:afterLines="20" w:after="48" w:line="240" w:lineRule="auto"/>
              <w:contextualSpacing w:val="0"/>
              <w:jc w:val="center"/>
              <w:rPr>
                <w:rFonts w:eastAsia="Times New Roman"/>
                <w:b/>
                <w:bCs/>
                <w:color w:val="000000" w:themeColor="text1"/>
                <w:kern w:val="24"/>
                <w:sz w:val="22"/>
                <w:szCs w:val="22"/>
                <w:rtl/>
              </w:rPr>
            </w:pPr>
            <w:r w:rsidRPr="00150315">
              <w:rPr>
                <w:rFonts w:eastAsia="Times New Roman"/>
                <w:b/>
                <w:bCs/>
                <w:color w:val="000000" w:themeColor="text1"/>
                <w:kern w:val="24"/>
                <w:sz w:val="22"/>
                <w:szCs w:val="22"/>
              </w:rPr>
              <w:t>6</w:t>
            </w:r>
            <w:r w:rsidR="00CC68CA">
              <w:rPr>
                <w:rFonts w:eastAsia="Times New Roman"/>
                <w:b/>
                <w:bCs/>
                <w:color w:val="000000" w:themeColor="text1"/>
                <w:kern w:val="24"/>
                <w:sz w:val="22"/>
                <w:szCs w:val="22"/>
              </w:rPr>
              <w:t>2</w:t>
            </w:r>
          </w:p>
        </w:tc>
        <w:tc>
          <w:tcPr>
            <w:tcW w:w="492" w:type="pct"/>
            <w:tcBorders>
              <w:top w:val="nil"/>
              <w:left w:val="nil"/>
              <w:bottom w:val="double" w:sz="6" w:space="0" w:color="000000"/>
              <w:right w:val="nil"/>
            </w:tcBorders>
            <w:shd w:val="clear" w:color="auto" w:fill="auto"/>
            <w:tcMar>
              <w:top w:w="15" w:type="dxa"/>
              <w:left w:w="15" w:type="dxa"/>
              <w:bottom w:w="0" w:type="dxa"/>
              <w:right w:w="15" w:type="dxa"/>
            </w:tcMar>
            <w:vAlign w:val="center"/>
          </w:tcPr>
          <w:p w14:paraId="1A8346A2" w14:textId="586881E7" w:rsidR="00150315" w:rsidRPr="00150315" w:rsidRDefault="00591893" w:rsidP="00F359D2">
            <w:pPr>
              <w:spacing w:beforeLines="20" w:before="48" w:afterLines="20" w:after="48" w:line="240" w:lineRule="auto"/>
              <w:contextualSpacing w:val="0"/>
              <w:jc w:val="center"/>
              <w:rPr>
                <w:rFonts w:eastAsia="Times New Roman"/>
                <w:color w:val="4F81BD"/>
                <w:kern w:val="24"/>
                <w:sz w:val="22"/>
                <w:szCs w:val="22"/>
                <w:rtl/>
              </w:rPr>
            </w:pPr>
            <w:r>
              <w:rPr>
                <w:rFonts w:eastAsia="Times New Roman"/>
                <w:color w:val="4F81BD"/>
                <w:kern w:val="24"/>
                <w:sz w:val="22"/>
                <w:szCs w:val="22"/>
              </w:rPr>
              <w:t>-1</w:t>
            </w:r>
          </w:p>
        </w:tc>
        <w:tc>
          <w:tcPr>
            <w:tcW w:w="62" w:type="pct"/>
            <w:tcBorders>
              <w:top w:val="nil"/>
              <w:left w:val="nil"/>
              <w:bottom w:val="nil"/>
              <w:right w:val="nil"/>
            </w:tcBorders>
            <w:shd w:val="clear" w:color="auto" w:fill="auto"/>
            <w:tcMar>
              <w:top w:w="15" w:type="dxa"/>
              <w:left w:w="15" w:type="dxa"/>
              <w:bottom w:w="0" w:type="dxa"/>
              <w:right w:w="15" w:type="dxa"/>
            </w:tcMar>
            <w:vAlign w:val="center"/>
          </w:tcPr>
          <w:p w14:paraId="39396D59"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07" w:type="pct"/>
            <w:tcBorders>
              <w:top w:val="nil"/>
              <w:left w:val="nil"/>
              <w:bottom w:val="double" w:sz="6" w:space="0" w:color="000000"/>
              <w:right w:val="nil"/>
            </w:tcBorders>
            <w:shd w:val="clear" w:color="auto" w:fill="auto"/>
            <w:tcMar>
              <w:top w:w="15" w:type="dxa"/>
              <w:left w:w="15" w:type="dxa"/>
              <w:bottom w:w="0" w:type="dxa"/>
              <w:right w:w="15" w:type="dxa"/>
            </w:tcMar>
            <w:vAlign w:val="center"/>
          </w:tcPr>
          <w:p w14:paraId="6B24D306" w14:textId="77777777" w:rsidR="00150315" w:rsidRPr="00150315" w:rsidRDefault="00150315" w:rsidP="00F359D2">
            <w:pPr>
              <w:spacing w:beforeLines="20" w:before="48" w:afterLines="20" w:after="48" w:line="240" w:lineRule="auto"/>
              <w:contextualSpacing w:val="0"/>
              <w:jc w:val="center"/>
              <w:rPr>
                <w:rFonts w:eastAsia="Times New Roman"/>
                <w:b/>
                <w:bCs/>
                <w:color w:val="000000" w:themeColor="text1"/>
                <w:kern w:val="24"/>
                <w:sz w:val="22"/>
                <w:szCs w:val="22"/>
                <w:rtl/>
              </w:rPr>
            </w:pPr>
            <w:r w:rsidRPr="00150315">
              <w:rPr>
                <w:rFonts w:eastAsia="Times New Roman"/>
                <w:b/>
                <w:bCs/>
                <w:color w:val="000000" w:themeColor="text1"/>
                <w:kern w:val="24"/>
                <w:sz w:val="22"/>
                <w:szCs w:val="22"/>
              </w:rPr>
              <w:t>66</w:t>
            </w:r>
          </w:p>
        </w:tc>
        <w:tc>
          <w:tcPr>
            <w:tcW w:w="473" w:type="pct"/>
            <w:tcBorders>
              <w:top w:val="nil"/>
              <w:left w:val="nil"/>
              <w:bottom w:val="double" w:sz="6" w:space="0" w:color="000000"/>
              <w:right w:val="nil"/>
            </w:tcBorders>
            <w:shd w:val="clear" w:color="auto" w:fill="auto"/>
            <w:tcMar>
              <w:top w:w="15" w:type="dxa"/>
              <w:left w:w="15" w:type="dxa"/>
              <w:bottom w:w="0" w:type="dxa"/>
              <w:right w:w="15" w:type="dxa"/>
            </w:tcMar>
            <w:vAlign w:val="center"/>
          </w:tcPr>
          <w:p w14:paraId="7EC06DAF" w14:textId="38E6BC1B" w:rsidR="00150315" w:rsidRPr="00150315" w:rsidRDefault="00150315" w:rsidP="00F359D2">
            <w:pPr>
              <w:spacing w:beforeLines="20" w:before="48" w:afterLines="20" w:after="48" w:line="240" w:lineRule="auto"/>
              <w:contextualSpacing w:val="0"/>
              <w:jc w:val="center"/>
              <w:rPr>
                <w:rFonts w:eastAsia="Times New Roman"/>
                <w:color w:val="4F81BD"/>
                <w:kern w:val="24"/>
                <w:sz w:val="22"/>
                <w:szCs w:val="22"/>
                <w:rtl/>
              </w:rPr>
            </w:pPr>
            <w:r w:rsidRPr="00150315">
              <w:rPr>
                <w:rFonts w:eastAsia="Times New Roman"/>
                <w:color w:val="4F81BD"/>
                <w:kern w:val="24"/>
                <w:sz w:val="22"/>
                <w:szCs w:val="22"/>
                <w:rtl/>
              </w:rPr>
              <w:t>-</w:t>
            </w:r>
          </w:p>
        </w:tc>
        <w:tc>
          <w:tcPr>
            <w:tcW w:w="852" w:type="pct"/>
            <w:tcBorders>
              <w:top w:val="nil"/>
              <w:left w:val="nil"/>
              <w:bottom w:val="double" w:sz="6" w:space="0" w:color="000000"/>
              <w:right w:val="nil"/>
            </w:tcBorders>
            <w:vAlign w:val="center"/>
          </w:tcPr>
          <w:p w14:paraId="0B972979" w14:textId="46A66C10" w:rsidR="00150315"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6</w:t>
            </w:r>
            <w:r w:rsidR="00350BA7">
              <w:rPr>
                <w:rFonts w:eastAsia="Times New Roman" w:hint="cs"/>
                <w:b/>
                <w:bCs/>
                <w:kern w:val="24"/>
                <w:sz w:val="22"/>
                <w:szCs w:val="22"/>
                <w:rtl/>
              </w:rPr>
              <w:t>6</w:t>
            </w:r>
          </w:p>
        </w:tc>
      </w:tr>
      <w:tr w:rsidR="00150315" w:rsidRPr="003B2D4B" w14:paraId="3AEC6524" w14:textId="411EAC92" w:rsidTr="00F359D2">
        <w:trPr>
          <w:trHeight w:val="20"/>
        </w:trPr>
        <w:tc>
          <w:tcPr>
            <w:tcW w:w="1878"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3329F125" w14:textId="77777777" w:rsidR="00150315" w:rsidRPr="003B2D4B" w:rsidRDefault="00150315" w:rsidP="0066439E">
            <w:pPr>
              <w:spacing w:beforeLines="20" w:before="48" w:afterLines="20" w:after="48" w:line="240" w:lineRule="auto"/>
              <w:contextualSpacing w:val="0"/>
              <w:rPr>
                <w:rFonts w:ascii="Arial" w:eastAsia="Times New Roman" w:hAnsi="Arial" w:cs="Arial"/>
                <w:rtl/>
              </w:rPr>
            </w:pPr>
            <w:r w:rsidRPr="003B2D4B">
              <w:rPr>
                <w:rFonts w:ascii="Calibri" w:eastAsia="Calibri"/>
                <w:color w:val="000000"/>
                <w:kern w:val="24"/>
                <w:sz w:val="22"/>
                <w:szCs w:val="22"/>
                <w:rtl/>
              </w:rPr>
              <w:t>אינפלציה</w:t>
            </w:r>
            <w:r>
              <w:rPr>
                <w:rFonts w:ascii="Calibri" w:eastAsia="Calibri" w:hAnsi="Calibri" w:hint="cs"/>
                <w:color w:val="000000"/>
                <w:kern w:val="24"/>
                <w:position w:val="8"/>
                <w:sz w:val="22"/>
                <w:szCs w:val="22"/>
                <w:vertAlign w:val="superscript"/>
                <w:rtl/>
              </w:rPr>
              <w:t>3</w:t>
            </w:r>
          </w:p>
        </w:tc>
        <w:tc>
          <w:tcPr>
            <w:tcW w:w="349" w:type="pct"/>
            <w:tcBorders>
              <w:top w:val="double" w:sz="6" w:space="0" w:color="000000"/>
              <w:left w:val="nil"/>
              <w:bottom w:val="single" w:sz="8" w:space="0" w:color="000000"/>
              <w:right w:val="nil"/>
            </w:tcBorders>
            <w:shd w:val="clear" w:color="auto" w:fill="D9D9D9" w:themeFill="background1" w:themeFillShade="D9"/>
            <w:tcMar>
              <w:top w:w="15" w:type="dxa"/>
              <w:left w:w="15" w:type="dxa"/>
              <w:bottom w:w="0" w:type="dxa"/>
              <w:right w:w="15" w:type="dxa"/>
            </w:tcMar>
            <w:vAlign w:val="center"/>
            <w:hideMark/>
          </w:tcPr>
          <w:p w14:paraId="6B14E89D"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000000"/>
                <w:kern w:val="24"/>
                <w:sz w:val="22"/>
                <w:szCs w:val="22"/>
                <w:rtl/>
              </w:rPr>
              <w:t>5.1</w:t>
            </w:r>
          </w:p>
        </w:tc>
        <w:tc>
          <w:tcPr>
            <w:tcW w:w="66" w:type="pct"/>
            <w:tcBorders>
              <w:top w:val="nil"/>
              <w:left w:val="nil"/>
              <w:bottom w:val="nil"/>
              <w:right w:val="nil"/>
            </w:tcBorders>
            <w:shd w:val="clear" w:color="auto" w:fill="auto"/>
            <w:tcMar>
              <w:top w:w="15" w:type="dxa"/>
              <w:left w:w="15" w:type="dxa"/>
              <w:bottom w:w="0" w:type="dxa"/>
              <w:right w:w="15" w:type="dxa"/>
            </w:tcMar>
            <w:vAlign w:val="center"/>
            <w:hideMark/>
          </w:tcPr>
          <w:p w14:paraId="1C2CB683" w14:textId="77777777" w:rsidR="00150315" w:rsidRPr="00150315" w:rsidRDefault="00150315" w:rsidP="00F359D2">
            <w:pPr>
              <w:bidi w:val="0"/>
              <w:spacing w:beforeLines="20" w:before="48" w:afterLines="20" w:after="48" w:line="240" w:lineRule="auto"/>
              <w:contextualSpacing w:val="0"/>
              <w:jc w:val="center"/>
              <w:rPr>
                <w:rFonts w:eastAsia="Times New Roman"/>
                <w:sz w:val="22"/>
                <w:szCs w:val="22"/>
                <w:rtl/>
              </w:rPr>
            </w:pPr>
          </w:p>
        </w:tc>
        <w:tc>
          <w:tcPr>
            <w:tcW w:w="421"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14:paraId="7A629395" w14:textId="73299335" w:rsidR="00150315" w:rsidRPr="00150315" w:rsidRDefault="00150315" w:rsidP="00F359D2">
            <w:pPr>
              <w:spacing w:beforeLines="20" w:before="48" w:afterLines="20" w:after="48" w:line="240" w:lineRule="auto"/>
              <w:contextualSpacing w:val="0"/>
              <w:jc w:val="center"/>
              <w:rPr>
                <w:rFonts w:eastAsia="Times New Roman"/>
                <w:sz w:val="22"/>
                <w:szCs w:val="22"/>
              </w:rPr>
            </w:pPr>
            <w:r w:rsidRPr="00150315">
              <w:rPr>
                <w:rFonts w:eastAsia="Times New Roman"/>
                <w:b/>
                <w:bCs/>
                <w:color w:val="000000"/>
                <w:kern w:val="24"/>
                <w:sz w:val="22"/>
                <w:szCs w:val="22"/>
                <w:rtl/>
              </w:rPr>
              <w:t>3.</w:t>
            </w:r>
            <w:r w:rsidR="00F359D2">
              <w:rPr>
                <w:rFonts w:eastAsia="Times New Roman" w:hint="cs"/>
                <w:b/>
                <w:bCs/>
                <w:color w:val="000000"/>
                <w:kern w:val="24"/>
                <w:sz w:val="22"/>
                <w:szCs w:val="22"/>
                <w:rtl/>
              </w:rPr>
              <w:t>3</w:t>
            </w:r>
          </w:p>
        </w:tc>
        <w:tc>
          <w:tcPr>
            <w:tcW w:w="492"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tcPr>
          <w:p w14:paraId="32C4ACB9" w14:textId="56B13D6D"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0.</w:t>
            </w:r>
            <w:r w:rsidR="00F359D2">
              <w:rPr>
                <w:rFonts w:eastAsia="Times New Roman" w:hint="cs"/>
                <w:color w:val="4F81BD"/>
                <w:kern w:val="24"/>
                <w:sz w:val="22"/>
                <w:szCs w:val="22"/>
                <w:rtl/>
              </w:rPr>
              <w:t>2</w:t>
            </w:r>
            <w:r w:rsidRPr="00150315">
              <w:rPr>
                <w:rFonts w:eastAsia="Times New Roman"/>
                <w:color w:val="4F81BD"/>
                <w:kern w:val="24"/>
                <w:sz w:val="22"/>
                <w:szCs w:val="22"/>
                <w:rtl/>
              </w:rPr>
              <w:t>-</w:t>
            </w:r>
          </w:p>
        </w:tc>
        <w:tc>
          <w:tcPr>
            <w:tcW w:w="62" w:type="pct"/>
            <w:tcBorders>
              <w:top w:val="nil"/>
              <w:left w:val="single" w:sz="8" w:space="0" w:color="FFFFFF"/>
              <w:bottom w:val="nil"/>
              <w:right w:val="nil"/>
            </w:tcBorders>
            <w:shd w:val="clear" w:color="auto" w:fill="auto"/>
            <w:tcMar>
              <w:top w:w="15" w:type="dxa"/>
              <w:left w:w="15" w:type="dxa"/>
              <w:bottom w:w="0" w:type="dxa"/>
              <w:right w:w="15" w:type="dxa"/>
            </w:tcMar>
            <w:vAlign w:val="center"/>
            <w:hideMark/>
          </w:tcPr>
          <w:p w14:paraId="3E22F6C5"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p>
        </w:tc>
        <w:tc>
          <w:tcPr>
            <w:tcW w:w="407" w:type="pct"/>
            <w:tcBorders>
              <w:top w:val="double" w:sz="6" w:space="0" w:color="000000"/>
              <w:left w:val="nil"/>
              <w:bottom w:val="single" w:sz="8" w:space="0" w:color="000000"/>
              <w:right w:val="single" w:sz="8" w:space="0" w:color="FFFFFF"/>
            </w:tcBorders>
            <w:shd w:val="clear" w:color="auto" w:fill="auto"/>
            <w:tcMar>
              <w:top w:w="15" w:type="dxa"/>
              <w:left w:w="15" w:type="dxa"/>
              <w:bottom w:w="0" w:type="dxa"/>
              <w:right w:w="15" w:type="dxa"/>
            </w:tcMar>
            <w:vAlign w:val="center"/>
            <w:hideMark/>
          </w:tcPr>
          <w:p w14:paraId="5E61BAEE" w14:textId="77777777"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b/>
                <w:bCs/>
                <w:color w:val="000000"/>
                <w:kern w:val="24"/>
                <w:sz w:val="22"/>
                <w:szCs w:val="22"/>
                <w:rtl/>
              </w:rPr>
              <w:t>2.4</w:t>
            </w:r>
          </w:p>
        </w:tc>
        <w:tc>
          <w:tcPr>
            <w:tcW w:w="473"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tcPr>
          <w:p w14:paraId="664D34B8" w14:textId="20AAB4DE" w:rsidR="00150315" w:rsidRPr="00150315" w:rsidRDefault="00150315" w:rsidP="00F359D2">
            <w:pPr>
              <w:spacing w:beforeLines="20" w:before="48" w:afterLines="20" w:after="48" w:line="240" w:lineRule="auto"/>
              <w:contextualSpacing w:val="0"/>
              <w:jc w:val="center"/>
              <w:rPr>
                <w:rFonts w:eastAsia="Times New Roman"/>
                <w:sz w:val="22"/>
                <w:szCs w:val="22"/>
                <w:rtl/>
              </w:rPr>
            </w:pPr>
            <w:r w:rsidRPr="00150315">
              <w:rPr>
                <w:rFonts w:eastAsia="Times New Roman"/>
                <w:color w:val="4F81BD"/>
                <w:kern w:val="24"/>
                <w:sz w:val="22"/>
                <w:szCs w:val="22"/>
                <w:rtl/>
              </w:rPr>
              <w:t>-</w:t>
            </w:r>
          </w:p>
        </w:tc>
        <w:tc>
          <w:tcPr>
            <w:tcW w:w="852" w:type="pct"/>
            <w:tcBorders>
              <w:top w:val="double" w:sz="6" w:space="0" w:color="000000"/>
              <w:left w:val="single" w:sz="8" w:space="0" w:color="FFFFFF"/>
              <w:bottom w:val="single" w:sz="8" w:space="0" w:color="000000"/>
              <w:right w:val="nil"/>
            </w:tcBorders>
            <w:vAlign w:val="center"/>
          </w:tcPr>
          <w:p w14:paraId="50CF3DEC" w14:textId="40890947" w:rsidR="00150315" w:rsidRPr="00150315" w:rsidRDefault="00150315" w:rsidP="00F359D2">
            <w:pPr>
              <w:spacing w:beforeLines="20" w:before="48" w:afterLines="20" w:after="48" w:line="240" w:lineRule="auto"/>
              <w:contextualSpacing w:val="0"/>
              <w:jc w:val="center"/>
              <w:rPr>
                <w:rFonts w:eastAsia="Times New Roman"/>
                <w:b/>
                <w:bCs/>
                <w:kern w:val="24"/>
                <w:sz w:val="22"/>
                <w:szCs w:val="22"/>
                <w:rtl/>
              </w:rPr>
            </w:pPr>
            <w:r w:rsidRPr="00150315">
              <w:rPr>
                <w:rFonts w:eastAsia="Times New Roman"/>
                <w:b/>
                <w:bCs/>
                <w:kern w:val="24"/>
                <w:sz w:val="22"/>
                <w:szCs w:val="22"/>
              </w:rPr>
              <w:t>2.0</w:t>
            </w:r>
          </w:p>
        </w:tc>
      </w:tr>
    </w:tbl>
    <w:p w14:paraId="19F0D7F1" w14:textId="77777777" w:rsidR="00C93A33" w:rsidRDefault="00C93A33" w:rsidP="003543AE">
      <w:pPr>
        <w:numPr>
          <w:ilvl w:val="0"/>
          <w:numId w:val="2"/>
        </w:numPr>
        <w:spacing w:before="0" w:after="60" w:line="240" w:lineRule="auto"/>
        <w:ind w:left="357" w:hanging="357"/>
        <w:contextualSpacing w:val="0"/>
        <w:jc w:val="both"/>
        <w:rPr>
          <w:rFonts w:eastAsia="Calibri"/>
          <w:sz w:val="20"/>
          <w:szCs w:val="20"/>
        </w:rPr>
      </w:pPr>
      <w:r w:rsidRPr="003B2D4B">
        <w:rPr>
          <w:rFonts w:eastAsia="Calibri"/>
          <w:sz w:val="20"/>
          <w:szCs w:val="20"/>
          <w:rtl/>
        </w:rPr>
        <w:t>בתחזית לרכיבי החשבונאות הלאומית, שיעור השינוי מעוגל לחצי נקודת אחוז.</w:t>
      </w:r>
    </w:p>
    <w:p w14:paraId="4799056D" w14:textId="77777777" w:rsidR="00FC71EB" w:rsidRPr="00FC71EB" w:rsidRDefault="00FC71EB" w:rsidP="003543AE">
      <w:pPr>
        <w:pStyle w:val="af2"/>
        <w:numPr>
          <w:ilvl w:val="0"/>
          <w:numId w:val="2"/>
        </w:numPr>
        <w:spacing w:before="0" w:after="60" w:line="240" w:lineRule="auto"/>
        <w:ind w:left="357" w:hanging="357"/>
        <w:contextualSpacing w:val="0"/>
        <w:jc w:val="both"/>
        <w:rPr>
          <w:rFonts w:eastAsia="Calibri"/>
          <w:sz w:val="20"/>
          <w:szCs w:val="20"/>
          <w:rtl/>
        </w:rPr>
      </w:pPr>
      <w:r w:rsidRPr="00FC71EB">
        <w:rPr>
          <w:rFonts w:eastAsia="Calibri"/>
          <w:sz w:val="20"/>
          <w:szCs w:val="20"/>
          <w:rtl/>
        </w:rPr>
        <w:t xml:space="preserve">בהתאם </w:t>
      </w:r>
      <w:r w:rsidRPr="00990CF2">
        <w:rPr>
          <w:rFonts w:eastAsia="Calibri"/>
          <w:sz w:val="20"/>
          <w:szCs w:val="20"/>
          <w:rtl/>
        </w:rPr>
        <w:t xml:space="preserve">להגדרה של </w:t>
      </w:r>
      <w:proofErr w:type="spellStart"/>
      <w:r w:rsidRPr="00990CF2">
        <w:rPr>
          <w:rFonts w:eastAsia="Calibri"/>
          <w:sz w:val="20"/>
          <w:szCs w:val="20"/>
          <w:rtl/>
        </w:rPr>
        <w:t>הלמ"ס</w:t>
      </w:r>
      <w:proofErr w:type="spellEnd"/>
      <w:r w:rsidRPr="00990CF2">
        <w:rPr>
          <w:rFonts w:eastAsia="Calibri"/>
          <w:sz w:val="20"/>
          <w:szCs w:val="20"/>
          <w:rtl/>
        </w:rPr>
        <w:t>, שיעור האבטלה הרחב כולל את המובטלים בהגדרתם הרגילה (מי שלא עבדו, רצו לעבוד, ה</w:t>
      </w:r>
      <w:r w:rsidR="002B7B3A" w:rsidRPr="00990CF2">
        <w:rPr>
          <w:rFonts w:eastAsia="Calibri"/>
          <w:sz w:val="20"/>
          <w:szCs w:val="20"/>
          <w:rtl/>
        </w:rPr>
        <w:t>יו פנויים לעבודה, וחיפשו עבודה)</w:t>
      </w:r>
      <w:r w:rsidR="002B7B3A" w:rsidRPr="00990CF2">
        <w:rPr>
          <w:rFonts w:eastAsia="Calibri" w:hint="cs"/>
          <w:sz w:val="20"/>
          <w:szCs w:val="20"/>
          <w:rtl/>
        </w:rPr>
        <w:t xml:space="preserve"> ואת</w:t>
      </w:r>
      <w:r w:rsidRPr="006873DD">
        <w:rPr>
          <w:rFonts w:eastAsia="Calibri"/>
          <w:sz w:val="20"/>
          <w:szCs w:val="20"/>
          <w:rtl/>
        </w:rPr>
        <w:t xml:space="preserve"> המועסקים שנעדרים זמנית </w:t>
      </w:r>
      <w:r w:rsidR="002B7B3A" w:rsidRPr="006873DD">
        <w:rPr>
          <w:rFonts w:eastAsia="Calibri" w:hint="cs"/>
          <w:sz w:val="20"/>
          <w:szCs w:val="20"/>
          <w:rtl/>
        </w:rPr>
        <w:t xml:space="preserve">מעבודתם מסיבות כלכליות </w:t>
      </w:r>
      <w:r w:rsidR="002B7B3A" w:rsidRPr="006873DD">
        <w:rPr>
          <w:rFonts w:eastAsia="Calibri"/>
          <w:sz w:val="20"/>
          <w:szCs w:val="20"/>
          <w:rtl/>
        </w:rPr>
        <w:t>(כולל עובדים בחל"ת)</w:t>
      </w:r>
      <w:r w:rsidRPr="006873DD">
        <w:rPr>
          <w:rFonts w:eastAsia="Calibri"/>
          <w:sz w:val="20"/>
          <w:szCs w:val="20"/>
          <w:rtl/>
        </w:rPr>
        <w:t>.</w:t>
      </w:r>
      <w:r w:rsidR="002B7B3A" w:rsidRPr="006873DD">
        <w:rPr>
          <w:rFonts w:eastAsia="Calibri" w:hint="cs"/>
          <w:sz w:val="20"/>
          <w:szCs w:val="20"/>
          <w:rtl/>
        </w:rPr>
        <w:t xml:space="preserve"> </w:t>
      </w:r>
      <w:r w:rsidR="002B7B3A" w:rsidRPr="006873DD">
        <w:rPr>
          <w:rFonts w:eastAsia="Calibri" w:hint="eastAsia"/>
          <w:sz w:val="20"/>
          <w:szCs w:val="20"/>
          <w:rtl/>
        </w:rPr>
        <w:t>בהתאם</w:t>
      </w:r>
      <w:r w:rsidR="002B7B3A" w:rsidRPr="006873DD">
        <w:rPr>
          <w:rFonts w:eastAsia="Calibri"/>
          <w:sz w:val="20"/>
          <w:szCs w:val="20"/>
          <w:rtl/>
        </w:rPr>
        <w:t xml:space="preserve">, </w:t>
      </w:r>
      <w:r w:rsidR="002B7B3A" w:rsidRPr="006873DD">
        <w:rPr>
          <w:rFonts w:eastAsia="Calibri" w:hint="eastAsia"/>
          <w:sz w:val="20"/>
          <w:szCs w:val="20"/>
          <w:rtl/>
        </w:rPr>
        <w:t>שיעור</w:t>
      </w:r>
      <w:r w:rsidR="002B7B3A" w:rsidRPr="006873DD">
        <w:rPr>
          <w:rFonts w:eastAsia="Calibri"/>
          <w:sz w:val="20"/>
          <w:szCs w:val="20"/>
          <w:rtl/>
        </w:rPr>
        <w:t xml:space="preserve"> </w:t>
      </w:r>
      <w:r w:rsidR="002B7B3A" w:rsidRPr="006873DD">
        <w:rPr>
          <w:rFonts w:eastAsia="Calibri" w:hint="eastAsia"/>
          <w:sz w:val="20"/>
          <w:szCs w:val="20"/>
          <w:rtl/>
        </w:rPr>
        <w:t>התעסוקה</w:t>
      </w:r>
      <w:r w:rsidR="002B7B3A" w:rsidRPr="006873DD">
        <w:rPr>
          <w:rFonts w:eastAsia="Calibri"/>
          <w:sz w:val="20"/>
          <w:szCs w:val="20"/>
          <w:rtl/>
        </w:rPr>
        <w:t xml:space="preserve"> </w:t>
      </w:r>
      <w:r w:rsidR="002B7B3A" w:rsidRPr="006873DD">
        <w:rPr>
          <w:rFonts w:eastAsia="Calibri" w:hint="eastAsia"/>
          <w:sz w:val="20"/>
          <w:szCs w:val="20"/>
          <w:rtl/>
        </w:rPr>
        <w:t>המותאם</w:t>
      </w:r>
      <w:r w:rsidR="002B7B3A" w:rsidRPr="006873DD">
        <w:rPr>
          <w:rFonts w:eastAsia="Calibri"/>
          <w:sz w:val="20"/>
          <w:szCs w:val="20"/>
          <w:rtl/>
        </w:rPr>
        <w:t xml:space="preserve"> </w:t>
      </w:r>
      <w:r w:rsidR="002B7B3A" w:rsidRPr="006873DD">
        <w:rPr>
          <w:rFonts w:eastAsia="Calibri" w:hint="eastAsia"/>
          <w:sz w:val="20"/>
          <w:szCs w:val="20"/>
          <w:rtl/>
        </w:rPr>
        <w:t>אינו</w:t>
      </w:r>
      <w:r w:rsidR="002B7B3A" w:rsidRPr="006873DD">
        <w:rPr>
          <w:rFonts w:eastAsia="Calibri"/>
          <w:sz w:val="20"/>
          <w:szCs w:val="20"/>
          <w:rtl/>
        </w:rPr>
        <w:t xml:space="preserve"> </w:t>
      </w:r>
      <w:r w:rsidR="002B7B3A" w:rsidRPr="006873DD">
        <w:rPr>
          <w:rFonts w:eastAsia="Calibri" w:hint="eastAsia"/>
          <w:sz w:val="20"/>
          <w:szCs w:val="20"/>
          <w:rtl/>
        </w:rPr>
        <w:t>כולל</w:t>
      </w:r>
      <w:r w:rsidR="002B7B3A" w:rsidRPr="006873DD">
        <w:rPr>
          <w:rFonts w:eastAsia="Calibri"/>
          <w:sz w:val="20"/>
          <w:szCs w:val="20"/>
          <w:rtl/>
        </w:rPr>
        <w:t xml:space="preserve"> </w:t>
      </w:r>
      <w:r w:rsidR="002B7B3A" w:rsidRPr="006873DD">
        <w:rPr>
          <w:rFonts w:eastAsia="Calibri" w:hint="eastAsia"/>
          <w:sz w:val="20"/>
          <w:szCs w:val="20"/>
          <w:rtl/>
        </w:rPr>
        <w:t>את</w:t>
      </w:r>
      <w:r w:rsidR="002B7B3A" w:rsidRPr="006873DD">
        <w:rPr>
          <w:rFonts w:eastAsia="Calibri"/>
          <w:sz w:val="20"/>
          <w:szCs w:val="20"/>
          <w:rtl/>
        </w:rPr>
        <w:t xml:space="preserve"> </w:t>
      </w:r>
      <w:r w:rsidR="002B7B3A" w:rsidRPr="006873DD">
        <w:rPr>
          <w:rFonts w:eastAsia="Calibri" w:hint="eastAsia"/>
          <w:sz w:val="20"/>
          <w:szCs w:val="20"/>
          <w:rtl/>
        </w:rPr>
        <w:t>הנעדרים</w:t>
      </w:r>
      <w:r w:rsidR="002B7B3A" w:rsidRPr="006873DD">
        <w:rPr>
          <w:rFonts w:eastAsia="Calibri"/>
          <w:sz w:val="20"/>
          <w:szCs w:val="20"/>
          <w:rtl/>
        </w:rPr>
        <w:t xml:space="preserve"> </w:t>
      </w:r>
      <w:r w:rsidR="002B7B3A" w:rsidRPr="006873DD">
        <w:rPr>
          <w:rFonts w:eastAsia="Calibri" w:hint="eastAsia"/>
          <w:sz w:val="20"/>
          <w:szCs w:val="20"/>
          <w:rtl/>
        </w:rPr>
        <w:t>זמנית</w:t>
      </w:r>
      <w:r w:rsidR="002B7B3A" w:rsidRPr="006873DD">
        <w:rPr>
          <w:rFonts w:eastAsia="Calibri"/>
          <w:sz w:val="20"/>
          <w:szCs w:val="20"/>
          <w:rtl/>
        </w:rPr>
        <w:t xml:space="preserve"> </w:t>
      </w:r>
      <w:r w:rsidR="002B7B3A" w:rsidRPr="006873DD">
        <w:rPr>
          <w:rFonts w:eastAsia="Calibri" w:hint="eastAsia"/>
          <w:sz w:val="20"/>
          <w:szCs w:val="20"/>
          <w:rtl/>
        </w:rPr>
        <w:t>מסיבות</w:t>
      </w:r>
      <w:r w:rsidR="002B7B3A" w:rsidRPr="006873DD">
        <w:rPr>
          <w:rFonts w:eastAsia="Calibri"/>
          <w:sz w:val="20"/>
          <w:szCs w:val="20"/>
          <w:rtl/>
        </w:rPr>
        <w:t xml:space="preserve"> </w:t>
      </w:r>
      <w:r w:rsidR="002B7B3A" w:rsidRPr="006873DD">
        <w:rPr>
          <w:rFonts w:eastAsia="Calibri" w:hint="eastAsia"/>
          <w:sz w:val="20"/>
          <w:szCs w:val="20"/>
          <w:rtl/>
        </w:rPr>
        <w:t>כלכליות</w:t>
      </w:r>
      <w:r w:rsidR="002B7B3A" w:rsidRPr="006873DD">
        <w:rPr>
          <w:rFonts w:eastAsia="Calibri"/>
          <w:sz w:val="20"/>
          <w:szCs w:val="20"/>
          <w:rtl/>
        </w:rPr>
        <w:t>.</w:t>
      </w:r>
    </w:p>
    <w:p w14:paraId="54720E5F" w14:textId="77777777" w:rsidR="00C93A33" w:rsidRPr="003B2D4B" w:rsidRDefault="00C93A33" w:rsidP="003543AE">
      <w:pPr>
        <w:numPr>
          <w:ilvl w:val="0"/>
          <w:numId w:val="2"/>
        </w:numPr>
        <w:spacing w:before="0" w:after="60" w:line="240" w:lineRule="auto"/>
        <w:ind w:left="357" w:hanging="357"/>
        <w:contextualSpacing w:val="0"/>
        <w:jc w:val="both"/>
        <w:rPr>
          <w:rFonts w:eastAsia="Calibri"/>
          <w:sz w:val="20"/>
          <w:szCs w:val="20"/>
          <w:rtl/>
        </w:rPr>
      </w:pPr>
      <w:r w:rsidRPr="003B2D4B">
        <w:rPr>
          <w:rFonts w:eastAsia="Calibri"/>
          <w:sz w:val="20"/>
          <w:szCs w:val="20"/>
          <w:rtl/>
        </w:rPr>
        <w:t>הממוצע של מדד המחירים לצרכן ברבעון האחרון בשנה לעומת הממוצע ברבעון האחרון בשנה הקודמת.</w:t>
      </w:r>
    </w:p>
    <w:p w14:paraId="369E424E" w14:textId="669AC18C" w:rsidR="006D0304" w:rsidRPr="0034582B" w:rsidRDefault="006D0304">
      <w:pPr>
        <w:bidi w:val="0"/>
        <w:spacing w:before="0" w:after="160" w:line="259" w:lineRule="auto"/>
        <w:contextualSpacing w:val="0"/>
        <w:rPr>
          <w:rFonts w:eastAsia="Calibri"/>
        </w:rPr>
      </w:pPr>
      <w:r w:rsidRPr="0034582B">
        <w:rPr>
          <w:rFonts w:eastAsia="Calibri"/>
          <w:rtl/>
        </w:rPr>
        <w:br w:type="page"/>
      </w:r>
    </w:p>
    <w:tbl>
      <w:tblPr>
        <w:tblStyle w:val="21"/>
        <w:tblpPr w:leftFromText="180" w:rightFromText="180" w:vertAnchor="text" w:horzAnchor="margin" w:tblpY="6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4"/>
      </w:tblGrid>
      <w:tr w:rsidR="006D0304" w:rsidRPr="003B2D4B" w14:paraId="4E6BC439" w14:textId="77777777" w:rsidTr="007D5D3E">
        <w:trPr>
          <w:cantSplit/>
          <w:trHeight w:val="283"/>
          <w:tblHeader/>
        </w:trPr>
        <w:tc>
          <w:tcPr>
            <w:tcW w:w="8304" w:type="dxa"/>
            <w:shd w:val="clear" w:color="auto" w:fill="auto"/>
            <w:vAlign w:val="center"/>
          </w:tcPr>
          <w:p w14:paraId="556C53F2" w14:textId="77777777" w:rsidR="006D0304" w:rsidRPr="003B2D4B" w:rsidRDefault="006D0304" w:rsidP="007D5D3E">
            <w:pPr>
              <w:keepNext/>
              <w:keepLines/>
              <w:spacing w:after="200"/>
              <w:ind w:left="113"/>
              <w:jc w:val="center"/>
              <w:rPr>
                <w:rFonts w:eastAsia="Calibri"/>
                <w:b/>
                <w:bCs/>
                <w:color w:val="4F81BD"/>
                <w:rtl/>
              </w:rPr>
            </w:pPr>
            <w:r w:rsidRPr="003B2D4B">
              <w:rPr>
                <w:rFonts w:eastAsia="Calibri"/>
                <w:b/>
                <w:bCs/>
              </w:rPr>
              <w:lastRenderedPageBreak/>
              <w:br w:type="page"/>
            </w:r>
            <w:r>
              <w:rPr>
                <w:rFonts w:eastAsia="Calibri" w:hint="cs"/>
                <w:b/>
                <w:bCs/>
                <w:color w:val="4F81BD"/>
                <w:rtl/>
              </w:rPr>
              <w:t>איור</w:t>
            </w:r>
            <w:r w:rsidRPr="00A26CCB">
              <w:rPr>
                <w:rFonts w:eastAsia="Calibri"/>
                <w:b/>
                <w:bCs/>
                <w:color w:val="4F81BD"/>
                <w:rtl/>
              </w:rPr>
              <w:t xml:space="preserve"> </w:t>
            </w:r>
            <w:r>
              <w:rPr>
                <w:rFonts w:eastAsia="Calibri" w:hint="cs"/>
                <w:b/>
                <w:bCs/>
                <w:color w:val="4F81BD"/>
                <w:rtl/>
              </w:rPr>
              <w:t>1</w:t>
            </w:r>
          </w:p>
          <w:p w14:paraId="37DD4B0C" w14:textId="5117627D" w:rsidR="006D0304" w:rsidRPr="00672BD7" w:rsidRDefault="006D0304" w:rsidP="007D5D3E">
            <w:pPr>
              <w:keepNext/>
              <w:keepLines/>
              <w:spacing w:after="200"/>
              <w:ind w:left="113"/>
              <w:jc w:val="center"/>
              <w:rPr>
                <w:rFonts w:eastAsia="Calibri"/>
                <w:b/>
                <w:bCs/>
                <w:color w:val="4F81BD"/>
                <w:rtl/>
              </w:rPr>
            </w:pPr>
            <w:r w:rsidRPr="00672BD7">
              <w:rPr>
                <w:rFonts w:eastAsia="Calibri"/>
                <w:b/>
                <w:bCs/>
                <w:color w:val="4F81BD"/>
                <w:rtl/>
              </w:rPr>
              <w:t xml:space="preserve">התוצר ביחס </w:t>
            </w:r>
            <w:r>
              <w:rPr>
                <w:rFonts w:eastAsia="Calibri" w:hint="cs"/>
                <w:b/>
                <w:bCs/>
                <w:color w:val="4F81BD"/>
                <w:rtl/>
              </w:rPr>
              <w:t>ל</w:t>
            </w:r>
            <w:r w:rsidRPr="00672BD7">
              <w:rPr>
                <w:rFonts w:eastAsia="Calibri"/>
                <w:b/>
                <w:bCs/>
                <w:color w:val="4F81BD"/>
                <w:rtl/>
              </w:rPr>
              <w:t>מגמת ט</w:t>
            </w:r>
            <w:r>
              <w:rPr>
                <w:rFonts w:eastAsia="Calibri" w:hint="cs"/>
                <w:b/>
                <w:bCs/>
                <w:color w:val="4F81BD"/>
                <w:rtl/>
              </w:rPr>
              <w:t>ר</w:t>
            </w:r>
            <w:r w:rsidRPr="00672BD7">
              <w:rPr>
                <w:rFonts w:eastAsia="Calibri"/>
                <w:b/>
                <w:bCs/>
                <w:color w:val="4F81BD"/>
                <w:rtl/>
              </w:rPr>
              <w:t>ו</w:t>
            </w:r>
            <w:r w:rsidR="003C1488">
              <w:rPr>
                <w:rFonts w:eastAsia="Calibri" w:hint="cs"/>
                <w:b/>
                <w:bCs/>
                <w:color w:val="4F81BD"/>
                <w:rtl/>
              </w:rPr>
              <w:t>ם</w:t>
            </w:r>
            <w:r w:rsidRPr="00672BD7">
              <w:rPr>
                <w:rFonts w:eastAsia="Calibri"/>
                <w:b/>
                <w:bCs/>
                <w:color w:val="4F81BD"/>
                <w:rtl/>
              </w:rPr>
              <w:t xml:space="preserve"> מ</w:t>
            </w:r>
            <w:r>
              <w:rPr>
                <w:rFonts w:eastAsia="Calibri" w:hint="cs"/>
                <w:b/>
                <w:bCs/>
                <w:color w:val="4F81BD"/>
                <w:rtl/>
              </w:rPr>
              <w:t>ש</w:t>
            </w:r>
            <w:r w:rsidRPr="00672BD7">
              <w:rPr>
                <w:rFonts w:eastAsia="Calibri"/>
                <w:b/>
                <w:bCs/>
                <w:color w:val="4F81BD"/>
                <w:rtl/>
              </w:rPr>
              <w:t>בר הקורונה - בפועל ותחזית</w:t>
            </w:r>
          </w:p>
          <w:p w14:paraId="3F94E6EC" w14:textId="77777777" w:rsidR="006D0304" w:rsidRPr="003B2D4B" w:rsidRDefault="006D0304" w:rsidP="007D5D3E">
            <w:pPr>
              <w:keepNext/>
              <w:keepLines/>
              <w:spacing w:after="200"/>
              <w:ind w:left="113"/>
              <w:jc w:val="center"/>
              <w:rPr>
                <w:rFonts w:eastAsia="Calibri"/>
                <w:color w:val="4F81BD"/>
                <w:rtl/>
              </w:rPr>
            </w:pPr>
            <w:r w:rsidRPr="00672BD7">
              <w:rPr>
                <w:rFonts w:eastAsia="Calibri"/>
                <w:b/>
                <w:bCs/>
                <w:color w:val="4F81BD"/>
                <w:rtl/>
              </w:rPr>
              <w:t>(1=מגמת טרום משבר, מחירים קבועים, מנוכה עונתיות)</w:t>
            </w:r>
          </w:p>
        </w:tc>
      </w:tr>
    </w:tbl>
    <w:p w14:paraId="59FFF419" w14:textId="7BD452AB" w:rsidR="00C93A33" w:rsidRDefault="006D0304" w:rsidP="006D0304">
      <w:pPr>
        <w:spacing w:before="0" w:after="120"/>
        <w:jc w:val="both"/>
        <w:rPr>
          <w:rFonts w:eastAsia="Calibri"/>
          <w:highlight w:val="yellow"/>
          <w:rtl/>
        </w:rPr>
      </w:pPr>
      <w:r>
        <w:rPr>
          <w:noProof/>
        </w:rPr>
        <w:drawing>
          <wp:inline distT="0" distB="0" distL="0" distR="0" wp14:anchorId="0009C244" wp14:editId="7C86601A">
            <wp:extent cx="5274310" cy="3348355"/>
            <wp:effectExtent l="0" t="0" r="2540" b="4445"/>
            <wp:docPr id="225820726" name="Chart 1">
              <a:extLst xmlns:a="http://schemas.openxmlformats.org/drawingml/2006/main">
                <a:ext uri="{FF2B5EF4-FFF2-40B4-BE49-F238E27FC236}">
                  <a16:creationId xmlns:a16="http://schemas.microsoft.com/office/drawing/2014/main" id="{11695BF0-940D-49F1-9B5B-8AC3E8CD7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70C6C0" w14:textId="40FC7054" w:rsidR="00367741" w:rsidRPr="00613C19" w:rsidRDefault="00891205" w:rsidP="00613C19">
      <w:pPr>
        <w:pStyle w:val="a"/>
        <w:ind w:left="714" w:hanging="357"/>
        <w:rPr>
          <w:rFonts w:ascii="Calibri" w:eastAsia="Calibri" w:hAnsi="Calibri"/>
          <w:b/>
          <w:rtl/>
        </w:rPr>
      </w:pPr>
      <w:r w:rsidRPr="002169A4">
        <w:rPr>
          <w:rFonts w:hint="eastAsia"/>
          <w:b/>
          <w:rtl/>
        </w:rPr>
        <w:t>תקציב</w:t>
      </w:r>
      <w:r w:rsidRPr="002169A4">
        <w:rPr>
          <w:b/>
          <w:rtl/>
        </w:rPr>
        <w:t xml:space="preserve"> המדינה והמדיניות </w:t>
      </w:r>
      <w:r w:rsidRPr="002169A4">
        <w:rPr>
          <w:rFonts w:hint="eastAsia"/>
          <w:b/>
          <w:rtl/>
        </w:rPr>
        <w:t>הפיסקלית</w:t>
      </w:r>
    </w:p>
    <w:p w14:paraId="74B19755" w14:textId="49753A7C" w:rsidR="00613C19" w:rsidRDefault="00D36507" w:rsidP="008C3866">
      <w:pPr>
        <w:ind w:left="8"/>
        <w:jc w:val="both"/>
      </w:pPr>
      <w:r>
        <w:rPr>
          <w:rFonts w:hint="cs"/>
          <w:b/>
          <w:bCs/>
          <w:rtl/>
        </w:rPr>
        <w:t xml:space="preserve">התחזית מבוססת על הנחה לפיה </w:t>
      </w:r>
      <w:r w:rsidR="002A713A">
        <w:rPr>
          <w:rFonts w:hint="cs"/>
          <w:b/>
          <w:bCs/>
          <w:rtl/>
        </w:rPr>
        <w:t>הממשלה תבצע</w:t>
      </w:r>
      <w:r>
        <w:rPr>
          <w:rFonts w:hint="cs"/>
          <w:b/>
          <w:bCs/>
          <w:rtl/>
        </w:rPr>
        <w:t xml:space="preserve"> </w:t>
      </w:r>
      <w:r w:rsidR="00613C19">
        <w:rPr>
          <w:rFonts w:hint="cs"/>
          <w:b/>
          <w:bCs/>
          <w:rtl/>
        </w:rPr>
        <w:t xml:space="preserve">התאמות תקציביות </w:t>
      </w:r>
      <w:r w:rsidR="0054398A">
        <w:rPr>
          <w:rFonts w:hint="cs"/>
          <w:b/>
          <w:bCs/>
          <w:rtl/>
        </w:rPr>
        <w:t xml:space="preserve">בהיקף של כ-30 מיליארדי ש"ח </w:t>
      </w:r>
      <w:r w:rsidR="002A713A">
        <w:rPr>
          <w:rFonts w:hint="cs"/>
          <w:b/>
          <w:bCs/>
          <w:rtl/>
        </w:rPr>
        <w:t xml:space="preserve">כדי לקזז את </w:t>
      </w:r>
      <w:proofErr w:type="spellStart"/>
      <w:r w:rsidR="002A713A">
        <w:rPr>
          <w:rFonts w:hint="cs"/>
          <w:b/>
          <w:bCs/>
          <w:rtl/>
        </w:rPr>
        <w:t>העליה</w:t>
      </w:r>
      <w:proofErr w:type="spellEnd"/>
      <w:r w:rsidR="002A713A">
        <w:rPr>
          <w:rFonts w:hint="cs"/>
          <w:b/>
          <w:bCs/>
          <w:rtl/>
        </w:rPr>
        <w:t xml:space="preserve"> </w:t>
      </w:r>
      <w:r w:rsidR="00C23353">
        <w:rPr>
          <w:rFonts w:hint="cs"/>
          <w:b/>
          <w:bCs/>
          <w:rtl/>
        </w:rPr>
        <w:t xml:space="preserve">הפרמננטית </w:t>
      </w:r>
      <w:r w:rsidR="002A713A">
        <w:rPr>
          <w:rFonts w:hint="cs"/>
          <w:b/>
          <w:bCs/>
          <w:rtl/>
        </w:rPr>
        <w:t xml:space="preserve">בהוצאות הביטחון </w:t>
      </w:r>
      <w:r w:rsidR="00C23353">
        <w:rPr>
          <w:rFonts w:hint="cs"/>
          <w:b/>
          <w:bCs/>
          <w:rtl/>
        </w:rPr>
        <w:t>ובהוצאות האזרחיות הקשורות למלחמה ולהשלכותיה</w:t>
      </w:r>
      <w:r>
        <w:rPr>
          <w:rFonts w:hint="cs"/>
          <w:b/>
          <w:bCs/>
          <w:rtl/>
        </w:rPr>
        <w:t>.</w:t>
      </w:r>
      <w:r w:rsidR="00613C19">
        <w:rPr>
          <w:rFonts w:hint="cs"/>
          <w:b/>
          <w:bCs/>
          <w:rtl/>
        </w:rPr>
        <w:t xml:space="preserve"> </w:t>
      </w:r>
      <w:r w:rsidR="00A76B70">
        <w:rPr>
          <w:rFonts w:hint="cs"/>
          <w:b/>
          <w:bCs/>
          <w:rtl/>
        </w:rPr>
        <w:t>בהתאם לכך</w:t>
      </w:r>
      <w:r>
        <w:rPr>
          <w:rFonts w:hint="cs"/>
          <w:b/>
          <w:bCs/>
          <w:rtl/>
        </w:rPr>
        <w:t xml:space="preserve">, </w:t>
      </w:r>
      <w:r w:rsidR="00613C19">
        <w:rPr>
          <w:b/>
          <w:bCs/>
          <w:rtl/>
        </w:rPr>
        <w:t xml:space="preserve">יחס החוב לתוצר </w:t>
      </w:r>
      <w:r>
        <w:rPr>
          <w:rFonts w:hint="cs"/>
          <w:b/>
          <w:bCs/>
          <w:rtl/>
        </w:rPr>
        <w:t xml:space="preserve">צפוי לגדול </w:t>
      </w:r>
      <w:r w:rsidR="00613C19">
        <w:rPr>
          <w:rFonts w:hint="cs"/>
          <w:b/>
          <w:bCs/>
          <w:rtl/>
        </w:rPr>
        <w:t>עד סוף 2024 ל-66 אחוזי תוצר</w:t>
      </w:r>
      <w:r>
        <w:rPr>
          <w:rFonts w:hint="cs"/>
          <w:b/>
          <w:bCs/>
          <w:rtl/>
        </w:rPr>
        <w:t>,</w:t>
      </w:r>
      <w:r w:rsidR="00613C19">
        <w:rPr>
          <w:rFonts w:hint="cs"/>
          <w:b/>
          <w:bCs/>
          <w:rtl/>
        </w:rPr>
        <w:t xml:space="preserve"> </w:t>
      </w:r>
      <w:r w:rsidR="00C46E15">
        <w:rPr>
          <w:rFonts w:hint="cs"/>
          <w:b/>
          <w:bCs/>
          <w:rtl/>
        </w:rPr>
        <w:t xml:space="preserve">ולהתחיל לרדת </w:t>
      </w:r>
      <w:r w:rsidR="00C23353">
        <w:rPr>
          <w:rFonts w:hint="cs"/>
          <w:b/>
          <w:bCs/>
          <w:rtl/>
        </w:rPr>
        <w:t xml:space="preserve">בהדרגה </w:t>
      </w:r>
      <w:r w:rsidR="00C46E15">
        <w:rPr>
          <w:rFonts w:hint="cs"/>
          <w:b/>
          <w:bCs/>
          <w:rtl/>
        </w:rPr>
        <w:t>החל משנת 2026</w:t>
      </w:r>
      <w:r w:rsidR="00613C19">
        <w:rPr>
          <w:rtl/>
        </w:rPr>
        <w:t xml:space="preserve"> (לוח 1)</w:t>
      </w:r>
      <w:r w:rsidR="00613C19">
        <w:t>.</w:t>
      </w:r>
    </w:p>
    <w:p w14:paraId="5C078C9E" w14:textId="1EE714D9" w:rsidR="00613C19" w:rsidRDefault="00613C19" w:rsidP="008C3866">
      <w:pPr>
        <w:ind w:left="8"/>
        <w:jc w:val="both"/>
        <w:rPr>
          <w:rtl/>
        </w:rPr>
      </w:pPr>
      <w:r>
        <w:rPr>
          <w:rtl/>
        </w:rPr>
        <w:t xml:space="preserve">אנו מעריכים כי הפגיעה בפעילות המשקית </w:t>
      </w:r>
      <w:r>
        <w:rPr>
          <w:rFonts w:hint="cs"/>
          <w:rtl/>
        </w:rPr>
        <w:t>הובילה</w:t>
      </w:r>
      <w:r>
        <w:rPr>
          <w:rtl/>
        </w:rPr>
        <w:t xml:space="preserve"> לירידה חדה בהכנסות ממסים כבר ברבעון הרביעי של 2023</w:t>
      </w:r>
      <w:r>
        <w:rPr>
          <w:rFonts w:hint="cs"/>
          <w:rtl/>
        </w:rPr>
        <w:t>,</w:t>
      </w:r>
      <w:r>
        <w:rPr>
          <w:rtl/>
        </w:rPr>
        <w:t xml:space="preserve"> ו</w:t>
      </w:r>
      <w:r>
        <w:rPr>
          <w:rFonts w:hint="cs"/>
          <w:rtl/>
        </w:rPr>
        <w:t xml:space="preserve">שזו </w:t>
      </w:r>
      <w:r>
        <w:rPr>
          <w:rtl/>
        </w:rPr>
        <w:t>תימשך לאורך כל שנת 2024</w:t>
      </w:r>
      <w:r>
        <w:rPr>
          <w:rFonts w:hint="cs"/>
          <w:rtl/>
        </w:rPr>
        <w:t xml:space="preserve"> ותפחת בהדרגה עם </w:t>
      </w:r>
      <w:r w:rsidR="004B5115">
        <w:rPr>
          <w:rFonts w:hint="cs"/>
          <w:rtl/>
        </w:rPr>
        <w:t>התאוששות הפעילות</w:t>
      </w:r>
      <w:r>
        <w:rPr>
          <w:rtl/>
        </w:rPr>
        <w:t>.</w:t>
      </w:r>
      <w:r w:rsidR="005D1B1D">
        <w:rPr>
          <w:rFonts w:hint="cs"/>
          <w:rtl/>
        </w:rPr>
        <w:t xml:space="preserve"> </w:t>
      </w:r>
      <w:r>
        <w:rPr>
          <w:rFonts w:hint="cs"/>
          <w:rtl/>
        </w:rPr>
        <w:t xml:space="preserve">אנו מניחים </w:t>
      </w:r>
      <w:r w:rsidR="004B5115">
        <w:rPr>
          <w:rFonts w:hint="cs"/>
          <w:rtl/>
        </w:rPr>
        <w:t xml:space="preserve">שההוצאות </w:t>
      </w:r>
      <w:proofErr w:type="spellStart"/>
      <w:r w:rsidR="004B5115">
        <w:rPr>
          <w:rFonts w:hint="cs"/>
          <w:rtl/>
        </w:rPr>
        <w:t>הבטחוניות</w:t>
      </w:r>
      <w:proofErr w:type="spellEnd"/>
      <w:r w:rsidR="004B5115">
        <w:rPr>
          <w:rFonts w:hint="cs"/>
          <w:rtl/>
        </w:rPr>
        <w:t xml:space="preserve"> </w:t>
      </w:r>
      <w:r>
        <w:rPr>
          <w:rFonts w:hint="cs"/>
          <w:rtl/>
        </w:rPr>
        <w:t>יפחתו בהתאם לעצימות הפוחתת של הלחימה, אך תקציב הביטחון יוגדל בשנים 2024</w:t>
      </w:r>
      <w:r w:rsidR="00CC68CA">
        <w:rPr>
          <w:rFonts w:hint="eastAsia"/>
          <w:rtl/>
        </w:rPr>
        <w:t>–</w:t>
      </w:r>
      <w:r>
        <w:rPr>
          <w:rFonts w:hint="cs"/>
          <w:rtl/>
        </w:rPr>
        <w:t xml:space="preserve">2025 </w:t>
      </w:r>
      <w:r w:rsidR="00CC68CA" w:rsidRPr="00CC68CA">
        <w:rPr>
          <w:rFonts w:hint="cs"/>
          <w:rtl/>
        </w:rPr>
        <w:t>מעבר לעלות הלחימה</w:t>
      </w:r>
      <w:r w:rsidR="008C3866">
        <w:rPr>
          <w:rFonts w:hint="cs"/>
          <w:rtl/>
        </w:rPr>
        <w:t xml:space="preserve">. </w:t>
      </w:r>
      <w:r w:rsidR="00CC68CA">
        <w:rPr>
          <w:rFonts w:hint="cs"/>
          <w:rtl/>
        </w:rPr>
        <w:t>זאת</w:t>
      </w:r>
      <w:r w:rsidR="00CC68CA" w:rsidRPr="00CC68CA">
        <w:rPr>
          <w:rFonts w:hint="cs"/>
          <w:rtl/>
        </w:rPr>
        <w:t xml:space="preserve"> </w:t>
      </w:r>
      <w:r w:rsidR="0054398A">
        <w:rPr>
          <w:rFonts w:hint="cs"/>
          <w:rtl/>
        </w:rPr>
        <w:t xml:space="preserve">כדי לממן </w:t>
      </w:r>
      <w:r>
        <w:rPr>
          <w:rFonts w:hint="cs"/>
          <w:rtl/>
        </w:rPr>
        <w:t>התעצמות פרמננטית של הצבא מבחינת כ</w:t>
      </w:r>
      <w:r w:rsidR="00390F27">
        <w:rPr>
          <w:rFonts w:hint="cs"/>
          <w:rtl/>
        </w:rPr>
        <w:t>ו</w:t>
      </w:r>
      <w:r>
        <w:rPr>
          <w:rFonts w:hint="cs"/>
          <w:rtl/>
        </w:rPr>
        <w:t>ח אדם ורכש צבאי</w:t>
      </w:r>
      <w:r w:rsidR="0054398A">
        <w:rPr>
          <w:rFonts w:hint="cs"/>
          <w:rtl/>
        </w:rPr>
        <w:t xml:space="preserve"> לרמות שהן מעבר לאלו של לפני המלחמה</w:t>
      </w:r>
      <w:r>
        <w:rPr>
          <w:rFonts w:hint="cs"/>
          <w:rtl/>
        </w:rPr>
        <w:t>.</w:t>
      </w:r>
      <w:r>
        <w:rPr>
          <w:rStyle w:val="a6"/>
          <w:rtl/>
        </w:rPr>
        <w:footnoteReference w:id="4"/>
      </w:r>
      <w:r>
        <w:rPr>
          <w:rFonts w:hint="cs"/>
          <w:rtl/>
        </w:rPr>
        <w:t xml:space="preserve"> בנוסף להוצאות הביטחוניות, אנו מניחים כי ההוצאות האזרחיות הקשורות במלחמה יסתכמו בשנים 2024 ו-2025 בכ-10 ו</w:t>
      </w:r>
      <w:r w:rsidR="004B5115">
        <w:rPr>
          <w:rFonts w:hint="cs"/>
          <w:rtl/>
        </w:rPr>
        <w:t>בכ</w:t>
      </w:r>
      <w:r>
        <w:rPr>
          <w:rFonts w:hint="cs"/>
          <w:rtl/>
        </w:rPr>
        <w:t>-5 מיליארדי ₪, בהתאמה.</w:t>
      </w:r>
    </w:p>
    <w:p w14:paraId="28AA633D" w14:textId="1E6376E6" w:rsidR="00613C19" w:rsidRDefault="00613C19" w:rsidP="008C3866">
      <w:pPr>
        <w:ind w:left="8"/>
        <w:jc w:val="both"/>
        <w:rPr>
          <w:rtl/>
        </w:rPr>
      </w:pPr>
      <w:r>
        <w:rPr>
          <w:rFonts w:hint="cs"/>
          <w:rtl/>
        </w:rPr>
        <w:t>להערכתנו, גם לאחר סיום הת</w:t>
      </w:r>
      <w:r w:rsidR="00390F27">
        <w:rPr>
          <w:rFonts w:hint="cs"/>
          <w:rtl/>
        </w:rPr>
        <w:t>ו</w:t>
      </w:r>
      <w:r>
        <w:rPr>
          <w:rFonts w:hint="cs"/>
          <w:rtl/>
        </w:rPr>
        <w:t>כניות הקשורות ישירות למלחמ</w:t>
      </w:r>
      <w:r w:rsidR="004B5115">
        <w:rPr>
          <w:rFonts w:hint="cs"/>
          <w:rtl/>
        </w:rPr>
        <w:t>ה</w:t>
      </w:r>
      <w:r>
        <w:rPr>
          <w:rFonts w:hint="cs"/>
          <w:rtl/>
        </w:rPr>
        <w:t xml:space="preserve">, ההוצאות </w:t>
      </w:r>
      <w:r w:rsidR="004B5115">
        <w:rPr>
          <w:rtl/>
        </w:rPr>
        <w:t>–</w:t>
      </w:r>
      <w:r w:rsidR="004B5115">
        <w:rPr>
          <w:rFonts w:hint="cs"/>
          <w:rtl/>
        </w:rPr>
        <w:t xml:space="preserve"> </w:t>
      </w:r>
      <w:r>
        <w:rPr>
          <w:rFonts w:hint="cs"/>
          <w:rtl/>
        </w:rPr>
        <w:t xml:space="preserve">על ביטחון, שיקום האזורים שנפגעו ותשלומי הריבית </w:t>
      </w:r>
      <w:r w:rsidR="004B5115">
        <w:rPr>
          <w:rtl/>
        </w:rPr>
        <w:t>–</w:t>
      </w:r>
      <w:r w:rsidR="004B5115">
        <w:rPr>
          <w:rFonts w:hint="cs"/>
          <w:rtl/>
        </w:rPr>
        <w:t xml:space="preserve"> </w:t>
      </w:r>
      <w:r>
        <w:rPr>
          <w:rFonts w:hint="cs"/>
          <w:rtl/>
        </w:rPr>
        <w:t xml:space="preserve">יהיו גבוהות </w:t>
      </w:r>
      <w:r w:rsidR="00B3243D">
        <w:rPr>
          <w:rFonts w:hint="cs"/>
          <w:rtl/>
        </w:rPr>
        <w:t>משמעותית</w:t>
      </w:r>
      <w:r>
        <w:rPr>
          <w:rFonts w:hint="cs"/>
          <w:rtl/>
        </w:rPr>
        <w:t xml:space="preserve"> מאלו שהיו צפויות אילולא המלחמה. </w:t>
      </w:r>
      <w:r w:rsidR="00B3243D">
        <w:rPr>
          <w:rFonts w:hint="cs"/>
          <w:rtl/>
        </w:rPr>
        <w:t>כהנחת עבודה אנו משתמשים באומדן של כ-30 מיליארדי ₪ לשנה החל משנת 2025. מנגד,</w:t>
      </w:r>
      <w:r>
        <w:rPr>
          <w:rFonts w:hint="cs"/>
          <w:rtl/>
        </w:rPr>
        <w:t xml:space="preserve"> אנו </w:t>
      </w:r>
      <w:r w:rsidR="004B5115" w:rsidRPr="00C46E15">
        <w:rPr>
          <w:rFonts w:hint="cs"/>
          <w:rtl/>
        </w:rPr>
        <w:t xml:space="preserve">מניחים </w:t>
      </w:r>
      <w:r w:rsidRPr="00C46E15">
        <w:rPr>
          <w:rFonts w:hint="cs"/>
          <w:rtl/>
        </w:rPr>
        <w:t xml:space="preserve">שכבר במהלך שנת 2024 הממשלה </w:t>
      </w:r>
      <w:r w:rsidR="004B5115" w:rsidRPr="00C46E15">
        <w:rPr>
          <w:rFonts w:hint="cs"/>
          <w:rtl/>
        </w:rPr>
        <w:t>ת</w:t>
      </w:r>
      <w:r w:rsidR="00B3243D" w:rsidRPr="00C46E15">
        <w:rPr>
          <w:rFonts w:hint="cs"/>
          <w:rtl/>
        </w:rPr>
        <w:t>חליט על</w:t>
      </w:r>
      <w:r w:rsidR="004B5115" w:rsidRPr="00C46E15">
        <w:rPr>
          <w:rFonts w:hint="cs"/>
          <w:rtl/>
        </w:rPr>
        <w:t xml:space="preserve"> </w:t>
      </w:r>
      <w:r w:rsidRPr="00C46E15">
        <w:rPr>
          <w:rFonts w:hint="cs"/>
          <w:rtl/>
        </w:rPr>
        <w:t xml:space="preserve">התאמות תקציביות שיכללו </w:t>
      </w:r>
      <w:r w:rsidR="00B3243D" w:rsidRPr="00C46E15">
        <w:rPr>
          <w:rFonts w:hint="cs"/>
          <w:rtl/>
        </w:rPr>
        <w:t xml:space="preserve">הפחתת הוצאות אחרות </w:t>
      </w:r>
      <w:r w:rsidR="008D477D" w:rsidRPr="00C46E15">
        <w:rPr>
          <w:rFonts w:hint="cs"/>
          <w:rtl/>
        </w:rPr>
        <w:t xml:space="preserve">או </w:t>
      </w:r>
      <w:r w:rsidRPr="00C46E15">
        <w:rPr>
          <w:rFonts w:hint="cs"/>
          <w:rtl/>
        </w:rPr>
        <w:t xml:space="preserve">העלאת מיסים, כנגד </w:t>
      </w:r>
      <w:r w:rsidR="00B3243D" w:rsidRPr="00C46E15">
        <w:rPr>
          <w:rFonts w:hint="cs"/>
          <w:rtl/>
        </w:rPr>
        <w:t>מלוא</w:t>
      </w:r>
      <w:r w:rsidR="00B3243D">
        <w:rPr>
          <w:rFonts w:hint="cs"/>
          <w:rtl/>
        </w:rPr>
        <w:t xml:space="preserve"> </w:t>
      </w:r>
      <w:r>
        <w:rPr>
          <w:rFonts w:hint="cs"/>
          <w:rtl/>
        </w:rPr>
        <w:t>הגידול הפרמננטי</w:t>
      </w:r>
      <w:r w:rsidR="00A76B70">
        <w:rPr>
          <w:rFonts w:hint="cs"/>
          <w:rtl/>
        </w:rPr>
        <w:t xml:space="preserve"> בהוצאות</w:t>
      </w:r>
      <w:r w:rsidR="004B5115">
        <w:rPr>
          <w:rFonts w:hint="cs"/>
          <w:rtl/>
        </w:rPr>
        <w:t>. אנו מניחים ש</w:t>
      </w:r>
      <w:r w:rsidR="00B3243D" w:rsidRPr="00B3243D">
        <w:rPr>
          <w:rFonts w:hint="cs"/>
          <w:rtl/>
        </w:rPr>
        <w:t xml:space="preserve">חצי מההתאמות </w:t>
      </w:r>
      <w:r>
        <w:rPr>
          <w:rFonts w:hint="cs"/>
          <w:rtl/>
        </w:rPr>
        <w:lastRenderedPageBreak/>
        <w:t>יכנסו לתוקף</w:t>
      </w:r>
      <w:r w:rsidR="00B3243D">
        <w:rPr>
          <w:rFonts w:hint="cs"/>
          <w:rtl/>
        </w:rPr>
        <w:t xml:space="preserve"> ב-2024</w:t>
      </w:r>
      <w:r w:rsidR="004B5115">
        <w:rPr>
          <w:rFonts w:hint="cs"/>
          <w:rtl/>
        </w:rPr>
        <w:t>,</w:t>
      </w:r>
      <w:r>
        <w:rPr>
          <w:rFonts w:hint="cs"/>
          <w:rtl/>
        </w:rPr>
        <w:t xml:space="preserve"> ו</w:t>
      </w:r>
      <w:r w:rsidR="004B5115">
        <w:rPr>
          <w:rFonts w:hint="cs"/>
          <w:rtl/>
        </w:rPr>
        <w:t>ש</w:t>
      </w:r>
      <w:r>
        <w:rPr>
          <w:rFonts w:hint="cs"/>
          <w:rtl/>
        </w:rPr>
        <w:t xml:space="preserve">ב-2025 הן </w:t>
      </w:r>
      <w:r w:rsidR="008D477D">
        <w:rPr>
          <w:rFonts w:hint="cs"/>
          <w:rtl/>
        </w:rPr>
        <w:t>יושלמו</w:t>
      </w:r>
      <w:r>
        <w:rPr>
          <w:rFonts w:hint="cs"/>
          <w:rtl/>
        </w:rPr>
        <w:t xml:space="preserve">. </w:t>
      </w:r>
      <w:r w:rsidR="00B3243D">
        <w:rPr>
          <w:rFonts w:hint="cs"/>
          <w:rtl/>
        </w:rPr>
        <w:t>משום כך,</w:t>
      </w:r>
      <w:r>
        <w:rPr>
          <w:rFonts w:hint="cs"/>
          <w:rtl/>
        </w:rPr>
        <w:t xml:space="preserve"> הגידול בגרעון התקציבי יהיה בשל ההוצאות הזמניות בלבד. </w:t>
      </w:r>
      <w:r w:rsidR="001C76DE">
        <w:rPr>
          <w:rFonts w:hint="cs"/>
          <w:rtl/>
        </w:rPr>
        <w:t>הצורך בהתאמות התקציביות שהנחנו נובע מכך ש</w:t>
      </w:r>
      <w:r>
        <w:rPr>
          <w:rFonts w:hint="cs"/>
          <w:rtl/>
        </w:rPr>
        <w:t xml:space="preserve">בשונה מתהליך סיום </w:t>
      </w:r>
      <w:proofErr w:type="spellStart"/>
      <w:r>
        <w:rPr>
          <w:rFonts w:hint="cs"/>
          <w:rtl/>
        </w:rPr>
        <w:t>תוכניות</w:t>
      </w:r>
      <w:proofErr w:type="spellEnd"/>
      <w:r>
        <w:rPr>
          <w:rFonts w:hint="cs"/>
          <w:rtl/>
        </w:rPr>
        <w:t xml:space="preserve"> הסיוע הממשלתיות שה</w:t>
      </w:r>
      <w:r w:rsidR="00F72BFD">
        <w:rPr>
          <w:rFonts w:hint="cs"/>
          <w:rtl/>
        </w:rPr>
        <w:t>ופעלו</w:t>
      </w:r>
      <w:r>
        <w:rPr>
          <w:rFonts w:hint="cs"/>
          <w:rtl/>
        </w:rPr>
        <w:t xml:space="preserve"> בזמן משבר הקורונה, </w:t>
      </w:r>
      <w:proofErr w:type="spellStart"/>
      <w:r w:rsidR="008C3866">
        <w:rPr>
          <w:rFonts w:hint="cs"/>
          <w:rtl/>
        </w:rPr>
        <w:t>שהסתימו</w:t>
      </w:r>
      <w:proofErr w:type="spellEnd"/>
      <w:r w:rsidR="008C3866">
        <w:rPr>
          <w:rFonts w:hint="cs"/>
          <w:rtl/>
        </w:rPr>
        <w:t xml:space="preserve"> בחלוף המגפה, </w:t>
      </w:r>
      <w:r w:rsidR="001C76DE">
        <w:rPr>
          <w:rFonts w:hint="cs"/>
          <w:rtl/>
        </w:rPr>
        <w:t>המלחמה הנוכחית ת</w:t>
      </w:r>
      <w:r>
        <w:rPr>
          <w:rFonts w:hint="cs"/>
          <w:rtl/>
        </w:rPr>
        <w:t xml:space="preserve">לווה </w:t>
      </w:r>
      <w:r w:rsidR="00335826">
        <w:rPr>
          <w:rFonts w:hint="cs"/>
          <w:rtl/>
        </w:rPr>
        <w:t xml:space="preserve">ככל הנראה </w:t>
      </w:r>
      <w:r>
        <w:rPr>
          <w:rFonts w:hint="cs"/>
          <w:rtl/>
        </w:rPr>
        <w:t>בגידול קבוע של הוצאות הממשלה. על כן</w:t>
      </w:r>
      <w:r w:rsidR="00390F27">
        <w:rPr>
          <w:rFonts w:hint="cs"/>
          <w:rtl/>
        </w:rPr>
        <w:t xml:space="preserve">, </w:t>
      </w:r>
      <w:r>
        <w:rPr>
          <w:rFonts w:hint="cs"/>
          <w:rtl/>
        </w:rPr>
        <w:t xml:space="preserve">לביצוע ההתאמות הנדרשות </w:t>
      </w:r>
      <w:r w:rsidR="001C76DE">
        <w:rPr>
          <w:rFonts w:hint="cs"/>
          <w:rtl/>
        </w:rPr>
        <w:t>ל</w:t>
      </w:r>
      <w:r>
        <w:rPr>
          <w:rFonts w:hint="cs"/>
          <w:rtl/>
        </w:rPr>
        <w:t>שימור הגרעון המבני ברמתו המקורית</w:t>
      </w:r>
      <w:r w:rsidR="004B5115">
        <w:rPr>
          <w:rFonts w:hint="cs"/>
          <w:rtl/>
        </w:rPr>
        <w:t>,</w:t>
      </w:r>
      <w:r>
        <w:rPr>
          <w:rFonts w:hint="cs"/>
          <w:rtl/>
        </w:rPr>
        <w:t xml:space="preserve"> יש חשיבות </w:t>
      </w:r>
      <w:r w:rsidR="001C76DE">
        <w:rPr>
          <w:rFonts w:hint="cs"/>
          <w:rtl/>
        </w:rPr>
        <w:t>רבה</w:t>
      </w:r>
      <w:r>
        <w:rPr>
          <w:rFonts w:hint="cs"/>
          <w:rtl/>
        </w:rPr>
        <w:t xml:space="preserve"> </w:t>
      </w:r>
      <w:r w:rsidR="001C76DE">
        <w:rPr>
          <w:rFonts w:hint="cs"/>
          <w:rtl/>
        </w:rPr>
        <w:t>כדי ל</w:t>
      </w:r>
      <w:r>
        <w:rPr>
          <w:rFonts w:hint="cs"/>
          <w:rtl/>
        </w:rPr>
        <w:t xml:space="preserve">בטא את מחויבות הממשלה לשמירה על אחריות פיסקלית, על ידי חזרה עתידית לתוואי </w:t>
      </w:r>
      <w:r w:rsidR="004B5115">
        <w:rPr>
          <w:rFonts w:hint="cs"/>
          <w:rtl/>
        </w:rPr>
        <w:t xml:space="preserve">יורד של יחס </w:t>
      </w:r>
      <w:r w:rsidR="001C76DE">
        <w:rPr>
          <w:rFonts w:hint="cs"/>
          <w:rtl/>
        </w:rPr>
        <w:t>ה</w:t>
      </w:r>
      <w:r>
        <w:rPr>
          <w:rFonts w:hint="cs"/>
          <w:rtl/>
        </w:rPr>
        <w:t xml:space="preserve">חוב </w:t>
      </w:r>
      <w:r w:rsidR="001C76DE">
        <w:rPr>
          <w:rFonts w:hint="cs"/>
          <w:rtl/>
        </w:rPr>
        <w:t>ל</w:t>
      </w:r>
      <w:r>
        <w:rPr>
          <w:rFonts w:hint="cs"/>
          <w:rtl/>
        </w:rPr>
        <w:t xml:space="preserve">תוצר בשנים </w:t>
      </w:r>
      <w:r w:rsidR="00AC26E3">
        <w:rPr>
          <w:rFonts w:hint="cs"/>
          <w:rtl/>
        </w:rPr>
        <w:t>שלאחר המלחמה</w:t>
      </w:r>
      <w:r>
        <w:rPr>
          <w:rFonts w:hint="cs"/>
          <w:rtl/>
        </w:rPr>
        <w:t>.</w:t>
      </w:r>
    </w:p>
    <w:p w14:paraId="2BADECD5" w14:textId="53A8DFA3" w:rsidR="00613C19" w:rsidRDefault="004B5115" w:rsidP="008C3866">
      <w:pPr>
        <w:ind w:left="8"/>
        <w:jc w:val="both"/>
      </w:pPr>
      <w:r>
        <w:rPr>
          <w:rFonts w:hint="cs"/>
          <w:rtl/>
        </w:rPr>
        <w:t xml:space="preserve">ההשפעה הכוללת של </w:t>
      </w:r>
      <w:r w:rsidR="00613C19">
        <w:rPr>
          <w:rtl/>
        </w:rPr>
        <w:t xml:space="preserve">כל אלו </w:t>
      </w:r>
      <w:r>
        <w:rPr>
          <w:rFonts w:hint="cs"/>
          <w:rtl/>
        </w:rPr>
        <w:t xml:space="preserve">צפויה </w:t>
      </w:r>
      <w:r w:rsidR="00613C19">
        <w:rPr>
          <w:rtl/>
        </w:rPr>
        <w:t>להתבטא בגידול בגרעון בתקציב הממשלה</w:t>
      </w:r>
      <w:r w:rsidR="00613C19">
        <w:rPr>
          <w:rFonts w:hint="cs"/>
          <w:rtl/>
        </w:rPr>
        <w:t>,</w:t>
      </w:r>
      <w:r w:rsidR="00613C19">
        <w:rPr>
          <w:rtl/>
        </w:rPr>
        <w:t xml:space="preserve"> שיסתכם ב</w:t>
      </w:r>
      <w:r w:rsidR="003360FF">
        <w:rPr>
          <w:rFonts w:hint="cs"/>
          <w:rtl/>
        </w:rPr>
        <w:t>כ</w:t>
      </w:r>
      <w:r w:rsidR="00613C19">
        <w:rPr>
          <w:rtl/>
        </w:rPr>
        <w:t>-</w:t>
      </w:r>
      <w:r w:rsidR="00613C19">
        <w:rPr>
          <w:rFonts w:hint="cs"/>
          <w:rtl/>
        </w:rPr>
        <w:t>4.0%</w:t>
      </w:r>
      <w:r w:rsidR="00613C19">
        <w:rPr>
          <w:rtl/>
        </w:rPr>
        <w:t xml:space="preserve"> תוצר</w:t>
      </w:r>
      <w:r w:rsidR="00613C19">
        <w:rPr>
          <w:rFonts w:hint="cs"/>
          <w:rtl/>
        </w:rPr>
        <w:t xml:space="preserve"> בשנת 2023,</w:t>
      </w:r>
      <w:r w:rsidR="00613C19">
        <w:rPr>
          <w:rtl/>
        </w:rPr>
        <w:t xml:space="preserve"> ב-</w:t>
      </w:r>
      <w:r w:rsidR="00613C19">
        <w:rPr>
          <w:rFonts w:hint="cs"/>
          <w:rtl/>
        </w:rPr>
        <w:t>5.7</w:t>
      </w:r>
      <w:r w:rsidR="00613C19">
        <w:rPr>
          <w:rtl/>
        </w:rPr>
        <w:t>% תוצר בשנ</w:t>
      </w:r>
      <w:r w:rsidR="00613C19">
        <w:rPr>
          <w:rFonts w:hint="cs"/>
          <w:rtl/>
        </w:rPr>
        <w:t>ת 2024 וב-3.</w:t>
      </w:r>
      <w:r w:rsidR="00F72BFD">
        <w:rPr>
          <w:rFonts w:hint="cs"/>
          <w:rtl/>
        </w:rPr>
        <w:t>8</w:t>
      </w:r>
      <w:r w:rsidR="00613C19">
        <w:rPr>
          <w:rFonts w:hint="cs"/>
          <w:rtl/>
        </w:rPr>
        <w:t>% בשנת 2025</w:t>
      </w:r>
      <w:r>
        <w:rPr>
          <w:rFonts w:hint="cs"/>
          <w:rtl/>
        </w:rPr>
        <w:t xml:space="preserve"> (לוח 1)</w:t>
      </w:r>
      <w:r w:rsidR="00613C19">
        <w:rPr>
          <w:rtl/>
        </w:rPr>
        <w:t xml:space="preserve">. לאור זאת, החוב </w:t>
      </w:r>
      <w:r w:rsidR="003360FF">
        <w:rPr>
          <w:rFonts w:hint="cs"/>
          <w:rtl/>
        </w:rPr>
        <w:t xml:space="preserve">הציבורי </w:t>
      </w:r>
      <w:r w:rsidR="00613C19">
        <w:rPr>
          <w:rtl/>
        </w:rPr>
        <w:t>צפוי לגדול ולעמוד על כ-</w:t>
      </w:r>
      <w:r w:rsidR="00F72BFD">
        <w:rPr>
          <w:rFonts w:hint="cs"/>
          <w:rtl/>
        </w:rPr>
        <w:t>62</w:t>
      </w:r>
      <w:r w:rsidR="00613C19">
        <w:rPr>
          <w:rtl/>
        </w:rPr>
        <w:t>% תוצר בסוף 2023</w:t>
      </w:r>
      <w:r w:rsidR="00613C19">
        <w:rPr>
          <w:rFonts w:hint="cs"/>
          <w:rtl/>
        </w:rPr>
        <w:t xml:space="preserve"> ו</w:t>
      </w:r>
      <w:r w:rsidR="00613C19">
        <w:rPr>
          <w:rtl/>
        </w:rPr>
        <w:t>על כ-</w:t>
      </w:r>
      <w:r w:rsidR="00390F27">
        <w:t>66%</w:t>
      </w:r>
      <w:r w:rsidR="00613C19">
        <w:rPr>
          <w:rtl/>
        </w:rPr>
        <w:t xml:space="preserve"> תוצר בסוף</w:t>
      </w:r>
      <w:r w:rsidR="00213F5E">
        <w:rPr>
          <w:rFonts w:hint="cs"/>
          <w:rtl/>
        </w:rPr>
        <w:t xml:space="preserve"> כל אחת מהשנים</w:t>
      </w:r>
      <w:r w:rsidR="00613C19">
        <w:rPr>
          <w:rtl/>
        </w:rPr>
        <w:t xml:space="preserve"> 2024</w:t>
      </w:r>
      <w:r w:rsidR="00F72BFD">
        <w:rPr>
          <w:rFonts w:hint="cs"/>
          <w:rtl/>
        </w:rPr>
        <w:t xml:space="preserve"> ו-</w:t>
      </w:r>
      <w:r w:rsidR="003360FF">
        <w:rPr>
          <w:rFonts w:hint="cs"/>
          <w:rtl/>
        </w:rPr>
        <w:t>20</w:t>
      </w:r>
      <w:r w:rsidR="00213F5E">
        <w:rPr>
          <w:rFonts w:hint="cs"/>
          <w:rtl/>
        </w:rPr>
        <w:t>25</w:t>
      </w:r>
      <w:r w:rsidR="00613C19">
        <w:rPr>
          <w:rFonts w:hint="cs"/>
          <w:rtl/>
        </w:rPr>
        <w:t>.</w:t>
      </w:r>
      <w:r w:rsidR="00390F27">
        <w:t xml:space="preserve"> </w:t>
      </w:r>
      <w:r w:rsidR="00613C19">
        <w:rPr>
          <w:rFonts w:hint="cs"/>
          <w:rtl/>
        </w:rPr>
        <w:t xml:space="preserve">בשנים שלאחר מכן </w:t>
      </w:r>
      <w:r w:rsidR="00F72BFD">
        <w:rPr>
          <w:rFonts w:hint="cs"/>
          <w:rtl/>
        </w:rPr>
        <w:t xml:space="preserve">יחס </w:t>
      </w:r>
      <w:r w:rsidR="00613C19">
        <w:rPr>
          <w:rFonts w:hint="cs"/>
          <w:rtl/>
        </w:rPr>
        <w:t xml:space="preserve">החוב </w:t>
      </w:r>
      <w:r w:rsidR="00F72BFD">
        <w:rPr>
          <w:rFonts w:hint="cs"/>
          <w:rtl/>
        </w:rPr>
        <w:t xml:space="preserve">לתוצר </w:t>
      </w:r>
      <w:r w:rsidR="00613C19">
        <w:rPr>
          <w:rFonts w:hint="cs"/>
          <w:rtl/>
        </w:rPr>
        <w:t>צפוי לרדת במתינות</w:t>
      </w:r>
      <w:r w:rsidR="00F002D8">
        <w:rPr>
          <w:rFonts w:hint="cs"/>
          <w:rtl/>
        </w:rPr>
        <w:t>.</w:t>
      </w:r>
      <w:r w:rsidR="00613C19">
        <w:rPr>
          <w:rFonts w:hint="cs"/>
          <w:rtl/>
        </w:rPr>
        <w:t xml:space="preserve"> </w:t>
      </w:r>
      <w:r w:rsidR="00F002D8">
        <w:rPr>
          <w:rFonts w:hint="cs"/>
          <w:rtl/>
        </w:rPr>
        <w:t xml:space="preserve">בתרחיש </w:t>
      </w:r>
      <w:r w:rsidR="008C3866">
        <w:rPr>
          <w:rFonts w:hint="cs"/>
          <w:rtl/>
        </w:rPr>
        <w:t>זה</w:t>
      </w:r>
      <w:r w:rsidR="00335826">
        <w:rPr>
          <w:rFonts w:hint="cs"/>
          <w:rtl/>
        </w:rPr>
        <w:t>,</w:t>
      </w:r>
      <w:r w:rsidR="00F002D8">
        <w:rPr>
          <w:rFonts w:hint="cs"/>
          <w:rtl/>
        </w:rPr>
        <w:t xml:space="preserve"> צפוי יחס החוב לתוצר </w:t>
      </w:r>
      <w:r w:rsidR="003360FF">
        <w:rPr>
          <w:rFonts w:hint="cs"/>
          <w:rtl/>
        </w:rPr>
        <w:t xml:space="preserve">להגיע </w:t>
      </w:r>
      <w:r w:rsidR="00613C19">
        <w:rPr>
          <w:rFonts w:hint="cs"/>
          <w:rtl/>
        </w:rPr>
        <w:t xml:space="preserve">בשנת 2030 </w:t>
      </w:r>
      <w:r w:rsidR="003360FF">
        <w:rPr>
          <w:rFonts w:hint="cs"/>
          <w:rtl/>
        </w:rPr>
        <w:t>ל</w:t>
      </w:r>
      <w:r w:rsidR="00613C19">
        <w:rPr>
          <w:rFonts w:hint="cs"/>
          <w:rtl/>
        </w:rPr>
        <w:t>כ-63 אחוזי</w:t>
      </w:r>
      <w:r w:rsidR="00F72BFD">
        <w:rPr>
          <w:rFonts w:hint="cs"/>
          <w:rtl/>
        </w:rPr>
        <w:t>ם</w:t>
      </w:r>
      <w:r w:rsidR="004B54DD">
        <w:rPr>
          <w:rFonts w:hint="cs"/>
          <w:rtl/>
        </w:rPr>
        <w:t>, לעומת 57 אחוזי תוצר</w:t>
      </w:r>
      <w:r w:rsidR="00F002D8">
        <w:rPr>
          <w:rFonts w:hint="cs"/>
          <w:rtl/>
        </w:rPr>
        <w:t xml:space="preserve"> </w:t>
      </w:r>
      <w:r w:rsidR="00811C41">
        <w:rPr>
          <w:rFonts w:hint="cs"/>
          <w:rtl/>
        </w:rPr>
        <w:t xml:space="preserve">שצפינו </w:t>
      </w:r>
      <w:r w:rsidR="00F002D8">
        <w:rPr>
          <w:rFonts w:hint="cs"/>
          <w:rtl/>
        </w:rPr>
        <w:t>ערב המלחמה</w:t>
      </w:r>
      <w:r w:rsidR="00613C19">
        <w:rPr>
          <w:rFonts w:hint="cs"/>
          <w:rtl/>
        </w:rPr>
        <w:t xml:space="preserve">. בשונה ממשבר הקורונה, שביציאה ממנו שיעורי הצמיחה היו חסרי תקדים </w:t>
      </w:r>
      <w:r w:rsidR="00FF0CF3">
        <w:rPr>
          <w:rtl/>
        </w:rPr>
        <w:t>–</w:t>
      </w:r>
      <w:r w:rsidR="00FF0CF3">
        <w:rPr>
          <w:rFonts w:hint="cs"/>
          <w:rtl/>
        </w:rPr>
        <w:t xml:space="preserve"> </w:t>
      </w:r>
      <w:r w:rsidR="00613C19">
        <w:rPr>
          <w:rFonts w:hint="cs"/>
          <w:rtl/>
        </w:rPr>
        <w:t xml:space="preserve">על רקע </w:t>
      </w:r>
      <w:r w:rsidR="003360FF">
        <w:rPr>
          <w:rFonts w:hint="cs"/>
          <w:rtl/>
        </w:rPr>
        <w:t xml:space="preserve">הירידה החדה בפעילות בתחילת המשבר, </w:t>
      </w:r>
      <w:r w:rsidR="00613C19">
        <w:rPr>
          <w:rFonts w:hint="cs"/>
          <w:rtl/>
        </w:rPr>
        <w:t>התאוששות מהירה של כלל המשקים המפותחים ושיעורי הריבית הנמוכים ששררו בשנים 2021</w:t>
      </w:r>
      <w:r w:rsidR="003360FF">
        <w:rPr>
          <w:rFonts w:hint="eastAsia"/>
          <w:rtl/>
        </w:rPr>
        <w:t>–</w:t>
      </w:r>
      <w:r w:rsidR="00613C19">
        <w:rPr>
          <w:rFonts w:hint="cs"/>
          <w:rtl/>
        </w:rPr>
        <w:t>2022</w:t>
      </w:r>
      <w:r w:rsidR="00FF0CF3">
        <w:rPr>
          <w:rFonts w:hint="cs"/>
          <w:rtl/>
        </w:rPr>
        <w:t xml:space="preserve"> </w:t>
      </w:r>
      <w:r w:rsidR="00FF0CF3">
        <w:rPr>
          <w:rtl/>
        </w:rPr>
        <w:t>–</w:t>
      </w:r>
      <w:r w:rsidR="00613C19">
        <w:rPr>
          <w:rFonts w:hint="cs"/>
          <w:rtl/>
        </w:rPr>
        <w:t xml:space="preserve"> התחזית לשנים שלאחר המלחמה היא של צמיחה בהתאם </w:t>
      </w:r>
      <w:r w:rsidR="00FF0CF3">
        <w:rPr>
          <w:rFonts w:hint="cs"/>
          <w:rtl/>
        </w:rPr>
        <w:t xml:space="preserve">למגמה שאפיינה את המשק בשנים שקדמו לקורונה, </w:t>
      </w:r>
      <w:r w:rsidR="00613C19">
        <w:rPr>
          <w:rFonts w:hint="cs"/>
          <w:rtl/>
        </w:rPr>
        <w:t xml:space="preserve">ואולי אף </w:t>
      </w:r>
      <w:r w:rsidR="003360FF">
        <w:rPr>
          <w:rFonts w:hint="cs"/>
          <w:rtl/>
        </w:rPr>
        <w:t xml:space="preserve">פחות </w:t>
      </w:r>
      <w:r w:rsidR="00613C19">
        <w:rPr>
          <w:rFonts w:hint="cs"/>
          <w:rtl/>
        </w:rPr>
        <w:t>מכך</w:t>
      </w:r>
      <w:r w:rsidR="008C3866">
        <w:rPr>
          <w:rFonts w:hint="cs"/>
          <w:rtl/>
        </w:rPr>
        <w:t>,</w:t>
      </w:r>
      <w:r w:rsidR="00613C19">
        <w:rPr>
          <w:rFonts w:hint="cs"/>
          <w:rtl/>
        </w:rPr>
        <w:t xml:space="preserve"> </w:t>
      </w:r>
      <w:r w:rsidR="008D477D">
        <w:rPr>
          <w:rFonts w:hint="cs"/>
          <w:rtl/>
        </w:rPr>
        <w:t>ככל ש</w:t>
      </w:r>
      <w:r w:rsidR="00613C19">
        <w:rPr>
          <w:rFonts w:hint="cs"/>
          <w:rtl/>
        </w:rPr>
        <w:t>למלחמה</w:t>
      </w:r>
      <w:r w:rsidR="003360FF">
        <w:rPr>
          <w:rFonts w:hint="cs"/>
          <w:rtl/>
        </w:rPr>
        <w:t>,</w:t>
      </w:r>
      <w:r w:rsidR="00613C19">
        <w:rPr>
          <w:rFonts w:hint="cs"/>
          <w:rtl/>
        </w:rPr>
        <w:t xml:space="preserve"> לתוצאותיה </w:t>
      </w:r>
      <w:r w:rsidR="003360FF">
        <w:rPr>
          <w:rFonts w:hint="cs"/>
          <w:rtl/>
        </w:rPr>
        <w:t xml:space="preserve">ולצעדי המדיניות שיינקטו </w:t>
      </w:r>
      <w:r w:rsidR="00613C19">
        <w:rPr>
          <w:rFonts w:hint="cs"/>
          <w:rtl/>
        </w:rPr>
        <w:t>יהיו השפעות מתמשכות על המשק.</w:t>
      </w:r>
    </w:p>
    <w:p w14:paraId="5228AD1C" w14:textId="77777777" w:rsidR="003B2D4B" w:rsidRPr="003B2D4B" w:rsidRDefault="003B2D4B" w:rsidP="00910C95">
      <w:pPr>
        <w:pStyle w:val="a"/>
        <w:rPr>
          <w:rtl/>
        </w:rPr>
      </w:pPr>
      <w:r w:rsidRPr="003B2D4B">
        <w:rPr>
          <w:rtl/>
        </w:rPr>
        <w:t>האינפלציה והריבית</w:t>
      </w:r>
    </w:p>
    <w:p w14:paraId="36833B7A" w14:textId="67AF0EC8" w:rsidR="00396E2F" w:rsidRPr="00396E2F" w:rsidRDefault="006A162E" w:rsidP="00C23353">
      <w:pPr>
        <w:jc w:val="both"/>
        <w:rPr>
          <w:b/>
        </w:rPr>
      </w:pPr>
      <w:r w:rsidRPr="00AC07A8">
        <w:rPr>
          <w:bCs/>
          <w:rtl/>
        </w:rPr>
        <w:t>שיעור האינפלציה ב</w:t>
      </w:r>
      <w:r w:rsidR="004376E3">
        <w:rPr>
          <w:rFonts w:hint="cs"/>
          <w:bCs/>
          <w:rtl/>
        </w:rPr>
        <w:t xml:space="preserve">מהלך </w:t>
      </w:r>
      <w:r w:rsidR="00C23353">
        <w:rPr>
          <w:rFonts w:hint="cs"/>
          <w:bCs/>
          <w:rtl/>
        </w:rPr>
        <w:t>שנת</w:t>
      </w:r>
      <w:r w:rsidRPr="00AC07A8">
        <w:rPr>
          <w:bCs/>
          <w:rtl/>
        </w:rPr>
        <w:t xml:space="preserve"> 2024 צפוי לעמוד על 2.</w:t>
      </w:r>
      <w:r w:rsidR="0062164F">
        <w:rPr>
          <w:rFonts w:hint="cs"/>
          <w:bCs/>
          <w:rtl/>
        </w:rPr>
        <w:t>4</w:t>
      </w:r>
      <w:r w:rsidRPr="00AC07A8">
        <w:rPr>
          <w:bCs/>
          <w:rtl/>
        </w:rPr>
        <w:t>%</w:t>
      </w:r>
      <w:r w:rsidR="0062164F">
        <w:rPr>
          <w:rFonts w:hint="cs"/>
          <w:bCs/>
          <w:rtl/>
        </w:rPr>
        <w:t>, ללא שינוי ביחס לתחזית נובמבר</w:t>
      </w:r>
      <w:r w:rsidRPr="00AC07A8">
        <w:rPr>
          <w:bCs/>
          <w:rtl/>
        </w:rPr>
        <w:t>.</w:t>
      </w:r>
      <w:r>
        <w:rPr>
          <w:b/>
          <w:rtl/>
        </w:rPr>
        <w:t xml:space="preserve"> התמתנות האינפלציה בטווח התחזית</w:t>
      </w:r>
      <w:r w:rsidR="004376E3">
        <w:rPr>
          <w:rFonts w:hint="cs"/>
          <w:b/>
          <w:rtl/>
        </w:rPr>
        <w:t>, בהשוואה לאינפלציה של 2023,</w:t>
      </w:r>
      <w:r>
        <w:rPr>
          <w:b/>
          <w:rtl/>
        </w:rPr>
        <w:t xml:space="preserve"> </w:t>
      </w:r>
      <w:r w:rsidR="004376E3">
        <w:rPr>
          <w:rFonts w:hint="cs"/>
          <w:b/>
          <w:rtl/>
        </w:rPr>
        <w:t>משקפת מגמה שהחלה עוד טרם המלחמה, בהשפעת ההתפתחויות בעולם והמדיניות המוניטרית המקומית, והיא מושפעת גם מהייסוף שחל לאחרונה. נוסף על אלו, בעקבות המלחמה</w:t>
      </w:r>
      <w:r w:rsidR="00366339">
        <w:rPr>
          <w:rFonts w:hint="cs"/>
          <w:b/>
          <w:rtl/>
        </w:rPr>
        <w:t>,</w:t>
      </w:r>
      <w:r w:rsidR="004376E3">
        <w:rPr>
          <w:rFonts w:hint="cs"/>
          <w:b/>
          <w:rtl/>
        </w:rPr>
        <w:t xml:space="preserve"> היא מושפעת גם </w:t>
      </w:r>
      <w:r>
        <w:rPr>
          <w:b/>
          <w:rtl/>
        </w:rPr>
        <w:t xml:space="preserve">מהפגיעה בסנטימנט הצרכני ובביקוש לצריכה. הכוחות להתמתנות האינפלציה צפויים להיות מקוזזים בחלקם, בעיקר בטווח הקצר, </w:t>
      </w:r>
      <w:r w:rsidR="00366339">
        <w:rPr>
          <w:rFonts w:hint="cs"/>
          <w:b/>
          <w:rtl/>
        </w:rPr>
        <w:t>על ידי</w:t>
      </w:r>
      <w:r w:rsidR="00366339">
        <w:rPr>
          <w:b/>
          <w:rtl/>
        </w:rPr>
        <w:t xml:space="preserve"> </w:t>
      </w:r>
      <w:r>
        <w:rPr>
          <w:b/>
          <w:rtl/>
        </w:rPr>
        <w:t xml:space="preserve">הפרעות לצד ההיצע כתוצאה מהמלחמה </w:t>
      </w:r>
      <w:r w:rsidR="00C23353">
        <w:rPr>
          <w:rFonts w:hint="cs"/>
          <w:b/>
          <w:rtl/>
        </w:rPr>
        <w:t>ו</w:t>
      </w:r>
      <w:r w:rsidR="004376E3">
        <w:rPr>
          <w:rFonts w:hint="cs"/>
          <w:b/>
          <w:rtl/>
        </w:rPr>
        <w:t>אלו עשויות להתבטא ב</w:t>
      </w:r>
      <w:r w:rsidR="004376E3">
        <w:rPr>
          <w:b/>
          <w:rtl/>
        </w:rPr>
        <w:t xml:space="preserve">ייקור </w:t>
      </w:r>
      <w:r>
        <w:rPr>
          <w:b/>
          <w:rtl/>
        </w:rPr>
        <w:t xml:space="preserve">מוצרים ושירותים. מגבלות אלו כוללת פגיעה בהיצע העבודה </w:t>
      </w:r>
      <w:r w:rsidR="004376E3">
        <w:rPr>
          <w:rFonts w:hint="eastAsia"/>
          <w:b/>
          <w:rtl/>
        </w:rPr>
        <w:t>–</w:t>
      </w:r>
      <w:r w:rsidR="004376E3">
        <w:rPr>
          <w:rFonts w:hint="cs"/>
          <w:b/>
          <w:rtl/>
        </w:rPr>
        <w:t xml:space="preserve"> </w:t>
      </w:r>
      <w:r>
        <w:rPr>
          <w:b/>
          <w:rtl/>
        </w:rPr>
        <w:t xml:space="preserve">על רקע גיוס המילואים </w:t>
      </w:r>
      <w:r w:rsidR="004376E3">
        <w:rPr>
          <w:rFonts w:hint="eastAsia"/>
          <w:b/>
          <w:rtl/>
        </w:rPr>
        <w:t>–</w:t>
      </w:r>
      <w:r w:rsidR="004376E3">
        <w:rPr>
          <w:rFonts w:hint="cs"/>
          <w:b/>
          <w:rtl/>
        </w:rPr>
        <w:t xml:space="preserve"> </w:t>
      </w:r>
      <w:r>
        <w:rPr>
          <w:b/>
          <w:rtl/>
        </w:rPr>
        <w:t xml:space="preserve">וכן פגיעה ביכולת הייצור </w:t>
      </w:r>
      <w:r w:rsidR="00366339">
        <w:rPr>
          <w:rFonts w:hint="cs"/>
          <w:b/>
          <w:rtl/>
        </w:rPr>
        <w:t xml:space="preserve">באזורי הגבול </w:t>
      </w:r>
      <w:r>
        <w:rPr>
          <w:b/>
          <w:rtl/>
        </w:rPr>
        <w:t>והפרעות בשרשראות האס</w:t>
      </w:r>
      <w:r w:rsidR="00396E2F">
        <w:rPr>
          <w:b/>
          <w:rtl/>
        </w:rPr>
        <w:t>פ</w:t>
      </w:r>
      <w:r w:rsidR="00396E2F">
        <w:rPr>
          <w:rFonts w:hint="cs"/>
          <w:b/>
          <w:rtl/>
        </w:rPr>
        <w:t xml:space="preserve">קה. </w:t>
      </w:r>
      <w:r w:rsidR="004376E3">
        <w:rPr>
          <w:rFonts w:hint="cs"/>
          <w:b/>
          <w:rtl/>
        </w:rPr>
        <w:t xml:space="preserve">עם זאת, </w:t>
      </w:r>
      <w:r w:rsidR="00396E2F" w:rsidRPr="00396E2F">
        <w:rPr>
          <w:b/>
          <w:rtl/>
        </w:rPr>
        <w:t xml:space="preserve">בדומה לתחזיות קודמות, אנו מניחים שהשפעת </w:t>
      </w:r>
      <w:r w:rsidR="004376E3">
        <w:rPr>
          <w:rFonts w:hint="cs"/>
          <w:b/>
          <w:rtl/>
        </w:rPr>
        <w:t xml:space="preserve">צמצום </w:t>
      </w:r>
      <w:r w:rsidR="00396E2F" w:rsidRPr="00396E2F">
        <w:rPr>
          <w:b/>
          <w:rtl/>
        </w:rPr>
        <w:t>הביקוש חזקה יותר, כך ש</w:t>
      </w:r>
      <w:r w:rsidR="004376E3">
        <w:rPr>
          <w:rFonts w:hint="cs"/>
          <w:b/>
          <w:rtl/>
        </w:rPr>
        <w:t xml:space="preserve">בסופו של דבר </w:t>
      </w:r>
      <w:r w:rsidR="00396E2F" w:rsidRPr="00396E2F">
        <w:rPr>
          <w:b/>
          <w:rtl/>
        </w:rPr>
        <w:t xml:space="preserve">השפעת המלחמה על האינפלציה היא </w:t>
      </w:r>
      <w:r w:rsidR="004376E3">
        <w:rPr>
          <w:rFonts w:hint="cs"/>
          <w:b/>
          <w:rtl/>
        </w:rPr>
        <w:t>מרסנת</w:t>
      </w:r>
      <w:r w:rsidR="00396E2F" w:rsidRPr="00396E2F">
        <w:rPr>
          <w:b/>
          <w:rtl/>
        </w:rPr>
        <w:t>.</w:t>
      </w:r>
      <w:r w:rsidR="001D3322">
        <w:rPr>
          <w:rFonts w:hint="cs"/>
          <w:b/>
          <w:rtl/>
        </w:rPr>
        <w:t xml:space="preserve"> תחזית האינפלציה אומנם נותרה ללא שינוי מנובמבר, אך היא הושפעה מהתפתחויות בכ</w:t>
      </w:r>
      <w:r w:rsidR="00C23353">
        <w:rPr>
          <w:rFonts w:hint="cs"/>
          <w:b/>
          <w:rtl/>
        </w:rPr>
        <w:t>י</w:t>
      </w:r>
      <w:r w:rsidR="001D3322">
        <w:rPr>
          <w:rFonts w:hint="cs"/>
          <w:b/>
          <w:rtl/>
        </w:rPr>
        <w:t>וונים מנוגדים: מחד</w:t>
      </w:r>
      <w:r w:rsidR="00BC4BFF">
        <w:rPr>
          <w:rFonts w:hint="cs"/>
          <w:b/>
          <w:rtl/>
        </w:rPr>
        <w:t xml:space="preserve"> גיסא</w:t>
      </w:r>
      <w:r w:rsidR="001D3322">
        <w:rPr>
          <w:rFonts w:hint="cs"/>
          <w:b/>
          <w:rtl/>
        </w:rPr>
        <w:t>, הייסוף וה</w:t>
      </w:r>
      <w:r w:rsidR="0057566B">
        <w:rPr>
          <w:rFonts w:hint="cs"/>
          <w:b/>
          <w:rtl/>
        </w:rPr>
        <w:t>אינפלציה הנמוכה מהצפוי לפי מדד נובמבר;</w:t>
      </w:r>
      <w:r w:rsidR="001D3322">
        <w:rPr>
          <w:rFonts w:hint="cs"/>
          <w:b/>
          <w:rtl/>
        </w:rPr>
        <w:t xml:space="preserve"> מאידך</w:t>
      </w:r>
      <w:r w:rsidR="00BC4BFF">
        <w:rPr>
          <w:rFonts w:hint="cs"/>
          <w:b/>
          <w:rtl/>
        </w:rPr>
        <w:t xml:space="preserve"> גיסא</w:t>
      </w:r>
      <w:r w:rsidR="001D3322">
        <w:rPr>
          <w:rFonts w:hint="cs"/>
          <w:b/>
          <w:rtl/>
        </w:rPr>
        <w:t xml:space="preserve">, </w:t>
      </w:r>
      <w:r w:rsidR="00BC4BFF">
        <w:rPr>
          <w:rFonts w:hint="cs"/>
          <w:b/>
          <w:rtl/>
        </w:rPr>
        <w:t xml:space="preserve">העלאת </w:t>
      </w:r>
      <w:r w:rsidR="0057566B">
        <w:rPr>
          <w:rFonts w:hint="cs"/>
          <w:b/>
          <w:rtl/>
        </w:rPr>
        <w:t xml:space="preserve">תחזית הצריכה </w:t>
      </w:r>
      <w:r w:rsidR="00BC4BFF">
        <w:rPr>
          <w:rFonts w:hint="cs"/>
          <w:b/>
          <w:rtl/>
        </w:rPr>
        <w:t>לשנת</w:t>
      </w:r>
      <w:r w:rsidR="0057566B">
        <w:rPr>
          <w:rFonts w:hint="cs"/>
          <w:b/>
          <w:rtl/>
        </w:rPr>
        <w:t xml:space="preserve"> 2024 (לוח 1)</w:t>
      </w:r>
      <w:r w:rsidR="0003083C">
        <w:rPr>
          <w:rFonts w:hint="cs"/>
          <w:b/>
          <w:rtl/>
        </w:rPr>
        <w:t>.</w:t>
      </w:r>
    </w:p>
    <w:p w14:paraId="7DBB0D38" w14:textId="01B8BDDF" w:rsidR="008B6C2F" w:rsidRDefault="006A162E" w:rsidP="00507A73">
      <w:pPr>
        <w:jc w:val="both"/>
        <w:rPr>
          <w:b/>
          <w:rtl/>
        </w:rPr>
      </w:pPr>
      <w:r w:rsidRPr="00350FB8">
        <w:rPr>
          <w:bCs/>
          <w:rtl/>
        </w:rPr>
        <w:t xml:space="preserve">הריבית צפויה לעמוד על </w:t>
      </w:r>
      <w:r w:rsidR="00350FB8" w:rsidRPr="00350FB8">
        <w:rPr>
          <w:rFonts w:hint="cs"/>
          <w:bCs/>
          <w:rtl/>
        </w:rPr>
        <w:t>3.75</w:t>
      </w:r>
      <w:r w:rsidRPr="00350FB8">
        <w:rPr>
          <w:bCs/>
          <w:rtl/>
        </w:rPr>
        <w:t>%</w:t>
      </w:r>
      <w:r w:rsidR="0034582B">
        <w:rPr>
          <w:rFonts w:hint="cs"/>
          <w:bCs/>
          <w:rtl/>
        </w:rPr>
        <w:t>/4.0%</w:t>
      </w:r>
      <w:r w:rsidRPr="00350FB8">
        <w:rPr>
          <w:bCs/>
          <w:rtl/>
        </w:rPr>
        <w:t xml:space="preserve"> ברבעון ה</w:t>
      </w:r>
      <w:r w:rsidR="00350FB8" w:rsidRPr="00350FB8">
        <w:rPr>
          <w:rFonts w:hint="cs"/>
          <w:bCs/>
          <w:rtl/>
        </w:rPr>
        <w:t>רביעי</w:t>
      </w:r>
      <w:r w:rsidRPr="00350FB8">
        <w:rPr>
          <w:bCs/>
          <w:rtl/>
        </w:rPr>
        <w:t xml:space="preserve"> של 2024</w:t>
      </w:r>
      <w:r>
        <w:rPr>
          <w:b/>
          <w:rtl/>
        </w:rPr>
        <w:t xml:space="preserve"> (לוח 2). רמת הריבית בתקופת התחזית תסייע לייצוב השווקים הפיננסיים ולתמיכה </w:t>
      </w:r>
      <w:proofErr w:type="spellStart"/>
      <w:r>
        <w:rPr>
          <w:b/>
          <w:rtl/>
        </w:rPr>
        <w:t>בביקושים</w:t>
      </w:r>
      <w:proofErr w:type="spellEnd"/>
      <w:r>
        <w:rPr>
          <w:b/>
          <w:rtl/>
        </w:rPr>
        <w:t xml:space="preserve"> המקומיים.</w:t>
      </w:r>
    </w:p>
    <w:p w14:paraId="270691B1" w14:textId="77777777" w:rsidR="008B6C2F" w:rsidRDefault="008B6C2F">
      <w:pPr>
        <w:bidi w:val="0"/>
        <w:spacing w:before="0" w:after="160" w:line="259" w:lineRule="auto"/>
        <w:contextualSpacing w:val="0"/>
        <w:rPr>
          <w:b/>
        </w:rPr>
      </w:pPr>
      <w:r>
        <w:rPr>
          <w:b/>
          <w:rtl/>
        </w:rPr>
        <w:br w:type="page"/>
      </w:r>
    </w:p>
    <w:p w14:paraId="7F17F7CA" w14:textId="77777777" w:rsidR="003B2D4B" w:rsidRPr="00396E2F" w:rsidRDefault="003B2D4B" w:rsidP="00396E2F">
      <w:pPr>
        <w:jc w:val="both"/>
        <w:rPr>
          <w:b/>
          <w:rtl/>
        </w:rPr>
      </w:pPr>
    </w:p>
    <w:tbl>
      <w:tblPr>
        <w:tblStyle w:val="21"/>
        <w:tblpPr w:leftFromText="180" w:rightFromText="180" w:vertAnchor="text" w:horzAnchor="margin" w:tblpY="6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316"/>
        <w:gridCol w:w="2316"/>
        <w:gridCol w:w="2316"/>
      </w:tblGrid>
      <w:tr w:rsidR="006E15ED" w:rsidRPr="003B2D4B" w14:paraId="3069D879" w14:textId="77777777" w:rsidTr="00716916">
        <w:trPr>
          <w:cantSplit/>
          <w:trHeight w:val="283"/>
          <w:tblHeader/>
        </w:trPr>
        <w:tc>
          <w:tcPr>
            <w:tcW w:w="8304" w:type="dxa"/>
            <w:gridSpan w:val="4"/>
            <w:shd w:val="clear" w:color="auto" w:fill="auto"/>
            <w:vAlign w:val="center"/>
          </w:tcPr>
          <w:p w14:paraId="52E7D334" w14:textId="685C3FB8" w:rsidR="006E15ED" w:rsidRPr="003B2D4B" w:rsidRDefault="006E15ED" w:rsidP="00350FB8">
            <w:pPr>
              <w:keepNext/>
              <w:keepLines/>
              <w:spacing w:after="200"/>
              <w:ind w:left="113"/>
              <w:jc w:val="center"/>
              <w:rPr>
                <w:rFonts w:eastAsia="Calibri"/>
                <w:b/>
                <w:bCs/>
                <w:color w:val="4F81BD"/>
                <w:rtl/>
              </w:rPr>
            </w:pPr>
            <w:r w:rsidRPr="003B2D4B">
              <w:rPr>
                <w:rFonts w:eastAsia="Calibri"/>
                <w:b/>
                <w:bCs/>
              </w:rPr>
              <w:br w:type="page"/>
            </w:r>
            <w:r w:rsidRPr="00A26CCB">
              <w:rPr>
                <w:rFonts w:eastAsia="Calibri"/>
                <w:b/>
                <w:bCs/>
                <w:color w:val="4F81BD"/>
                <w:rtl/>
              </w:rPr>
              <w:t xml:space="preserve">לוח </w:t>
            </w:r>
            <w:r w:rsidR="00350FB8">
              <w:rPr>
                <w:rFonts w:eastAsia="Calibri" w:hint="cs"/>
                <w:b/>
                <w:bCs/>
                <w:color w:val="4F81BD"/>
                <w:rtl/>
              </w:rPr>
              <w:t>2</w:t>
            </w:r>
          </w:p>
          <w:p w14:paraId="229E5D31" w14:textId="77777777" w:rsidR="006E15ED" w:rsidRPr="003B2D4B" w:rsidRDefault="006E15ED" w:rsidP="00712048">
            <w:pPr>
              <w:keepNext/>
              <w:keepLines/>
              <w:spacing w:after="200"/>
              <w:ind w:left="113"/>
              <w:jc w:val="center"/>
              <w:rPr>
                <w:rFonts w:eastAsia="Calibri"/>
                <w:color w:val="4F81BD"/>
                <w:rtl/>
              </w:rPr>
            </w:pPr>
            <w:r w:rsidRPr="003B2D4B">
              <w:rPr>
                <w:rFonts w:eastAsia="Calibri"/>
                <w:b/>
                <w:bCs/>
                <w:color w:val="4F81BD"/>
                <w:rtl/>
              </w:rPr>
              <w:t>התחזיות לגבי האינפלציה במהלך השנה הקרובה ולגבי הריבית בעוד שנה</w:t>
            </w:r>
            <w:r w:rsidRPr="003B2D4B">
              <w:rPr>
                <w:rFonts w:eastAsia="Calibri"/>
                <w:b/>
                <w:bCs/>
                <w:color w:val="4F81BD"/>
              </w:rPr>
              <w:t xml:space="preserve"> </w:t>
            </w:r>
            <w:r w:rsidRPr="003B2D4B">
              <w:rPr>
                <w:rFonts w:eastAsia="Calibri"/>
                <w:color w:val="4F81BD"/>
                <w:rtl/>
              </w:rPr>
              <w:t>(אחוזים)</w:t>
            </w:r>
          </w:p>
        </w:tc>
      </w:tr>
      <w:tr w:rsidR="006E15ED" w:rsidRPr="003B2D4B" w14:paraId="2C125BB4" w14:textId="77777777" w:rsidTr="00716916">
        <w:trPr>
          <w:cantSplit/>
          <w:trHeight w:val="283"/>
          <w:tblHeader/>
        </w:trPr>
        <w:tc>
          <w:tcPr>
            <w:tcW w:w="0" w:type="auto"/>
            <w:tcBorders>
              <w:bottom w:val="single" w:sz="4" w:space="0" w:color="auto"/>
            </w:tcBorders>
            <w:shd w:val="clear" w:color="auto" w:fill="auto"/>
            <w:vAlign w:val="center"/>
          </w:tcPr>
          <w:p w14:paraId="67A27238" w14:textId="77777777" w:rsidR="006E15ED" w:rsidRPr="003B2D4B" w:rsidRDefault="006E15ED" w:rsidP="00712048">
            <w:pPr>
              <w:keepNext/>
              <w:keepLines/>
              <w:spacing w:after="120"/>
              <w:ind w:left="113"/>
              <w:jc w:val="center"/>
              <w:rPr>
                <w:rFonts w:eastAsia="Calibri"/>
                <w:highlight w:val="yellow"/>
                <w:rtl/>
              </w:rPr>
            </w:pPr>
          </w:p>
        </w:tc>
        <w:tc>
          <w:tcPr>
            <w:tcW w:w="2316" w:type="dxa"/>
            <w:tcBorders>
              <w:bottom w:val="single" w:sz="4" w:space="0" w:color="auto"/>
            </w:tcBorders>
            <w:shd w:val="clear" w:color="auto" w:fill="auto"/>
            <w:vAlign w:val="center"/>
          </w:tcPr>
          <w:p w14:paraId="5E04CD7F" w14:textId="77777777" w:rsidR="006E15ED" w:rsidRPr="003B2D4B" w:rsidRDefault="006E15ED" w:rsidP="00712048">
            <w:pPr>
              <w:keepNext/>
              <w:keepLines/>
              <w:spacing w:after="120"/>
              <w:ind w:left="113"/>
              <w:jc w:val="center"/>
              <w:rPr>
                <w:rFonts w:eastAsia="Calibri"/>
                <w:rtl/>
              </w:rPr>
            </w:pPr>
            <w:r w:rsidRPr="003B2D4B">
              <w:rPr>
                <w:rFonts w:eastAsia="Calibri"/>
                <w:rtl/>
              </w:rPr>
              <w:t>חטיבת המחקר של בנק ישראל</w:t>
            </w:r>
          </w:p>
        </w:tc>
        <w:tc>
          <w:tcPr>
            <w:tcW w:w="2316" w:type="dxa"/>
            <w:tcBorders>
              <w:bottom w:val="single" w:sz="4" w:space="0" w:color="auto"/>
            </w:tcBorders>
            <w:shd w:val="clear" w:color="auto" w:fill="auto"/>
            <w:vAlign w:val="center"/>
          </w:tcPr>
          <w:p w14:paraId="794C6457" w14:textId="77777777" w:rsidR="006E15ED" w:rsidRPr="003B2D4B" w:rsidRDefault="006E15ED" w:rsidP="00712048">
            <w:pPr>
              <w:keepNext/>
              <w:keepLines/>
              <w:spacing w:after="120"/>
              <w:ind w:left="113"/>
              <w:jc w:val="center"/>
              <w:rPr>
                <w:rFonts w:eastAsia="Calibri"/>
                <w:rtl/>
              </w:rPr>
            </w:pPr>
            <w:r w:rsidRPr="003B2D4B">
              <w:rPr>
                <w:rFonts w:eastAsia="Calibri"/>
                <w:rtl/>
              </w:rPr>
              <w:t>שוק ההון</w:t>
            </w:r>
            <w:r w:rsidRPr="003B2D4B">
              <w:rPr>
                <w:rFonts w:eastAsia="Calibri"/>
                <w:vertAlign w:val="superscript"/>
                <w:rtl/>
              </w:rPr>
              <w:t>1</w:t>
            </w:r>
          </w:p>
        </w:tc>
        <w:tc>
          <w:tcPr>
            <w:tcW w:w="2316" w:type="dxa"/>
            <w:tcBorders>
              <w:bottom w:val="single" w:sz="4" w:space="0" w:color="auto"/>
            </w:tcBorders>
            <w:shd w:val="clear" w:color="auto" w:fill="auto"/>
            <w:vAlign w:val="center"/>
          </w:tcPr>
          <w:p w14:paraId="02B24A55" w14:textId="77777777" w:rsidR="006E15ED" w:rsidRPr="003B2D4B" w:rsidRDefault="006E15ED" w:rsidP="00712048">
            <w:pPr>
              <w:keepNext/>
              <w:keepLines/>
              <w:spacing w:after="120"/>
              <w:ind w:left="113"/>
              <w:jc w:val="center"/>
              <w:rPr>
                <w:rFonts w:eastAsia="Calibri"/>
                <w:vertAlign w:val="superscript"/>
                <w:rtl/>
              </w:rPr>
            </w:pPr>
            <w:r w:rsidRPr="003B2D4B">
              <w:rPr>
                <w:rFonts w:eastAsia="Calibri"/>
                <w:rtl/>
              </w:rPr>
              <w:t>החזאים הפרטיים</w:t>
            </w:r>
            <w:r w:rsidRPr="003B2D4B">
              <w:rPr>
                <w:rFonts w:eastAsia="Calibri"/>
                <w:vertAlign w:val="superscript"/>
                <w:rtl/>
              </w:rPr>
              <w:t>2</w:t>
            </w:r>
          </w:p>
          <w:p w14:paraId="0CDA4193" w14:textId="77777777" w:rsidR="006E15ED" w:rsidRPr="003B2D4B" w:rsidRDefault="006E15ED" w:rsidP="00712048">
            <w:pPr>
              <w:keepNext/>
              <w:keepLines/>
              <w:spacing w:after="120"/>
              <w:ind w:left="113"/>
              <w:jc w:val="center"/>
              <w:rPr>
                <w:rFonts w:eastAsia="Calibri"/>
                <w:rtl/>
              </w:rPr>
            </w:pPr>
            <w:r w:rsidRPr="003B2D4B">
              <w:rPr>
                <w:rFonts w:eastAsia="Calibri"/>
                <w:rtl/>
              </w:rPr>
              <w:t>(טווח התחזיות)</w:t>
            </w:r>
            <w:r w:rsidRPr="003B2D4B">
              <w:rPr>
                <w:rFonts w:eastAsia="Calibri" w:hint="cs"/>
                <w:vertAlign w:val="superscript"/>
                <w:rtl/>
              </w:rPr>
              <w:t xml:space="preserve"> </w:t>
            </w:r>
          </w:p>
        </w:tc>
      </w:tr>
      <w:tr w:rsidR="006E15ED" w:rsidRPr="003B2D4B" w14:paraId="168260FA" w14:textId="77777777" w:rsidTr="00716916">
        <w:trPr>
          <w:cantSplit/>
          <w:trHeight w:val="283"/>
        </w:trPr>
        <w:tc>
          <w:tcPr>
            <w:tcW w:w="0" w:type="auto"/>
            <w:tcBorders>
              <w:top w:val="single" w:sz="4" w:space="0" w:color="auto"/>
              <w:bottom w:val="single" w:sz="4" w:space="0" w:color="auto"/>
            </w:tcBorders>
            <w:shd w:val="clear" w:color="auto" w:fill="auto"/>
            <w:vAlign w:val="center"/>
          </w:tcPr>
          <w:p w14:paraId="5754D4CF" w14:textId="77777777" w:rsidR="006E15ED" w:rsidRPr="003B2D4B" w:rsidRDefault="006E15ED" w:rsidP="00712048">
            <w:pPr>
              <w:keepNext/>
              <w:keepLines/>
              <w:spacing w:after="120"/>
              <w:ind w:left="113"/>
              <w:jc w:val="both"/>
              <w:rPr>
                <w:rFonts w:eastAsia="Calibri"/>
                <w:rtl/>
              </w:rPr>
            </w:pPr>
            <w:r w:rsidRPr="003B2D4B">
              <w:rPr>
                <w:rFonts w:eastAsia="Calibri"/>
                <w:rtl/>
              </w:rPr>
              <w:t>האינפלציה</w:t>
            </w:r>
            <w:r w:rsidRPr="003B2D4B">
              <w:rPr>
                <w:rFonts w:eastAsia="Calibri"/>
                <w:vertAlign w:val="superscript"/>
                <w:rtl/>
              </w:rPr>
              <w:t>3</w:t>
            </w:r>
            <w:r w:rsidRPr="003B2D4B">
              <w:rPr>
                <w:rFonts w:eastAsia="Calibri"/>
                <w:rtl/>
              </w:rPr>
              <w:t xml:space="preserve"> </w:t>
            </w:r>
          </w:p>
        </w:tc>
        <w:tc>
          <w:tcPr>
            <w:tcW w:w="2316" w:type="dxa"/>
            <w:tcBorders>
              <w:top w:val="single" w:sz="4" w:space="0" w:color="auto"/>
              <w:bottom w:val="single" w:sz="4" w:space="0" w:color="auto"/>
            </w:tcBorders>
            <w:shd w:val="clear" w:color="auto" w:fill="auto"/>
            <w:vAlign w:val="center"/>
          </w:tcPr>
          <w:p w14:paraId="6C74DE47" w14:textId="77777777" w:rsidR="006E15ED" w:rsidRPr="0030255D" w:rsidRDefault="006E15ED" w:rsidP="006E15ED">
            <w:pPr>
              <w:keepNext/>
              <w:keepLines/>
              <w:spacing w:after="120"/>
              <w:ind w:left="113"/>
              <w:jc w:val="center"/>
              <w:rPr>
                <w:rFonts w:eastAsia="Calibri"/>
                <w:rtl/>
              </w:rPr>
            </w:pPr>
            <w:r>
              <w:rPr>
                <w:rFonts w:eastAsia="Calibri" w:hint="cs"/>
                <w:rtl/>
              </w:rPr>
              <w:t>2.4</w:t>
            </w:r>
          </w:p>
        </w:tc>
        <w:tc>
          <w:tcPr>
            <w:tcW w:w="2316" w:type="dxa"/>
            <w:tcBorders>
              <w:top w:val="single" w:sz="4" w:space="0" w:color="auto"/>
              <w:bottom w:val="single" w:sz="4" w:space="0" w:color="auto"/>
            </w:tcBorders>
            <w:shd w:val="clear" w:color="auto" w:fill="auto"/>
            <w:vAlign w:val="center"/>
          </w:tcPr>
          <w:p w14:paraId="5A80407A" w14:textId="7F9753F1" w:rsidR="006E15ED" w:rsidRPr="003B2D4B" w:rsidRDefault="006E15ED" w:rsidP="00FD51E1">
            <w:pPr>
              <w:keepNext/>
              <w:keepLines/>
              <w:spacing w:after="120"/>
              <w:ind w:left="113"/>
              <w:jc w:val="center"/>
              <w:rPr>
                <w:rFonts w:eastAsia="Calibri"/>
              </w:rPr>
            </w:pPr>
            <w:r>
              <w:rPr>
                <w:rFonts w:eastAsia="Calibri" w:hint="cs"/>
                <w:rtl/>
              </w:rPr>
              <w:t>2.</w:t>
            </w:r>
            <w:r w:rsidR="00FD51E1">
              <w:rPr>
                <w:rFonts w:eastAsia="Calibri" w:hint="cs"/>
                <w:rtl/>
              </w:rPr>
              <w:t>8</w:t>
            </w:r>
          </w:p>
        </w:tc>
        <w:tc>
          <w:tcPr>
            <w:tcW w:w="2316" w:type="dxa"/>
            <w:tcBorders>
              <w:top w:val="single" w:sz="4" w:space="0" w:color="auto"/>
              <w:bottom w:val="single" w:sz="4" w:space="0" w:color="auto"/>
            </w:tcBorders>
            <w:shd w:val="clear" w:color="auto" w:fill="auto"/>
            <w:vAlign w:val="center"/>
          </w:tcPr>
          <w:p w14:paraId="05367DBD" w14:textId="4E631C5E" w:rsidR="006E15ED" w:rsidRPr="00913512" w:rsidRDefault="006E15ED" w:rsidP="00FD51E1">
            <w:pPr>
              <w:keepNext/>
              <w:keepLines/>
              <w:spacing w:after="120"/>
              <w:ind w:left="113"/>
              <w:jc w:val="center"/>
              <w:rPr>
                <w:rFonts w:eastAsia="Calibri"/>
                <w:rtl/>
              </w:rPr>
            </w:pPr>
            <w:r w:rsidRPr="00913512">
              <w:rPr>
                <w:rFonts w:eastAsia="Calibri" w:hint="cs"/>
                <w:rtl/>
              </w:rPr>
              <w:t>2.</w:t>
            </w:r>
            <w:r w:rsidR="00FD51E1">
              <w:rPr>
                <w:rFonts w:eastAsia="Calibri" w:hint="cs"/>
                <w:rtl/>
              </w:rPr>
              <w:t>3</w:t>
            </w:r>
            <w:r w:rsidRPr="00913512">
              <w:rPr>
                <w:rFonts w:eastAsia="Calibri"/>
                <w:rtl/>
              </w:rPr>
              <w:t xml:space="preserve"> (</w:t>
            </w:r>
            <w:r w:rsidR="00FD51E1">
              <w:rPr>
                <w:rFonts w:eastAsia="Calibri" w:hint="cs"/>
                <w:rtl/>
              </w:rPr>
              <w:t>1.9</w:t>
            </w:r>
            <w:r w:rsidRPr="00913512">
              <w:rPr>
                <w:rFonts w:eastAsia="Calibri"/>
                <w:rtl/>
              </w:rPr>
              <w:t>—</w:t>
            </w:r>
            <w:r>
              <w:rPr>
                <w:rFonts w:eastAsia="Calibri" w:hint="cs"/>
                <w:rtl/>
              </w:rPr>
              <w:t>2.</w:t>
            </w:r>
            <w:r w:rsidR="00FD51E1">
              <w:rPr>
                <w:rFonts w:eastAsia="Calibri" w:hint="cs"/>
                <w:rtl/>
              </w:rPr>
              <w:t>6</w:t>
            </w:r>
            <w:r w:rsidRPr="00913512">
              <w:rPr>
                <w:rFonts w:eastAsia="Calibri"/>
                <w:rtl/>
              </w:rPr>
              <w:t>)</w:t>
            </w:r>
          </w:p>
        </w:tc>
      </w:tr>
      <w:tr w:rsidR="006E15ED" w:rsidRPr="003B2D4B" w14:paraId="77080708" w14:textId="77777777" w:rsidTr="00716916">
        <w:trPr>
          <w:cantSplit/>
          <w:trHeight w:val="283"/>
        </w:trPr>
        <w:tc>
          <w:tcPr>
            <w:tcW w:w="0" w:type="auto"/>
            <w:tcBorders>
              <w:top w:val="single" w:sz="4" w:space="0" w:color="auto"/>
              <w:bottom w:val="single" w:sz="4" w:space="0" w:color="auto"/>
            </w:tcBorders>
            <w:shd w:val="clear" w:color="auto" w:fill="auto"/>
            <w:vAlign w:val="center"/>
          </w:tcPr>
          <w:p w14:paraId="22CF1BD5" w14:textId="77777777" w:rsidR="006E15ED" w:rsidRPr="003B2D4B" w:rsidRDefault="006E15ED" w:rsidP="00712048">
            <w:pPr>
              <w:keepNext/>
              <w:keepLines/>
              <w:spacing w:after="120"/>
              <w:ind w:left="113"/>
              <w:jc w:val="both"/>
              <w:rPr>
                <w:rFonts w:eastAsia="Calibri"/>
                <w:vertAlign w:val="superscript"/>
                <w:rtl/>
              </w:rPr>
            </w:pPr>
            <w:r w:rsidRPr="003B2D4B">
              <w:rPr>
                <w:rFonts w:eastAsia="Calibri"/>
                <w:rtl/>
              </w:rPr>
              <w:t>הריבית</w:t>
            </w:r>
            <w:r w:rsidRPr="003B2D4B">
              <w:rPr>
                <w:rFonts w:eastAsia="Calibri"/>
                <w:vertAlign w:val="superscript"/>
                <w:rtl/>
              </w:rPr>
              <w:t>4</w:t>
            </w:r>
          </w:p>
        </w:tc>
        <w:tc>
          <w:tcPr>
            <w:tcW w:w="2316" w:type="dxa"/>
            <w:tcBorders>
              <w:top w:val="single" w:sz="4" w:space="0" w:color="auto"/>
              <w:bottom w:val="single" w:sz="4" w:space="0" w:color="auto"/>
            </w:tcBorders>
            <w:shd w:val="clear" w:color="auto" w:fill="auto"/>
            <w:vAlign w:val="center"/>
          </w:tcPr>
          <w:p w14:paraId="7E6B7904" w14:textId="585C92B1" w:rsidR="006E15ED" w:rsidRPr="0030255D" w:rsidRDefault="006E15ED" w:rsidP="00FD51E1">
            <w:pPr>
              <w:keepNext/>
              <w:keepLines/>
              <w:spacing w:after="120"/>
              <w:ind w:left="113"/>
              <w:jc w:val="center"/>
              <w:rPr>
                <w:rFonts w:eastAsia="Calibri"/>
                <w:rtl/>
              </w:rPr>
            </w:pPr>
            <w:r>
              <w:rPr>
                <w:rFonts w:eastAsia="Calibri" w:hint="cs"/>
                <w:rtl/>
              </w:rPr>
              <w:t>3.75</w:t>
            </w:r>
            <w:r w:rsidR="00844EEE">
              <w:rPr>
                <w:rFonts w:eastAsia="Calibri" w:hint="cs"/>
                <w:rtl/>
              </w:rPr>
              <w:t>/4.00</w:t>
            </w:r>
          </w:p>
        </w:tc>
        <w:tc>
          <w:tcPr>
            <w:tcW w:w="2316" w:type="dxa"/>
            <w:tcBorders>
              <w:top w:val="single" w:sz="4" w:space="0" w:color="auto"/>
              <w:bottom w:val="single" w:sz="4" w:space="0" w:color="auto"/>
            </w:tcBorders>
            <w:shd w:val="clear" w:color="auto" w:fill="auto"/>
            <w:vAlign w:val="center"/>
          </w:tcPr>
          <w:p w14:paraId="7C0E88F5" w14:textId="0DF9B3AF" w:rsidR="006E15ED" w:rsidRPr="003B2D4B" w:rsidRDefault="006E15ED" w:rsidP="00FD51E1">
            <w:pPr>
              <w:keepNext/>
              <w:keepLines/>
              <w:spacing w:after="120"/>
              <w:ind w:left="113"/>
              <w:jc w:val="center"/>
              <w:rPr>
                <w:rFonts w:eastAsia="Calibri"/>
              </w:rPr>
            </w:pPr>
            <w:r>
              <w:rPr>
                <w:rFonts w:eastAsia="Calibri" w:hint="cs"/>
                <w:rtl/>
              </w:rPr>
              <w:t>3.</w:t>
            </w:r>
            <w:r w:rsidR="009D267E">
              <w:rPr>
                <w:rFonts w:eastAsia="Calibri" w:hint="cs"/>
                <w:rtl/>
              </w:rPr>
              <w:t>4</w:t>
            </w:r>
          </w:p>
        </w:tc>
        <w:tc>
          <w:tcPr>
            <w:tcW w:w="2316" w:type="dxa"/>
            <w:tcBorders>
              <w:top w:val="single" w:sz="4" w:space="0" w:color="auto"/>
              <w:bottom w:val="single" w:sz="4" w:space="0" w:color="auto"/>
            </w:tcBorders>
            <w:shd w:val="clear" w:color="auto" w:fill="auto"/>
            <w:vAlign w:val="center"/>
          </w:tcPr>
          <w:p w14:paraId="54A91E9B" w14:textId="74E81EE0" w:rsidR="006E15ED" w:rsidRPr="00913512" w:rsidRDefault="006E15ED" w:rsidP="00FD51E1">
            <w:pPr>
              <w:keepNext/>
              <w:keepLines/>
              <w:spacing w:after="120"/>
              <w:ind w:left="113"/>
              <w:jc w:val="center"/>
              <w:rPr>
                <w:rFonts w:eastAsia="Calibri"/>
                <w:rtl/>
              </w:rPr>
            </w:pPr>
            <w:r>
              <w:rPr>
                <w:rFonts w:eastAsia="Calibri" w:hint="cs"/>
                <w:rtl/>
              </w:rPr>
              <w:t>3.6</w:t>
            </w:r>
            <w:r w:rsidRPr="00913512">
              <w:rPr>
                <w:rFonts w:eastAsia="Calibri"/>
                <w:rtl/>
              </w:rPr>
              <w:t xml:space="preserve"> (</w:t>
            </w:r>
            <w:r>
              <w:rPr>
                <w:rFonts w:eastAsia="Calibri" w:hint="cs"/>
                <w:rtl/>
              </w:rPr>
              <w:t>3.0</w:t>
            </w:r>
            <w:r w:rsidRPr="00913512">
              <w:rPr>
                <w:rFonts w:eastAsia="Calibri"/>
                <w:rtl/>
              </w:rPr>
              <w:t>—</w:t>
            </w:r>
            <w:r w:rsidRPr="00913512">
              <w:rPr>
                <w:rFonts w:eastAsia="Calibri" w:hint="cs"/>
                <w:rtl/>
              </w:rPr>
              <w:t>4.</w:t>
            </w:r>
            <w:r>
              <w:rPr>
                <w:rFonts w:eastAsia="Calibri" w:hint="cs"/>
                <w:rtl/>
              </w:rPr>
              <w:t>0</w:t>
            </w:r>
            <w:r w:rsidRPr="00913512">
              <w:rPr>
                <w:rFonts w:eastAsia="Calibri"/>
                <w:rtl/>
              </w:rPr>
              <w:t>)</w:t>
            </w:r>
          </w:p>
        </w:tc>
      </w:tr>
      <w:tr w:rsidR="006E15ED" w:rsidRPr="003B2D4B" w14:paraId="43CA1F43" w14:textId="77777777" w:rsidTr="00716916">
        <w:trPr>
          <w:cantSplit/>
          <w:trHeight w:val="283"/>
        </w:trPr>
        <w:tc>
          <w:tcPr>
            <w:tcW w:w="8304" w:type="dxa"/>
            <w:gridSpan w:val="4"/>
            <w:tcBorders>
              <w:top w:val="single" w:sz="4" w:space="0" w:color="auto"/>
            </w:tcBorders>
            <w:shd w:val="clear" w:color="auto" w:fill="auto"/>
            <w:vAlign w:val="center"/>
          </w:tcPr>
          <w:p w14:paraId="0A02BF3C" w14:textId="2BD89318" w:rsidR="006E15ED" w:rsidRPr="003543AE" w:rsidRDefault="006E15ED" w:rsidP="00A865DF">
            <w:pPr>
              <w:keepNext/>
              <w:keepLines/>
              <w:numPr>
                <w:ilvl w:val="0"/>
                <w:numId w:val="12"/>
              </w:numPr>
              <w:spacing w:line="240" w:lineRule="auto"/>
              <w:ind w:left="426" w:hanging="284"/>
              <w:jc w:val="both"/>
              <w:rPr>
                <w:rFonts w:eastAsia="Calibri"/>
                <w:sz w:val="18"/>
                <w:szCs w:val="18"/>
              </w:rPr>
            </w:pPr>
            <w:r w:rsidRPr="003B2D4B">
              <w:rPr>
                <w:rFonts w:eastAsia="Calibri"/>
                <w:sz w:val="18"/>
                <w:szCs w:val="18"/>
                <w:rtl/>
              </w:rPr>
              <w:t xml:space="preserve">ציפיות האינפלציה מנוכות </w:t>
            </w:r>
            <w:r w:rsidRPr="00F7196D">
              <w:rPr>
                <w:rFonts w:eastAsia="Calibri"/>
                <w:sz w:val="18"/>
                <w:szCs w:val="18"/>
                <w:rtl/>
              </w:rPr>
              <w:t>עונתיות (</w:t>
            </w:r>
            <w:r w:rsidRPr="00F7196D">
              <w:rPr>
                <w:rFonts w:eastAsia="Calibri" w:hint="cs"/>
                <w:sz w:val="18"/>
                <w:szCs w:val="18"/>
                <w:rtl/>
              </w:rPr>
              <w:t xml:space="preserve">נכון לנתוני </w:t>
            </w:r>
            <w:r w:rsidRPr="003543AE">
              <w:rPr>
                <w:rFonts w:eastAsia="Calibri" w:hint="cs"/>
                <w:sz w:val="18"/>
                <w:szCs w:val="18"/>
                <w:rtl/>
              </w:rPr>
              <w:t>ה-</w:t>
            </w:r>
            <w:r w:rsidR="00FD51E1" w:rsidRPr="003543AE">
              <w:rPr>
                <w:rFonts w:eastAsia="Calibri" w:hint="cs"/>
                <w:sz w:val="18"/>
                <w:szCs w:val="18"/>
                <w:rtl/>
              </w:rPr>
              <w:t>31/12</w:t>
            </w:r>
            <w:r w:rsidRPr="003543AE">
              <w:rPr>
                <w:rFonts w:eastAsia="Calibri" w:hint="cs"/>
                <w:sz w:val="18"/>
                <w:szCs w:val="18"/>
                <w:rtl/>
              </w:rPr>
              <w:t>/2023</w:t>
            </w:r>
            <w:r w:rsidRPr="003543AE">
              <w:rPr>
                <w:rFonts w:eastAsia="Calibri"/>
                <w:sz w:val="18"/>
                <w:szCs w:val="18"/>
                <w:rtl/>
              </w:rPr>
              <w:t>).</w:t>
            </w:r>
          </w:p>
          <w:p w14:paraId="266F280E" w14:textId="65CB8B0B" w:rsidR="006E15ED" w:rsidRPr="00F7196D" w:rsidRDefault="006E15ED" w:rsidP="00FD51E1">
            <w:pPr>
              <w:keepNext/>
              <w:keepLines/>
              <w:numPr>
                <w:ilvl w:val="0"/>
                <w:numId w:val="12"/>
              </w:numPr>
              <w:spacing w:line="240" w:lineRule="auto"/>
              <w:ind w:left="426" w:hanging="284"/>
              <w:jc w:val="both"/>
              <w:rPr>
                <w:rFonts w:eastAsia="Calibri"/>
                <w:sz w:val="18"/>
                <w:szCs w:val="18"/>
              </w:rPr>
            </w:pPr>
            <w:r w:rsidRPr="00F7196D">
              <w:rPr>
                <w:rFonts w:eastAsia="Calibri"/>
                <w:sz w:val="18"/>
                <w:szCs w:val="18"/>
                <w:rtl/>
              </w:rPr>
              <w:t xml:space="preserve">התחזיות שפורסמו </w:t>
            </w:r>
            <w:r w:rsidRPr="00F7196D">
              <w:rPr>
                <w:rFonts w:eastAsia="Calibri" w:hint="cs"/>
                <w:sz w:val="18"/>
                <w:szCs w:val="18"/>
                <w:rtl/>
              </w:rPr>
              <w:t>לאחר</w:t>
            </w:r>
            <w:r w:rsidRPr="00F7196D">
              <w:rPr>
                <w:rFonts w:eastAsia="Calibri"/>
                <w:sz w:val="18"/>
                <w:szCs w:val="18"/>
                <w:rtl/>
              </w:rPr>
              <w:t xml:space="preserve"> פרסום מדד המחירים לצרכן לחודש </w:t>
            </w:r>
            <w:r w:rsidR="00FD51E1">
              <w:rPr>
                <w:rFonts w:eastAsia="Calibri" w:hint="cs"/>
                <w:sz w:val="18"/>
                <w:szCs w:val="18"/>
                <w:rtl/>
              </w:rPr>
              <w:t>נובמבר</w:t>
            </w:r>
            <w:r w:rsidRPr="00F7196D">
              <w:rPr>
                <w:rFonts w:eastAsia="Calibri" w:hint="cs"/>
                <w:sz w:val="18"/>
                <w:szCs w:val="18"/>
                <w:rtl/>
              </w:rPr>
              <w:t xml:space="preserve"> 2023.</w:t>
            </w:r>
          </w:p>
          <w:p w14:paraId="116070F6" w14:textId="77777777" w:rsidR="006E15ED" w:rsidRPr="00C437C9" w:rsidRDefault="006E15ED" w:rsidP="006E15ED">
            <w:pPr>
              <w:keepNext/>
              <w:keepLines/>
              <w:numPr>
                <w:ilvl w:val="0"/>
                <w:numId w:val="12"/>
              </w:numPr>
              <w:spacing w:line="240" w:lineRule="auto"/>
              <w:ind w:left="426" w:hanging="284"/>
              <w:jc w:val="both"/>
              <w:rPr>
                <w:rFonts w:eastAsia="Calibri"/>
                <w:sz w:val="18"/>
                <w:szCs w:val="18"/>
              </w:rPr>
            </w:pPr>
            <w:r w:rsidRPr="00F7196D">
              <w:rPr>
                <w:rFonts w:eastAsia="Calibri"/>
                <w:sz w:val="18"/>
                <w:szCs w:val="18"/>
                <w:rtl/>
              </w:rPr>
              <w:t xml:space="preserve">חטיבת המחקר – בארבעת הרבעונים </w:t>
            </w:r>
            <w:r w:rsidRPr="00C437C9">
              <w:rPr>
                <w:rFonts w:eastAsia="Calibri"/>
                <w:sz w:val="18"/>
                <w:szCs w:val="18"/>
                <w:rtl/>
              </w:rPr>
              <w:t xml:space="preserve">המסתיימים ברבעון </w:t>
            </w:r>
            <w:r w:rsidRPr="00716916">
              <w:rPr>
                <w:rFonts w:eastAsia="Calibri" w:hint="eastAsia"/>
                <w:sz w:val="18"/>
                <w:szCs w:val="18"/>
                <w:rtl/>
              </w:rPr>
              <w:t>הרביעי</w:t>
            </w:r>
            <w:r w:rsidRPr="00716916">
              <w:rPr>
                <w:rFonts w:eastAsia="Calibri"/>
                <w:sz w:val="18"/>
                <w:szCs w:val="18"/>
                <w:rtl/>
              </w:rPr>
              <w:t xml:space="preserve"> </w:t>
            </w:r>
            <w:r w:rsidRPr="00C437C9">
              <w:rPr>
                <w:rFonts w:eastAsia="Calibri"/>
                <w:sz w:val="18"/>
                <w:szCs w:val="18"/>
                <w:rtl/>
              </w:rPr>
              <w:t xml:space="preserve">של </w:t>
            </w:r>
            <w:r w:rsidRPr="00C437C9">
              <w:rPr>
                <w:rFonts w:eastAsia="Calibri" w:hint="cs"/>
                <w:sz w:val="18"/>
                <w:szCs w:val="18"/>
                <w:rtl/>
              </w:rPr>
              <w:t>2024</w:t>
            </w:r>
            <w:r w:rsidRPr="00C437C9">
              <w:rPr>
                <w:rFonts w:eastAsia="Calibri"/>
                <w:sz w:val="18"/>
                <w:szCs w:val="18"/>
                <w:rtl/>
              </w:rPr>
              <w:t>.</w:t>
            </w:r>
          </w:p>
          <w:p w14:paraId="3BDA58F8" w14:textId="6655C4B6" w:rsidR="006E15ED" w:rsidRPr="00F7196D" w:rsidRDefault="006E15ED" w:rsidP="00DD3AEC">
            <w:pPr>
              <w:keepNext/>
              <w:keepLines/>
              <w:numPr>
                <w:ilvl w:val="0"/>
                <w:numId w:val="12"/>
              </w:numPr>
              <w:spacing w:line="240" w:lineRule="auto"/>
              <w:ind w:left="426" w:hanging="284"/>
              <w:jc w:val="both"/>
              <w:rPr>
                <w:rFonts w:eastAsia="Calibri"/>
                <w:sz w:val="18"/>
                <w:szCs w:val="18"/>
              </w:rPr>
            </w:pPr>
            <w:r w:rsidRPr="00C437C9">
              <w:rPr>
                <w:rFonts w:eastAsia="Calibri"/>
                <w:sz w:val="18"/>
                <w:szCs w:val="18"/>
                <w:rtl/>
              </w:rPr>
              <w:t xml:space="preserve">חטיבת המחקר – הריבית הממוצעת ברבעון </w:t>
            </w:r>
            <w:r w:rsidRPr="00716916">
              <w:rPr>
                <w:rFonts w:eastAsia="Calibri" w:hint="eastAsia"/>
                <w:sz w:val="18"/>
                <w:szCs w:val="18"/>
                <w:rtl/>
              </w:rPr>
              <w:t>הרביעי</w:t>
            </w:r>
            <w:r w:rsidRPr="00716916">
              <w:rPr>
                <w:rFonts w:eastAsia="Calibri"/>
                <w:sz w:val="18"/>
                <w:szCs w:val="18"/>
                <w:rtl/>
              </w:rPr>
              <w:t xml:space="preserve"> </w:t>
            </w:r>
            <w:r w:rsidRPr="00C437C9">
              <w:rPr>
                <w:rFonts w:eastAsia="Calibri"/>
                <w:sz w:val="18"/>
                <w:szCs w:val="18"/>
                <w:rtl/>
              </w:rPr>
              <w:t xml:space="preserve">של </w:t>
            </w:r>
            <w:r w:rsidRPr="00F7196D">
              <w:rPr>
                <w:rFonts w:eastAsia="Calibri" w:hint="cs"/>
                <w:sz w:val="18"/>
                <w:szCs w:val="18"/>
                <w:rtl/>
              </w:rPr>
              <w:t>2024</w:t>
            </w:r>
            <w:r w:rsidRPr="00F7196D">
              <w:rPr>
                <w:rFonts w:eastAsia="Calibri"/>
                <w:sz w:val="18"/>
                <w:szCs w:val="18"/>
                <w:rtl/>
              </w:rPr>
              <w:t xml:space="preserve">. הציפיות משוק ההון מבוססות על שוק </w:t>
            </w:r>
            <w:proofErr w:type="spellStart"/>
            <w:r w:rsidRPr="00F7196D">
              <w:rPr>
                <w:rFonts w:eastAsia="Calibri"/>
                <w:sz w:val="18"/>
                <w:szCs w:val="18"/>
                <w:rtl/>
              </w:rPr>
              <w:t>התלבור</w:t>
            </w:r>
            <w:proofErr w:type="spellEnd"/>
            <w:r w:rsidRPr="00F7196D">
              <w:rPr>
                <w:rFonts w:eastAsia="Calibri"/>
                <w:sz w:val="18"/>
                <w:szCs w:val="18"/>
                <w:rtl/>
              </w:rPr>
              <w:t xml:space="preserve"> (</w:t>
            </w:r>
            <w:r w:rsidRPr="00F7196D">
              <w:rPr>
                <w:rFonts w:eastAsia="Calibri" w:hint="cs"/>
                <w:sz w:val="18"/>
                <w:szCs w:val="18"/>
                <w:rtl/>
              </w:rPr>
              <w:t>נכון לנתוני ה-</w:t>
            </w:r>
            <w:r w:rsidR="00DD3AEC">
              <w:rPr>
                <w:rFonts w:eastAsia="Calibri" w:hint="cs"/>
                <w:sz w:val="18"/>
                <w:szCs w:val="18"/>
                <w:rtl/>
              </w:rPr>
              <w:t>31</w:t>
            </w:r>
            <w:r w:rsidRPr="00F7196D">
              <w:rPr>
                <w:rFonts w:eastAsia="Calibri" w:hint="cs"/>
                <w:sz w:val="18"/>
                <w:szCs w:val="18"/>
                <w:rtl/>
              </w:rPr>
              <w:t>/</w:t>
            </w:r>
            <w:r>
              <w:rPr>
                <w:rFonts w:eastAsia="Calibri" w:hint="cs"/>
                <w:sz w:val="18"/>
                <w:szCs w:val="18"/>
                <w:rtl/>
              </w:rPr>
              <w:t>1</w:t>
            </w:r>
            <w:r w:rsidR="00FD51E1">
              <w:rPr>
                <w:rFonts w:eastAsia="Calibri" w:hint="cs"/>
                <w:sz w:val="18"/>
                <w:szCs w:val="18"/>
                <w:rtl/>
              </w:rPr>
              <w:t>2</w:t>
            </w:r>
            <w:r w:rsidRPr="00F7196D">
              <w:rPr>
                <w:rFonts w:eastAsia="Calibri" w:hint="cs"/>
                <w:sz w:val="18"/>
                <w:szCs w:val="18"/>
                <w:rtl/>
              </w:rPr>
              <w:t>/2023</w:t>
            </w:r>
            <w:r w:rsidRPr="00F7196D">
              <w:rPr>
                <w:rFonts w:eastAsia="Calibri"/>
                <w:sz w:val="18"/>
                <w:szCs w:val="18"/>
                <w:rtl/>
              </w:rPr>
              <w:t>).</w:t>
            </w:r>
          </w:p>
          <w:p w14:paraId="4294067F" w14:textId="77777777" w:rsidR="006E15ED" w:rsidRPr="003B2D4B" w:rsidRDefault="006E15ED" w:rsidP="00712048">
            <w:pPr>
              <w:keepNext/>
              <w:keepLines/>
              <w:spacing w:after="120"/>
              <w:ind w:left="423"/>
              <w:jc w:val="both"/>
              <w:rPr>
                <w:rFonts w:eastAsia="Calibri"/>
                <w:sz w:val="18"/>
                <w:szCs w:val="18"/>
                <w:highlight w:val="yellow"/>
                <w:rtl/>
              </w:rPr>
            </w:pPr>
            <w:r w:rsidRPr="00F7196D">
              <w:rPr>
                <w:rFonts w:eastAsia="Calibri"/>
                <w:sz w:val="18"/>
                <w:szCs w:val="18"/>
                <w:rtl/>
              </w:rPr>
              <w:t xml:space="preserve"> המקור: בנק ישראל.</w:t>
            </w:r>
          </w:p>
        </w:tc>
      </w:tr>
    </w:tbl>
    <w:p w14:paraId="3A29C676" w14:textId="77777777" w:rsidR="00FD51E1" w:rsidRDefault="00FD51E1" w:rsidP="006A162E">
      <w:pPr>
        <w:jc w:val="both"/>
        <w:rPr>
          <w:b/>
          <w:rtl/>
        </w:rPr>
      </w:pPr>
    </w:p>
    <w:p w14:paraId="45A27209" w14:textId="60C416A4" w:rsidR="006A162E" w:rsidRDefault="006A162E" w:rsidP="00BA373C">
      <w:pPr>
        <w:jc w:val="both"/>
        <w:rPr>
          <w:b/>
          <w:rtl/>
        </w:rPr>
      </w:pPr>
      <w:r>
        <w:rPr>
          <w:b/>
          <w:rtl/>
        </w:rPr>
        <w:t xml:space="preserve">מלוח </w:t>
      </w:r>
      <w:r w:rsidR="00350FB8">
        <w:rPr>
          <w:rFonts w:hint="cs"/>
          <w:b/>
          <w:rtl/>
        </w:rPr>
        <w:t>2</w:t>
      </w:r>
      <w:r>
        <w:rPr>
          <w:b/>
          <w:rtl/>
        </w:rPr>
        <w:t xml:space="preserve"> עולה כי תחזית החטיבה</w:t>
      </w:r>
      <w:r w:rsidR="00E701D5">
        <w:rPr>
          <w:rFonts w:hint="cs"/>
          <w:b/>
          <w:rtl/>
        </w:rPr>
        <w:t xml:space="preserve"> </w:t>
      </w:r>
      <w:r w:rsidR="00E701D5">
        <w:rPr>
          <w:b/>
          <w:rtl/>
        </w:rPr>
        <w:t xml:space="preserve">לריבית גבוהה </w:t>
      </w:r>
      <w:r w:rsidR="00BC4BFF">
        <w:rPr>
          <w:rFonts w:hint="cs"/>
          <w:b/>
          <w:rtl/>
        </w:rPr>
        <w:t>מ</w:t>
      </w:r>
      <w:r w:rsidR="00E701D5">
        <w:rPr>
          <w:b/>
          <w:rtl/>
        </w:rPr>
        <w:t>תחזי</w:t>
      </w:r>
      <w:r w:rsidR="00E701D5">
        <w:rPr>
          <w:rFonts w:hint="cs"/>
          <w:b/>
          <w:rtl/>
        </w:rPr>
        <w:t xml:space="preserve">ת השוק, </w:t>
      </w:r>
      <w:r w:rsidR="00BA373C">
        <w:rPr>
          <w:rFonts w:hint="cs"/>
          <w:b/>
          <w:rtl/>
        </w:rPr>
        <w:t>ולצד זאת</w:t>
      </w:r>
      <w:r w:rsidR="0057566B">
        <w:rPr>
          <w:rFonts w:hint="cs"/>
          <w:b/>
          <w:rtl/>
        </w:rPr>
        <w:t xml:space="preserve"> </w:t>
      </w:r>
      <w:r w:rsidR="00E701D5">
        <w:rPr>
          <w:rFonts w:hint="cs"/>
          <w:b/>
          <w:rtl/>
        </w:rPr>
        <w:t>תחזית החטיבה</w:t>
      </w:r>
      <w:r>
        <w:rPr>
          <w:b/>
          <w:rtl/>
        </w:rPr>
        <w:t xml:space="preserve"> לאינפלציה נמוכה מעט </w:t>
      </w:r>
      <w:r w:rsidR="0057566B">
        <w:rPr>
          <w:rFonts w:hint="cs"/>
          <w:b/>
          <w:rtl/>
        </w:rPr>
        <w:t>מזו של ה</w:t>
      </w:r>
      <w:r>
        <w:rPr>
          <w:b/>
          <w:rtl/>
        </w:rPr>
        <w:t>שוק</w:t>
      </w:r>
      <w:r w:rsidR="00E701D5">
        <w:rPr>
          <w:rFonts w:hint="cs"/>
          <w:b/>
          <w:rtl/>
        </w:rPr>
        <w:t>.</w:t>
      </w:r>
      <w:r>
        <w:rPr>
          <w:b/>
          <w:rtl/>
        </w:rPr>
        <w:t xml:space="preserve"> </w:t>
      </w:r>
      <w:r w:rsidR="00E701D5">
        <w:rPr>
          <w:rFonts w:hint="cs"/>
          <w:b/>
          <w:rtl/>
        </w:rPr>
        <w:t>תחזיות החזאים לריבית ולאינפלציה דומות לתחזיות החטיבה.</w:t>
      </w:r>
    </w:p>
    <w:p w14:paraId="0978C4DA" w14:textId="77777777" w:rsidR="003B2D4B" w:rsidRDefault="003B2D4B" w:rsidP="00910C95">
      <w:pPr>
        <w:pStyle w:val="a"/>
      </w:pPr>
      <w:r w:rsidRPr="003B2D4B">
        <w:rPr>
          <w:rtl/>
        </w:rPr>
        <w:t>הסיכונים העיקריים לתחזית</w:t>
      </w:r>
    </w:p>
    <w:p w14:paraId="2DF8339B" w14:textId="1FE71A0D" w:rsidR="003D3956" w:rsidRDefault="006A162E" w:rsidP="00A133B1">
      <w:pPr>
        <w:ind w:left="8"/>
        <w:jc w:val="both"/>
        <w:rPr>
          <w:rtl/>
        </w:rPr>
      </w:pPr>
      <w:r>
        <w:rPr>
          <w:rtl/>
        </w:rPr>
        <w:t xml:space="preserve">התחזית </w:t>
      </w:r>
      <w:r w:rsidR="00111D8F">
        <w:rPr>
          <w:rFonts w:hint="cs"/>
          <w:rtl/>
        </w:rPr>
        <w:t xml:space="preserve">מבוססת על ההנחה </w:t>
      </w:r>
      <w:r>
        <w:rPr>
          <w:rtl/>
        </w:rPr>
        <w:t>ש</w:t>
      </w:r>
      <w:r w:rsidR="00111D8F">
        <w:rPr>
          <w:rFonts w:hint="cs"/>
          <w:rtl/>
        </w:rPr>
        <w:t xml:space="preserve">המלחמה </w:t>
      </w:r>
      <w:r w:rsidR="00E701D5">
        <w:rPr>
          <w:rFonts w:hint="cs"/>
          <w:rtl/>
        </w:rPr>
        <w:t>ת</w:t>
      </w:r>
      <w:r w:rsidR="00BC4BFF">
        <w:rPr>
          <w:rFonts w:hint="cs"/>
          <w:rtl/>
        </w:rPr>
        <w:t>ת</w:t>
      </w:r>
      <w:r w:rsidR="00E701D5">
        <w:rPr>
          <w:rFonts w:hint="cs"/>
          <w:rtl/>
        </w:rPr>
        <w:t xml:space="preserve">רכז בעיקרה </w:t>
      </w:r>
      <w:r w:rsidR="00BC4BFF">
        <w:rPr>
          <w:rFonts w:hint="cs"/>
          <w:rtl/>
        </w:rPr>
        <w:t>ב</w:t>
      </w:r>
      <w:r w:rsidR="00111D8F">
        <w:rPr>
          <w:rtl/>
        </w:rPr>
        <w:t xml:space="preserve">חזית </w:t>
      </w:r>
      <w:r>
        <w:rPr>
          <w:rtl/>
        </w:rPr>
        <w:t>אחת</w:t>
      </w:r>
      <w:r w:rsidR="00111D8F">
        <w:rPr>
          <w:rFonts w:hint="cs"/>
          <w:rtl/>
        </w:rPr>
        <w:t>,</w:t>
      </w:r>
      <w:r>
        <w:rPr>
          <w:rtl/>
        </w:rPr>
        <w:t xml:space="preserve"> מול ארגוני הטרור בעזה</w:t>
      </w:r>
      <w:r w:rsidR="00111D8F">
        <w:rPr>
          <w:rFonts w:hint="cs"/>
          <w:rtl/>
        </w:rPr>
        <w:t>,</w:t>
      </w:r>
      <w:r>
        <w:rPr>
          <w:rtl/>
        </w:rPr>
        <w:t xml:space="preserve"> ו</w:t>
      </w:r>
      <w:r w:rsidR="00111D8F">
        <w:rPr>
          <w:rFonts w:hint="cs"/>
          <w:rtl/>
        </w:rPr>
        <w:t>ש</w:t>
      </w:r>
      <w:r>
        <w:rPr>
          <w:rtl/>
        </w:rPr>
        <w:t xml:space="preserve">השלכותיה יימשכו אל תוך שנת 2024 בעצימות פוחתת. </w:t>
      </w:r>
      <w:r w:rsidR="00111D8F">
        <w:rPr>
          <w:rFonts w:hint="cs"/>
          <w:rtl/>
        </w:rPr>
        <w:t xml:space="preserve">להתפתחויות שונות </w:t>
      </w:r>
      <w:r w:rsidR="00111D8F">
        <w:rPr>
          <w:rFonts w:hint="eastAsia"/>
          <w:rtl/>
        </w:rPr>
        <w:t>–</w:t>
      </w:r>
      <w:r w:rsidR="00111D8F">
        <w:rPr>
          <w:rFonts w:hint="cs"/>
          <w:rtl/>
        </w:rPr>
        <w:t xml:space="preserve"> שישפיעו על </w:t>
      </w:r>
      <w:r>
        <w:rPr>
          <w:rtl/>
        </w:rPr>
        <w:t xml:space="preserve">משך, </w:t>
      </w:r>
      <w:r w:rsidR="00A133B1">
        <w:rPr>
          <w:rFonts w:hint="cs"/>
          <w:rtl/>
        </w:rPr>
        <w:t>ו</w:t>
      </w:r>
      <w:r>
        <w:rPr>
          <w:rtl/>
        </w:rPr>
        <w:t xml:space="preserve">היקף המלחמה </w:t>
      </w:r>
      <w:r w:rsidR="00111D8F">
        <w:rPr>
          <w:rFonts w:hint="eastAsia"/>
          <w:rtl/>
        </w:rPr>
        <w:t>–</w:t>
      </w:r>
      <w:r w:rsidR="00111D8F">
        <w:rPr>
          <w:rFonts w:hint="cs"/>
          <w:rtl/>
        </w:rPr>
        <w:t xml:space="preserve"> </w:t>
      </w:r>
      <w:r>
        <w:rPr>
          <w:rtl/>
        </w:rPr>
        <w:t>תהיה כמובן השפעה מהותית על ההתפתחויות הכלכליות.</w:t>
      </w:r>
      <w:r w:rsidR="003D3956">
        <w:rPr>
          <w:rFonts w:hint="cs"/>
          <w:rtl/>
        </w:rPr>
        <w:t xml:space="preserve"> בפרט</w:t>
      </w:r>
      <w:r w:rsidR="00A133B1">
        <w:rPr>
          <w:rFonts w:hint="cs"/>
          <w:rtl/>
        </w:rPr>
        <w:t>,</w:t>
      </w:r>
      <w:r w:rsidR="003D3956" w:rsidRPr="003D3956">
        <w:rPr>
          <w:rtl/>
        </w:rPr>
        <w:t xml:space="preserve"> </w:t>
      </w:r>
      <w:r w:rsidR="003D3956">
        <w:rPr>
          <w:rFonts w:hint="cs"/>
          <w:rtl/>
        </w:rPr>
        <w:t>ל</w:t>
      </w:r>
      <w:r w:rsidR="003D3956" w:rsidRPr="003D3956">
        <w:rPr>
          <w:rtl/>
        </w:rPr>
        <w:t>התרחבות המלחמה לזיר</w:t>
      </w:r>
      <w:r w:rsidR="003D3956">
        <w:rPr>
          <w:rFonts w:hint="cs"/>
          <w:rtl/>
        </w:rPr>
        <w:t>ה</w:t>
      </w:r>
      <w:r w:rsidR="003D3956" w:rsidRPr="003D3956">
        <w:rPr>
          <w:rtl/>
        </w:rPr>
        <w:t xml:space="preserve"> הצפונית</w:t>
      </w:r>
      <w:r w:rsidR="003D3956">
        <w:rPr>
          <w:rFonts w:hint="cs"/>
          <w:rtl/>
        </w:rPr>
        <w:t>, שעל פי הערכות הינה מורכבת יותר מזו שבדרום,</w:t>
      </w:r>
      <w:r w:rsidR="003D3956" w:rsidRPr="003D3956">
        <w:rPr>
          <w:rtl/>
        </w:rPr>
        <w:t xml:space="preserve"> </w:t>
      </w:r>
      <w:r w:rsidR="003D3956">
        <w:rPr>
          <w:rFonts w:hint="cs"/>
          <w:rtl/>
        </w:rPr>
        <w:t>צפויה</w:t>
      </w:r>
      <w:r w:rsidR="003D3956" w:rsidRPr="003D3956">
        <w:rPr>
          <w:rtl/>
        </w:rPr>
        <w:t xml:space="preserve"> להיות </w:t>
      </w:r>
      <w:r w:rsidR="003D3956">
        <w:rPr>
          <w:rFonts w:hint="cs"/>
          <w:rtl/>
        </w:rPr>
        <w:t xml:space="preserve">השפעה כלכלית חמורה יותר. התרחבות זו תלווה בפגיעה נוספת </w:t>
      </w:r>
      <w:r w:rsidR="003D3956" w:rsidRPr="003D3956">
        <w:rPr>
          <w:rtl/>
        </w:rPr>
        <w:t xml:space="preserve">בצמיחה, ולזמן מה גם </w:t>
      </w:r>
      <w:r w:rsidR="003D3956">
        <w:rPr>
          <w:rFonts w:hint="cs"/>
          <w:rtl/>
        </w:rPr>
        <w:t>בשיבושים ב</w:t>
      </w:r>
      <w:r w:rsidR="003D3956" w:rsidRPr="003D3956">
        <w:rPr>
          <w:rtl/>
        </w:rPr>
        <w:t xml:space="preserve">אפשרות לקיים פעילות כלכלית שגרתית, וכתוצאה </w:t>
      </w:r>
      <w:r w:rsidR="003D3956">
        <w:rPr>
          <w:rFonts w:hint="cs"/>
          <w:rtl/>
        </w:rPr>
        <w:t xml:space="preserve">מכך </w:t>
      </w:r>
      <w:r w:rsidR="00A133B1">
        <w:rPr>
          <w:rFonts w:hint="cs"/>
          <w:rtl/>
        </w:rPr>
        <w:t xml:space="preserve">עלולה </w:t>
      </w:r>
      <w:r w:rsidR="003D3956" w:rsidRPr="003D3956">
        <w:rPr>
          <w:rtl/>
        </w:rPr>
        <w:t xml:space="preserve">לערער מחדש את היציבות בשווקים ולהביא ללחץ לעליית האינפלציה. לאור </w:t>
      </w:r>
      <w:r w:rsidR="003D3956">
        <w:rPr>
          <w:rFonts w:hint="cs"/>
          <w:rtl/>
        </w:rPr>
        <w:t>אפשרות זו א</w:t>
      </w:r>
      <w:r w:rsidR="003D3956" w:rsidRPr="003D3956">
        <w:rPr>
          <w:rtl/>
        </w:rPr>
        <w:t>נו מעריכים כי מאזן הסיכונים ביחס לתחזית</w:t>
      </w:r>
      <w:r w:rsidR="003D3956">
        <w:rPr>
          <w:rFonts w:hint="cs"/>
          <w:rtl/>
        </w:rPr>
        <w:t xml:space="preserve"> חטיבת המחקר</w:t>
      </w:r>
      <w:r w:rsidR="003D3956">
        <w:rPr>
          <w:rtl/>
        </w:rPr>
        <w:t xml:space="preserve"> נוטה כלפי מטה</w:t>
      </w:r>
      <w:r w:rsidR="003D3956">
        <w:rPr>
          <w:rFonts w:hint="cs"/>
          <w:rtl/>
        </w:rPr>
        <w:t>.</w:t>
      </w:r>
      <w:r w:rsidR="003D3956" w:rsidRPr="003D3956">
        <w:rPr>
          <w:rtl/>
        </w:rPr>
        <w:t xml:space="preserve"> בקבלת החלטות מדיניות</w:t>
      </w:r>
      <w:r w:rsidR="003D3956">
        <w:rPr>
          <w:rFonts w:hint="cs"/>
          <w:rtl/>
        </w:rPr>
        <w:t xml:space="preserve"> </w:t>
      </w:r>
      <w:r w:rsidR="003D3956">
        <w:rPr>
          <w:rtl/>
        </w:rPr>
        <w:t>–</w:t>
      </w:r>
      <w:r w:rsidR="003D3956">
        <w:rPr>
          <w:rFonts w:hint="cs"/>
          <w:rtl/>
        </w:rPr>
        <w:t xml:space="preserve"> מוניטרית ופיסקאלית - </w:t>
      </w:r>
      <w:r w:rsidR="003D3956" w:rsidRPr="003D3956">
        <w:rPr>
          <w:rtl/>
        </w:rPr>
        <w:t xml:space="preserve"> חשוב להכיר </w:t>
      </w:r>
      <w:r w:rsidR="00A133B1">
        <w:rPr>
          <w:rFonts w:hint="cs"/>
          <w:rtl/>
        </w:rPr>
        <w:t>בכך</w:t>
      </w:r>
      <w:r w:rsidR="00A133B1" w:rsidRPr="003D3956">
        <w:rPr>
          <w:rtl/>
        </w:rPr>
        <w:t xml:space="preserve"> </w:t>
      </w:r>
      <w:r w:rsidR="00A133B1">
        <w:rPr>
          <w:rFonts w:hint="cs"/>
          <w:rtl/>
        </w:rPr>
        <w:t>ש</w:t>
      </w:r>
      <w:r w:rsidR="003D3956" w:rsidRPr="003D3956">
        <w:rPr>
          <w:rtl/>
        </w:rPr>
        <w:t xml:space="preserve">ישנה הסתברות לא מבוטלת גם להתרחשות כזאת במהלך אופק התחזית. </w:t>
      </w:r>
      <w:r>
        <w:rPr>
          <w:rtl/>
        </w:rPr>
        <w:t xml:space="preserve"> </w:t>
      </w:r>
    </w:p>
    <w:p w14:paraId="44D553EF" w14:textId="41D6F3CF" w:rsidR="00F05890" w:rsidRDefault="006A162E" w:rsidP="00C23353">
      <w:pPr>
        <w:ind w:left="8"/>
        <w:jc w:val="both"/>
        <w:rPr>
          <w:rtl/>
        </w:rPr>
      </w:pPr>
      <w:r>
        <w:rPr>
          <w:rtl/>
        </w:rPr>
        <w:t xml:space="preserve">בתחום הפיסקלי, הסיכונים </w:t>
      </w:r>
      <w:r w:rsidR="003D3956">
        <w:rPr>
          <w:rFonts w:hint="cs"/>
          <w:rtl/>
        </w:rPr>
        <w:t xml:space="preserve">לתחזית </w:t>
      </w:r>
      <w:r>
        <w:rPr>
          <w:rtl/>
        </w:rPr>
        <w:t>נובעים מאי ודאות ביחס להיקף ו</w:t>
      </w:r>
      <w:r w:rsidR="00111D8F">
        <w:rPr>
          <w:rFonts w:hint="cs"/>
          <w:rtl/>
        </w:rPr>
        <w:t xml:space="preserve">אופן </w:t>
      </w:r>
      <w:r>
        <w:rPr>
          <w:rtl/>
        </w:rPr>
        <w:t xml:space="preserve">מימון הוצאות הממשלה. </w:t>
      </w:r>
      <w:r w:rsidR="00591893">
        <w:rPr>
          <w:rtl/>
        </w:rPr>
        <w:t xml:space="preserve">ככל שהממשלה תחליט להגדיל יותר את ההוצאות ו\או להימנע מצמצום הוצאות אחרות, כך הגירעון והחוב צפויים לגדול יותר בהתאם. </w:t>
      </w:r>
      <w:r w:rsidR="00F05890">
        <w:rPr>
          <w:rFonts w:hint="cs"/>
          <w:rtl/>
        </w:rPr>
        <w:t xml:space="preserve">בתרחיש בו הממשלה תבחר שלא לבצע התאמות תקציביות במהלך השנים הבאות, תוך הגדלה משמעותית של הגרעון המבני, יחס החוב </w:t>
      </w:r>
      <w:r w:rsidR="00AA4A40">
        <w:rPr>
          <w:rFonts w:hint="cs"/>
          <w:rtl/>
        </w:rPr>
        <w:t>ל</w:t>
      </w:r>
      <w:r w:rsidR="00F05890">
        <w:rPr>
          <w:rFonts w:hint="cs"/>
          <w:rtl/>
        </w:rPr>
        <w:t xml:space="preserve">תוצר </w:t>
      </w:r>
      <w:r w:rsidR="00AA4A40">
        <w:rPr>
          <w:rFonts w:hint="cs"/>
          <w:rtl/>
        </w:rPr>
        <w:t>צפוי לה</w:t>
      </w:r>
      <w:r w:rsidR="00F05890">
        <w:rPr>
          <w:rFonts w:hint="cs"/>
          <w:rtl/>
        </w:rPr>
        <w:t>משיך לעלות גם מעבר לאופק התחזית</w:t>
      </w:r>
      <w:r w:rsidR="00486D74">
        <w:rPr>
          <w:rFonts w:hint="cs"/>
          <w:rtl/>
        </w:rPr>
        <w:t>.</w:t>
      </w:r>
    </w:p>
    <w:p w14:paraId="77399BF8" w14:textId="0BB4F7AB" w:rsidR="00591893" w:rsidRDefault="00AA4A40" w:rsidP="00032C99">
      <w:pPr>
        <w:ind w:left="8"/>
        <w:jc w:val="both"/>
        <w:rPr>
          <w:rtl/>
        </w:rPr>
      </w:pPr>
      <w:r>
        <w:rPr>
          <w:rFonts w:hint="cs"/>
          <w:rtl/>
        </w:rPr>
        <w:t xml:space="preserve">למדיניות </w:t>
      </w:r>
      <w:r w:rsidR="00F05890">
        <w:rPr>
          <w:rFonts w:hint="cs"/>
          <w:rtl/>
        </w:rPr>
        <w:t>כז</w:t>
      </w:r>
      <w:r>
        <w:rPr>
          <w:rFonts w:hint="cs"/>
          <w:rtl/>
        </w:rPr>
        <w:t>את</w:t>
      </w:r>
      <w:r w:rsidR="00591893">
        <w:rPr>
          <w:rtl/>
        </w:rPr>
        <w:t xml:space="preserve"> </w:t>
      </w:r>
      <w:r w:rsidR="00591893">
        <w:rPr>
          <w:rFonts w:hint="cs"/>
          <w:rtl/>
        </w:rPr>
        <w:t xml:space="preserve">צפויות </w:t>
      </w:r>
      <w:r>
        <w:rPr>
          <w:rFonts w:hint="cs"/>
          <w:rtl/>
        </w:rPr>
        <w:t xml:space="preserve">להיות </w:t>
      </w:r>
      <w:r w:rsidR="00591893">
        <w:rPr>
          <w:rtl/>
        </w:rPr>
        <w:t xml:space="preserve">השלכות </w:t>
      </w:r>
      <w:r w:rsidR="00591893">
        <w:rPr>
          <w:rFonts w:hint="cs"/>
          <w:rtl/>
        </w:rPr>
        <w:t>שליליות על המשק</w:t>
      </w:r>
      <w:r w:rsidR="00032C99">
        <w:rPr>
          <w:rFonts w:hint="cs"/>
          <w:rtl/>
        </w:rPr>
        <w:t>. אלו</w:t>
      </w:r>
      <w:r w:rsidR="00591893">
        <w:rPr>
          <w:rFonts w:hint="cs"/>
          <w:rtl/>
        </w:rPr>
        <w:t xml:space="preserve"> ע</w:t>
      </w:r>
      <w:r w:rsidR="00032C99">
        <w:rPr>
          <w:rFonts w:hint="cs"/>
          <w:rtl/>
        </w:rPr>
        <w:t>לול</w:t>
      </w:r>
      <w:r w:rsidR="00591893">
        <w:rPr>
          <w:rFonts w:hint="cs"/>
          <w:rtl/>
        </w:rPr>
        <w:t xml:space="preserve">ות להתבטא בעלייה בפרמיית הסיכון של המשק ובתשואות </w:t>
      </w:r>
      <w:proofErr w:type="spellStart"/>
      <w:r w:rsidR="00591893">
        <w:rPr>
          <w:rFonts w:hint="cs"/>
          <w:rtl/>
        </w:rPr>
        <w:t>האג"ח</w:t>
      </w:r>
      <w:proofErr w:type="spellEnd"/>
      <w:r w:rsidR="00591893">
        <w:rPr>
          <w:rFonts w:hint="cs"/>
          <w:rtl/>
        </w:rPr>
        <w:t xml:space="preserve">, בירידה אפשרית בדרוג האשראי, בפיחות בערך השקל, בעלייה של הריבית וכן בעלייה באינפלציה. בתרחיש כזה, נטל תשלומי הריבית על החוב יגדל עוד יותר במהלך השנים הקרובות, ובכך יתווסף לגידול בהוצאות הביטחון ובהוצאות האזרחיות. העלייה בריבית, לצד הפגיעה באמון השווקים, צפויים להוביל </w:t>
      </w:r>
      <w:r w:rsidR="00A133B1">
        <w:rPr>
          <w:rFonts w:hint="cs"/>
          <w:rtl/>
        </w:rPr>
        <w:t xml:space="preserve">גם </w:t>
      </w:r>
      <w:r w:rsidR="00591893">
        <w:rPr>
          <w:rFonts w:hint="cs"/>
          <w:rtl/>
        </w:rPr>
        <w:t xml:space="preserve">לדחיקת השקעות, מה שיביא לירידה בתוצר הפוטנציאלי ובצמיחה בשנים שלאחר מכן. </w:t>
      </w:r>
    </w:p>
    <w:p w14:paraId="69EFDC55" w14:textId="6E542E47" w:rsidR="001159E6" w:rsidRPr="00DA7A06" w:rsidRDefault="00085837" w:rsidP="00507A73">
      <w:pPr>
        <w:ind w:left="8"/>
        <w:jc w:val="both"/>
        <w:rPr>
          <w:rtl/>
        </w:rPr>
      </w:pPr>
      <w:r>
        <w:rPr>
          <w:rFonts w:hint="cs"/>
          <w:rtl/>
        </w:rPr>
        <w:t xml:space="preserve">קשה לחזות מה תהיה </w:t>
      </w:r>
      <w:r w:rsidR="00591893">
        <w:rPr>
          <w:rFonts w:hint="cs"/>
          <w:rtl/>
        </w:rPr>
        <w:t>עוצמת התגובה של פרמיית הסיכון של המשק הישראלי ו</w:t>
      </w:r>
      <w:r w:rsidR="00BE69F8">
        <w:rPr>
          <w:rFonts w:hint="cs"/>
          <w:rtl/>
        </w:rPr>
        <w:t xml:space="preserve">מה יהיו </w:t>
      </w:r>
      <w:r w:rsidR="00591893">
        <w:rPr>
          <w:rFonts w:hint="cs"/>
          <w:rtl/>
        </w:rPr>
        <w:t>השפעות תגובה זו על הפעילות הכלכלית</w:t>
      </w:r>
      <w:r w:rsidR="00BE69F8">
        <w:rPr>
          <w:rFonts w:hint="cs"/>
          <w:rtl/>
        </w:rPr>
        <w:t>.</w:t>
      </w:r>
      <w:r>
        <w:rPr>
          <w:rFonts w:hint="cs"/>
          <w:rtl/>
        </w:rPr>
        <w:t xml:space="preserve"> </w:t>
      </w:r>
      <w:r w:rsidR="00486D74">
        <w:rPr>
          <w:rFonts w:hint="cs"/>
          <w:rtl/>
        </w:rPr>
        <w:t>כדי לבחון את רגישות החוב ל</w:t>
      </w:r>
      <w:r>
        <w:rPr>
          <w:rFonts w:hint="cs"/>
          <w:rtl/>
        </w:rPr>
        <w:t>שיעורי ה</w:t>
      </w:r>
      <w:r w:rsidR="00486D74">
        <w:rPr>
          <w:rFonts w:hint="cs"/>
          <w:rtl/>
        </w:rPr>
        <w:t>צמיחה ו</w:t>
      </w:r>
      <w:r w:rsidR="00E2052A">
        <w:rPr>
          <w:rFonts w:hint="cs"/>
          <w:rtl/>
        </w:rPr>
        <w:t>ה</w:t>
      </w:r>
      <w:r>
        <w:rPr>
          <w:rFonts w:hint="cs"/>
          <w:rtl/>
        </w:rPr>
        <w:t xml:space="preserve">ריבית על </w:t>
      </w:r>
      <w:r w:rsidR="00486D74">
        <w:rPr>
          <w:rFonts w:hint="cs"/>
          <w:rtl/>
        </w:rPr>
        <w:t xml:space="preserve">החוב הציבורי, בחנו תרחישים </w:t>
      </w:r>
      <w:r w:rsidR="00A15184">
        <w:rPr>
          <w:rFonts w:hint="cs"/>
          <w:rtl/>
        </w:rPr>
        <w:t xml:space="preserve">שונים </w:t>
      </w:r>
      <w:r w:rsidR="00486D74">
        <w:rPr>
          <w:rFonts w:hint="cs"/>
          <w:rtl/>
        </w:rPr>
        <w:t>בהם הממשלה לא מבצעת התאמות: בתרחיש הראשון</w:t>
      </w:r>
      <w:r w:rsidR="00A15184">
        <w:rPr>
          <w:rFonts w:hint="cs"/>
          <w:rtl/>
        </w:rPr>
        <w:t>,</w:t>
      </w:r>
      <w:r w:rsidR="009341F9">
        <w:rPr>
          <w:rFonts w:hint="cs"/>
          <w:rtl/>
        </w:rPr>
        <w:t xml:space="preserve"> </w:t>
      </w:r>
      <w:r w:rsidR="00486D74">
        <w:rPr>
          <w:rFonts w:hint="cs"/>
          <w:rtl/>
        </w:rPr>
        <w:t xml:space="preserve">השווקים </w:t>
      </w:r>
      <w:r w:rsidR="00486D74">
        <w:rPr>
          <w:rFonts w:hint="cs"/>
          <w:rtl/>
        </w:rPr>
        <w:lastRenderedPageBreak/>
        <w:t>מגיבים בצורה ל</w:t>
      </w:r>
      <w:r w:rsidR="00E2052A">
        <w:rPr>
          <w:rFonts w:hint="cs"/>
          <w:rtl/>
        </w:rPr>
        <w:t>י</w:t>
      </w:r>
      <w:r w:rsidR="00486D74">
        <w:rPr>
          <w:rFonts w:hint="cs"/>
          <w:rtl/>
        </w:rPr>
        <w:t>ניארית</w:t>
      </w:r>
      <w:r w:rsidR="00E2052A">
        <w:rPr>
          <w:rFonts w:hint="cs"/>
          <w:rtl/>
        </w:rPr>
        <w:t>,</w:t>
      </w:r>
      <w:r w:rsidR="00486D74">
        <w:rPr>
          <w:rFonts w:hint="cs"/>
          <w:rtl/>
        </w:rPr>
        <w:t xml:space="preserve"> החוב מתייקר בהדרגה בשל </w:t>
      </w:r>
      <w:r w:rsidR="00E2052A">
        <w:rPr>
          <w:rFonts w:hint="cs"/>
          <w:rtl/>
        </w:rPr>
        <w:t xml:space="preserve">גידול </w:t>
      </w:r>
      <w:proofErr w:type="spellStart"/>
      <w:r w:rsidR="00486D74">
        <w:rPr>
          <w:rFonts w:hint="cs"/>
          <w:rtl/>
        </w:rPr>
        <w:t>הביקושים</w:t>
      </w:r>
      <w:proofErr w:type="spellEnd"/>
      <w:r w:rsidR="00486D74">
        <w:rPr>
          <w:rFonts w:hint="cs"/>
          <w:rtl/>
        </w:rPr>
        <w:t xml:space="preserve"> להון מצד הממשלה</w:t>
      </w:r>
      <w:r w:rsidR="005F4886">
        <w:rPr>
          <w:rStyle w:val="a6"/>
          <w:rtl/>
        </w:rPr>
        <w:footnoteReference w:id="5"/>
      </w:r>
      <w:r w:rsidR="005F4886">
        <w:rPr>
          <w:rFonts w:hint="cs"/>
          <w:rtl/>
        </w:rPr>
        <w:t xml:space="preserve"> </w:t>
      </w:r>
      <w:r w:rsidR="00486D74">
        <w:rPr>
          <w:rFonts w:hint="cs"/>
          <w:rtl/>
        </w:rPr>
        <w:t>והתו</w:t>
      </w:r>
      <w:r w:rsidR="0041600E">
        <w:rPr>
          <w:rFonts w:hint="cs"/>
          <w:rtl/>
        </w:rPr>
        <w:t xml:space="preserve">צר צומח </w:t>
      </w:r>
      <w:r w:rsidR="00954547">
        <w:rPr>
          <w:rFonts w:hint="cs"/>
          <w:rtl/>
        </w:rPr>
        <w:t xml:space="preserve">החל משנת 2026 </w:t>
      </w:r>
      <w:r w:rsidR="00E2052A">
        <w:rPr>
          <w:rFonts w:hint="cs"/>
          <w:rtl/>
        </w:rPr>
        <w:t>לפי קצב הצמיחה הפוטנציאלי</w:t>
      </w:r>
      <w:r w:rsidR="00486D74">
        <w:rPr>
          <w:rFonts w:hint="cs"/>
          <w:rtl/>
        </w:rPr>
        <w:t xml:space="preserve">. </w:t>
      </w:r>
      <w:r w:rsidR="00A15184">
        <w:rPr>
          <w:rFonts w:hint="cs"/>
          <w:rtl/>
        </w:rPr>
        <w:t>בתרחישים האחרים, פרמיית הסיכון בשווקים הפיננסיים מגיבה מוקדם יותר לעליה הצפויה ביחס החוב לתוצר</w:t>
      </w:r>
      <w:r w:rsidR="00C622EE">
        <w:rPr>
          <w:rFonts w:hint="cs"/>
          <w:rtl/>
        </w:rPr>
        <w:t>: הריבית על גיוס החוב החדש קופצת ב-100 נקודות בסיס כבר ב-2024</w:t>
      </w:r>
      <w:r w:rsidR="00854A84">
        <w:rPr>
          <w:rFonts w:hint="cs"/>
          <w:rtl/>
        </w:rPr>
        <w:t>,</w:t>
      </w:r>
      <w:r w:rsidR="00C622EE">
        <w:rPr>
          <w:rFonts w:hint="cs"/>
          <w:rtl/>
        </w:rPr>
        <w:t xml:space="preserve"> וממשיכה לגדול ליניארית עם הגידול ביחס החוב לתוצר.</w:t>
      </w:r>
      <w:r w:rsidR="00A15184">
        <w:rPr>
          <w:rFonts w:hint="cs"/>
          <w:rtl/>
        </w:rPr>
        <w:t xml:space="preserve"> בחלק</w:t>
      </w:r>
      <w:r w:rsidR="00C622EE">
        <w:rPr>
          <w:rFonts w:hint="cs"/>
          <w:rtl/>
        </w:rPr>
        <w:t xml:space="preserve"> מהתרחישים</w:t>
      </w:r>
      <w:r w:rsidR="00854A84">
        <w:rPr>
          <w:rFonts w:hint="cs"/>
          <w:rtl/>
        </w:rPr>
        <w:t>,</w:t>
      </w:r>
      <w:r w:rsidR="00A15184">
        <w:rPr>
          <w:rFonts w:hint="cs"/>
          <w:rtl/>
        </w:rPr>
        <w:t xml:space="preserve"> עליית פרמיית הסיכון גם פוגעת בצמיחת המשק בשנים 2024 ו-2025 </w:t>
      </w:r>
      <w:proofErr w:type="spellStart"/>
      <w:r w:rsidR="00A15184">
        <w:rPr>
          <w:rFonts w:hint="cs"/>
          <w:rtl/>
        </w:rPr>
        <w:t>בכחצי</w:t>
      </w:r>
      <w:proofErr w:type="spellEnd"/>
      <w:r w:rsidR="00A15184">
        <w:rPr>
          <w:rFonts w:hint="cs"/>
          <w:rtl/>
        </w:rPr>
        <w:t xml:space="preserve"> אחו</w:t>
      </w:r>
      <w:r w:rsidR="00EF0DBC">
        <w:rPr>
          <w:rFonts w:hint="cs"/>
          <w:rtl/>
        </w:rPr>
        <w:t>ז לשנה, לפני שקצב הצמיחה חוזר לממוצע בשנים שלפני הקורונה והמלחמה</w:t>
      </w:r>
      <w:r w:rsidR="00854A84">
        <w:rPr>
          <w:rFonts w:hint="cs"/>
          <w:rtl/>
        </w:rPr>
        <w:t>,</w:t>
      </w:r>
      <w:r w:rsidR="00C622EE">
        <w:rPr>
          <w:rFonts w:hint="cs"/>
          <w:rtl/>
        </w:rPr>
        <w:t xml:space="preserve"> ובאחרים </w:t>
      </w:r>
      <w:r w:rsidR="00176A2E">
        <w:rPr>
          <w:rFonts w:hint="cs"/>
          <w:rtl/>
        </w:rPr>
        <w:t xml:space="preserve">הצמיחה נשארת נמוכה </w:t>
      </w:r>
      <w:r w:rsidR="00C622EE">
        <w:rPr>
          <w:rFonts w:hint="cs"/>
          <w:rtl/>
        </w:rPr>
        <w:t xml:space="preserve">מהפוטנציאל </w:t>
      </w:r>
      <w:r w:rsidR="00176A2E">
        <w:rPr>
          <w:rFonts w:hint="cs"/>
          <w:rtl/>
        </w:rPr>
        <w:t>בחצי אחוז לשנה באופן פר</w:t>
      </w:r>
      <w:r w:rsidR="00335955">
        <w:rPr>
          <w:rFonts w:hint="cs"/>
          <w:rtl/>
        </w:rPr>
        <w:t>מ</w:t>
      </w:r>
      <w:r w:rsidR="00176A2E">
        <w:rPr>
          <w:rFonts w:hint="cs"/>
          <w:rtl/>
        </w:rPr>
        <w:t>ננטי</w:t>
      </w:r>
      <w:r w:rsidR="009341F9">
        <w:rPr>
          <w:rFonts w:hint="cs"/>
          <w:rtl/>
        </w:rPr>
        <w:t xml:space="preserve">. </w:t>
      </w:r>
      <w:r w:rsidR="00280159">
        <w:rPr>
          <w:rFonts w:hint="cs"/>
          <w:rtl/>
        </w:rPr>
        <w:t xml:space="preserve">תוצאות הסימולציה מעידות כי יחס החוב לתוצר </w:t>
      </w:r>
      <w:r w:rsidR="00C23353">
        <w:rPr>
          <w:rFonts w:hint="cs"/>
          <w:rtl/>
        </w:rPr>
        <w:t xml:space="preserve">צפוי </w:t>
      </w:r>
      <w:r w:rsidR="00280159">
        <w:rPr>
          <w:rFonts w:hint="cs"/>
          <w:rtl/>
        </w:rPr>
        <w:t xml:space="preserve">לגדול </w:t>
      </w:r>
      <w:r w:rsidR="00BE69F8">
        <w:rPr>
          <w:rFonts w:hint="cs"/>
          <w:rtl/>
        </w:rPr>
        <w:t>בתרחישים אלה בקצב מהיר</w:t>
      </w:r>
      <w:r w:rsidR="00280159">
        <w:rPr>
          <w:rFonts w:hint="cs"/>
          <w:rtl/>
        </w:rPr>
        <w:t xml:space="preserve"> ולהאמיר </w:t>
      </w:r>
      <w:r w:rsidR="00195AAA">
        <w:rPr>
          <w:rFonts w:hint="cs"/>
          <w:rtl/>
        </w:rPr>
        <w:t>ב</w:t>
      </w:r>
      <w:r w:rsidR="00BE69F8">
        <w:rPr>
          <w:rFonts w:hint="cs"/>
          <w:rtl/>
        </w:rPr>
        <w:t xml:space="preserve">שנת 2030 </w:t>
      </w:r>
      <w:r w:rsidR="00280159">
        <w:rPr>
          <w:rFonts w:hint="cs"/>
          <w:rtl/>
        </w:rPr>
        <w:t xml:space="preserve">עד לרמה של 72 </w:t>
      </w:r>
      <w:r w:rsidR="00280159">
        <w:rPr>
          <w:rtl/>
        </w:rPr>
        <w:t>–</w:t>
      </w:r>
      <w:r w:rsidR="00280159">
        <w:rPr>
          <w:rFonts w:hint="cs"/>
          <w:rtl/>
        </w:rPr>
        <w:t xml:space="preserve"> </w:t>
      </w:r>
      <w:r w:rsidR="00AA4A40">
        <w:rPr>
          <w:rFonts w:hint="cs"/>
          <w:rtl/>
        </w:rPr>
        <w:t xml:space="preserve">80 </w:t>
      </w:r>
      <w:r w:rsidR="00280159">
        <w:rPr>
          <w:rFonts w:hint="cs"/>
          <w:rtl/>
        </w:rPr>
        <w:t>אחוזי תוצר</w:t>
      </w:r>
      <w:r w:rsidR="00761879">
        <w:rPr>
          <w:rFonts w:hint="cs"/>
          <w:rtl/>
        </w:rPr>
        <w:t xml:space="preserve"> לעומת 63 אחוזים בתרחיש </w:t>
      </w:r>
      <w:r w:rsidR="00BE69F8">
        <w:rPr>
          <w:rFonts w:hint="cs"/>
          <w:rtl/>
        </w:rPr>
        <w:t>בו מבוצעות</w:t>
      </w:r>
      <w:r w:rsidR="00761879">
        <w:rPr>
          <w:rFonts w:hint="cs"/>
          <w:rtl/>
        </w:rPr>
        <w:t xml:space="preserve"> התאמות</w:t>
      </w:r>
      <w:r w:rsidR="00BE69F8">
        <w:rPr>
          <w:rFonts w:hint="cs"/>
          <w:rtl/>
        </w:rPr>
        <w:t xml:space="preserve"> המקזזות את הגידול הפרמננטי בהוצאות</w:t>
      </w:r>
      <w:r w:rsidR="00032C99">
        <w:rPr>
          <w:rFonts w:hint="cs"/>
          <w:rtl/>
        </w:rPr>
        <w:t xml:space="preserve"> במלואו</w:t>
      </w:r>
      <w:r w:rsidR="00280159">
        <w:rPr>
          <w:rFonts w:hint="cs"/>
          <w:rtl/>
        </w:rPr>
        <w:t>.</w:t>
      </w:r>
      <w:r w:rsidR="00591893">
        <w:rPr>
          <w:rFonts w:hint="cs"/>
          <w:rtl/>
        </w:rPr>
        <w:t xml:space="preserve"> קשה להעריך מתי בדיוק יגיבו השווקים לדינמיקה כזו, אך בסופו של דבר, כפי שמלמד הניסיון ההיסטורי בישראל ובעולם, היא תחייב התאמות בקנה מידה גדול בהרבה ממה שנדרש היום.</w:t>
      </w:r>
    </w:p>
    <w:sectPr w:rsidR="001159E6" w:rsidRPr="00DA7A06" w:rsidSect="008C2F5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AEA72" w16cid:durableId="56ECE5ED"/>
  <w16cid:commentId w16cid:paraId="36A182B5" w16cid:durableId="44EBAC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71F0" w14:textId="77777777" w:rsidR="00AC6F88" w:rsidRDefault="00AC6F88" w:rsidP="00A251DD">
      <w:pPr>
        <w:spacing w:line="240" w:lineRule="auto"/>
      </w:pPr>
      <w:r>
        <w:separator/>
      </w:r>
    </w:p>
  </w:endnote>
  <w:endnote w:type="continuationSeparator" w:id="0">
    <w:p w14:paraId="0C8FC25A" w14:textId="77777777" w:rsidR="00AC6F88" w:rsidRDefault="00AC6F88" w:rsidP="00A2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BDD0" w14:textId="77777777" w:rsidR="006F3319" w:rsidRDefault="006F331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1C13" w14:textId="77777777" w:rsidR="00BA373C" w:rsidRPr="006F3319" w:rsidRDefault="00BA373C" w:rsidP="006F331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C356" w14:textId="77777777" w:rsidR="006F3319" w:rsidRDefault="006F331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3EE2" w14:textId="77777777" w:rsidR="00AC6F88" w:rsidRDefault="00AC6F88" w:rsidP="00A251DD">
      <w:pPr>
        <w:spacing w:line="240" w:lineRule="auto"/>
      </w:pPr>
      <w:r>
        <w:separator/>
      </w:r>
    </w:p>
  </w:footnote>
  <w:footnote w:type="continuationSeparator" w:id="0">
    <w:p w14:paraId="01EA45C0" w14:textId="77777777" w:rsidR="00AC6F88" w:rsidRDefault="00AC6F88" w:rsidP="00A251DD">
      <w:pPr>
        <w:spacing w:line="240" w:lineRule="auto"/>
      </w:pPr>
      <w:r>
        <w:continuationSeparator/>
      </w:r>
    </w:p>
  </w:footnote>
  <w:footnote w:id="1">
    <w:p w14:paraId="0D7C5007" w14:textId="77777777" w:rsidR="00A52617" w:rsidRPr="00355EB1" w:rsidRDefault="00A52617" w:rsidP="00A52617">
      <w:pPr>
        <w:pStyle w:val="a4"/>
        <w:spacing w:before="60"/>
        <w:ind w:left="19"/>
        <w:jc w:val="both"/>
        <w:rPr>
          <w:sz w:val="18"/>
          <w:szCs w:val="18"/>
          <w:rtl/>
        </w:rPr>
      </w:pPr>
      <w:r w:rsidRPr="00355EB1">
        <w:rPr>
          <w:rStyle w:val="a6"/>
        </w:rPr>
        <w:footnoteRef/>
      </w:r>
      <w:r w:rsidRPr="00355EB1">
        <w:rPr>
          <w:rtl/>
        </w:rPr>
        <w:t xml:space="preserve"> התחזית </w:t>
      </w:r>
      <w:r>
        <w:rPr>
          <w:rFonts w:hint="cs"/>
          <w:rtl/>
        </w:rPr>
        <w:t>הוצגה</w:t>
      </w:r>
      <w:r w:rsidRPr="00355EB1">
        <w:rPr>
          <w:rtl/>
        </w:rPr>
        <w:t xml:space="preserve"> לוועדה המוניטרית ב-</w:t>
      </w:r>
      <w:r>
        <w:rPr>
          <w:rFonts w:hint="cs"/>
          <w:rtl/>
        </w:rPr>
        <w:t>31/12/2023</w:t>
      </w:r>
      <w:r w:rsidRPr="00355EB1">
        <w:rPr>
          <w:rtl/>
        </w:rPr>
        <w:t xml:space="preserve">, לקראת החלטת הריבית </w:t>
      </w:r>
      <w:r>
        <w:rPr>
          <w:rFonts w:hint="cs"/>
          <w:rtl/>
        </w:rPr>
        <w:t>שהתקבלה</w:t>
      </w:r>
      <w:r w:rsidRPr="00355EB1">
        <w:rPr>
          <w:rtl/>
        </w:rPr>
        <w:t xml:space="preserve"> ב-</w:t>
      </w:r>
      <w:r>
        <w:rPr>
          <w:rFonts w:hint="cs"/>
          <w:rtl/>
        </w:rPr>
        <w:t>1/1/2024</w:t>
      </w:r>
      <w:r w:rsidRPr="00355EB1">
        <w:rPr>
          <w:rtl/>
        </w:rPr>
        <w:t>.</w:t>
      </w:r>
    </w:p>
  </w:footnote>
  <w:footnote w:id="2">
    <w:p w14:paraId="48B78CE1" w14:textId="77777777" w:rsidR="00712048" w:rsidRPr="00355EB1" w:rsidRDefault="00712048" w:rsidP="00381932">
      <w:pPr>
        <w:pStyle w:val="a4"/>
        <w:spacing w:before="60"/>
        <w:ind w:left="5"/>
        <w:jc w:val="both"/>
        <w:rPr>
          <w:rtl/>
        </w:rPr>
      </w:pPr>
      <w:r w:rsidRPr="00355EB1">
        <w:rPr>
          <w:vertAlign w:val="superscript"/>
        </w:rPr>
        <w:footnoteRef/>
      </w:r>
      <w:r w:rsidRPr="00355EB1">
        <w:rPr>
          <w:rtl/>
        </w:rPr>
        <w:t xml:space="preserve"> </w:t>
      </w:r>
      <w:r w:rsidRPr="00355EB1">
        <w:rPr>
          <w:rtl/>
        </w:rPr>
        <w:t>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355EB1">
        <w:t>DSGE</w:t>
      </w:r>
      <w:r w:rsidRPr="00355EB1">
        <w:rPr>
          <w:rtl/>
        </w:rPr>
        <w:t xml:space="preserve"> זמין באתר האינטרנט של בנק ישראל. כותרתו</w:t>
      </w:r>
    </w:p>
    <w:p w14:paraId="44A45CDF" w14:textId="77777777" w:rsidR="00712048" w:rsidRPr="0070314E" w:rsidRDefault="006F3319" w:rsidP="00144A95">
      <w:pPr>
        <w:pStyle w:val="a4"/>
        <w:bidi w:val="0"/>
        <w:spacing w:before="60"/>
        <w:ind w:left="14"/>
        <w:rPr>
          <w:sz w:val="22"/>
          <w:szCs w:val="22"/>
        </w:rPr>
      </w:pPr>
      <w:hyperlink r:id="rId1" w:history="1">
        <w:r w:rsidR="00712048" w:rsidRPr="00B8762E">
          <w:rPr>
            <w:rStyle w:val="Hyperlink"/>
          </w:rPr>
          <w:t>MOISE: A DSGE Model for the Israeli Economy, Discussion Paper No. 2012.06</w:t>
        </w:r>
      </w:hyperlink>
      <w:r w:rsidR="00712048" w:rsidRPr="0070314E">
        <w:t>.</w:t>
      </w:r>
    </w:p>
  </w:footnote>
  <w:footnote w:id="3">
    <w:p w14:paraId="1551DB24" w14:textId="77777777" w:rsidR="00815F31" w:rsidRDefault="00815F31" w:rsidP="00815F31">
      <w:pPr>
        <w:pStyle w:val="a4"/>
      </w:pPr>
      <w:r w:rsidRPr="00B27CD2">
        <w:rPr>
          <w:rStyle w:val="a6"/>
        </w:rPr>
        <w:footnoteRef/>
      </w:r>
      <w:r w:rsidRPr="00B27CD2">
        <w:rPr>
          <w:rtl/>
        </w:rPr>
        <w:t xml:space="preserve"> </w:t>
      </w:r>
      <w:r w:rsidRPr="00B27CD2">
        <w:rPr>
          <w:rFonts w:hint="cs"/>
          <w:rtl/>
        </w:rPr>
        <w:t xml:space="preserve"> </w:t>
      </w:r>
      <w:r w:rsidRPr="00B27CD2">
        <w:rPr>
          <w:rFonts w:hint="cs"/>
          <w:rtl/>
        </w:rPr>
        <w:t>שיעור האבטלה הרחב כולל, נוסף על הבלתי מועסקים</w:t>
      </w:r>
      <w:r w:rsidRPr="00A029D9">
        <w:rPr>
          <w:rFonts w:hint="cs"/>
          <w:rtl/>
        </w:rPr>
        <w:t>, גם את מי שנעדרו זמנית מעבודתם מסיבות כלכליות (כולל עובדים בחל"ת).</w:t>
      </w:r>
    </w:p>
  </w:footnote>
  <w:footnote w:id="4">
    <w:p w14:paraId="1F7CDE80" w14:textId="525D4B22" w:rsidR="00613C19" w:rsidRDefault="00613C19" w:rsidP="00A865DF">
      <w:pPr>
        <w:pStyle w:val="a4"/>
        <w:jc w:val="both"/>
      </w:pPr>
      <w:r>
        <w:rPr>
          <w:rStyle w:val="a6"/>
        </w:rPr>
        <w:footnoteRef/>
      </w:r>
      <w:r>
        <w:rPr>
          <w:rtl/>
        </w:rPr>
        <w:t xml:space="preserve"> </w:t>
      </w:r>
      <w:r>
        <w:rPr>
          <w:rFonts w:hint="cs"/>
          <w:rtl/>
        </w:rPr>
        <w:t>אנו מניחים כי כל המענק הביטחוני מממשלת ארה"ב יתקבל בשנת 2024, אף שטרם אושר. במידה והדבר לא יתממש, הדבר יצריך גידול נוסף של תקציב הביטחון (והגדלת הגרעון) ו/או דחייה של הוצאות ביטחוניות לשנים הבאות.</w:t>
      </w:r>
    </w:p>
  </w:footnote>
  <w:footnote w:id="5">
    <w:p w14:paraId="5A212E39" w14:textId="5D6CA74A" w:rsidR="005F4886" w:rsidRPr="005F4886" w:rsidRDefault="005F4886" w:rsidP="00854A84">
      <w:pPr>
        <w:spacing w:before="0" w:line="240" w:lineRule="auto"/>
        <w:jc w:val="both"/>
        <w:rPr>
          <w:rFonts w:ascii="Gisha" w:hAnsi="Gisha" w:cs="Gisha"/>
          <w:rtl/>
        </w:rPr>
      </w:pPr>
      <w:r>
        <w:rPr>
          <w:rStyle w:val="a6"/>
        </w:rPr>
        <w:footnoteRef/>
      </w:r>
      <w:r>
        <w:rPr>
          <w:rtl/>
        </w:rPr>
        <w:t xml:space="preserve"> </w:t>
      </w:r>
      <w:r w:rsidRPr="005F4886">
        <w:rPr>
          <w:rFonts w:hint="cs"/>
          <w:sz w:val="20"/>
          <w:szCs w:val="20"/>
          <w:rtl/>
        </w:rPr>
        <w:t xml:space="preserve">מחקרים שנערכו בבנק ישראל בעבר הראו שגידול של אחוז ביחס החוב הציבורי לתוצר מגדיל את התשואה הריאלית על אגרות חוב ממשלתיות ארוכות </w:t>
      </w:r>
      <w:r w:rsidR="00813F30">
        <w:rPr>
          <w:rFonts w:hint="cs"/>
          <w:sz w:val="20"/>
          <w:szCs w:val="20"/>
          <w:rtl/>
        </w:rPr>
        <w:t xml:space="preserve">טווח </w:t>
      </w:r>
      <w:r w:rsidRPr="005F4886">
        <w:rPr>
          <w:rFonts w:hint="cs"/>
          <w:sz w:val="20"/>
          <w:szCs w:val="20"/>
          <w:rtl/>
        </w:rPr>
        <w:t xml:space="preserve">ב-10 נקודות בסיס. להרחבה: עדי </w:t>
      </w:r>
      <w:proofErr w:type="spellStart"/>
      <w:r w:rsidRPr="005F4886">
        <w:rPr>
          <w:sz w:val="20"/>
          <w:szCs w:val="20"/>
          <w:rtl/>
        </w:rPr>
        <w:t>ברנדר</w:t>
      </w:r>
      <w:proofErr w:type="spellEnd"/>
      <w:r w:rsidRPr="005F4886">
        <w:rPr>
          <w:rFonts w:hint="cs"/>
          <w:sz w:val="20"/>
          <w:szCs w:val="20"/>
          <w:rtl/>
        </w:rPr>
        <w:t xml:space="preserve"> וסיגל </w:t>
      </w:r>
      <w:r w:rsidRPr="005F4886">
        <w:rPr>
          <w:sz w:val="20"/>
          <w:szCs w:val="20"/>
          <w:rtl/>
        </w:rPr>
        <w:t xml:space="preserve">ריבון (2015). </w:t>
      </w:r>
      <w:r w:rsidRPr="005F4886">
        <w:rPr>
          <w:rFonts w:hint="cs"/>
          <w:sz w:val="20"/>
          <w:szCs w:val="20"/>
          <w:rtl/>
        </w:rPr>
        <w:t>"</w:t>
      </w:r>
      <w:r w:rsidRPr="005F4886">
        <w:rPr>
          <w:sz w:val="20"/>
          <w:szCs w:val="20"/>
          <w:rtl/>
        </w:rPr>
        <w:t xml:space="preserve">השפעתן של המדיניות הפיסקלית והמוניטרית בישראל ושל הכלכלה הגלובלית, על התשואות הריאליות של </w:t>
      </w:r>
      <w:proofErr w:type="spellStart"/>
      <w:r w:rsidRPr="005F4886">
        <w:rPr>
          <w:sz w:val="20"/>
          <w:szCs w:val="20"/>
          <w:rtl/>
        </w:rPr>
        <w:t>האג"ח</w:t>
      </w:r>
      <w:proofErr w:type="spellEnd"/>
      <w:r w:rsidRPr="005F4886">
        <w:rPr>
          <w:sz w:val="20"/>
          <w:szCs w:val="20"/>
          <w:rtl/>
        </w:rPr>
        <w:t xml:space="preserve"> הממשלתיות בישראל: בחינה מחודשת לאחר עשור</w:t>
      </w:r>
      <w:r w:rsidRPr="005F4886">
        <w:rPr>
          <w:rFonts w:hint="cs"/>
          <w:sz w:val="20"/>
          <w:szCs w:val="20"/>
          <w:rtl/>
        </w:rPr>
        <w:t>",</w:t>
      </w:r>
      <w:r w:rsidRPr="005F4886">
        <w:rPr>
          <w:sz w:val="20"/>
          <w:szCs w:val="20"/>
          <w:rtl/>
        </w:rPr>
        <w:t xml:space="preserve"> </w:t>
      </w:r>
      <w:r w:rsidRPr="005F4886">
        <w:rPr>
          <w:rFonts w:hint="cs"/>
          <w:sz w:val="20"/>
          <w:szCs w:val="20"/>
          <w:rtl/>
        </w:rPr>
        <w:t xml:space="preserve">סדרת מאמרים לדיון, בנק ישראל, </w:t>
      </w:r>
      <w:r>
        <w:rPr>
          <w:sz w:val="20"/>
          <w:szCs w:val="20"/>
          <w:rtl/>
        </w:rPr>
        <w:t>2015.02</w:t>
      </w:r>
      <w:r>
        <w:rPr>
          <w:rFonts w:hint="cs"/>
          <w:sz w:val="20"/>
          <w:szCs w:val="20"/>
          <w:rtl/>
        </w:rPr>
        <w:t xml:space="preserve">; </w:t>
      </w:r>
      <w:r w:rsidRPr="005F4886">
        <w:rPr>
          <w:rFonts w:hint="cs"/>
          <w:sz w:val="20"/>
          <w:szCs w:val="20"/>
          <w:rtl/>
        </w:rPr>
        <w:t xml:space="preserve">גלעד </w:t>
      </w:r>
      <w:r w:rsidRPr="005F4886">
        <w:rPr>
          <w:sz w:val="20"/>
          <w:szCs w:val="20"/>
          <w:rtl/>
        </w:rPr>
        <w:t>שלום (2019</w:t>
      </w:r>
      <w:r w:rsidRPr="005F4886">
        <w:rPr>
          <w:rFonts w:hint="cs"/>
          <w:sz w:val="20"/>
          <w:szCs w:val="20"/>
          <w:rtl/>
        </w:rPr>
        <w:t>)</w:t>
      </w:r>
      <w:r w:rsidRPr="005F4886">
        <w:rPr>
          <w:sz w:val="20"/>
          <w:szCs w:val="20"/>
          <w:rtl/>
        </w:rPr>
        <w:t xml:space="preserve">. </w:t>
      </w:r>
      <w:r w:rsidRPr="005F4886">
        <w:rPr>
          <w:rFonts w:hint="cs"/>
          <w:sz w:val="20"/>
          <w:szCs w:val="20"/>
          <w:rtl/>
        </w:rPr>
        <w:t>"</w:t>
      </w:r>
      <w:r w:rsidRPr="005F4886">
        <w:rPr>
          <w:sz w:val="20"/>
          <w:szCs w:val="20"/>
          <w:rtl/>
        </w:rPr>
        <w:t>התשואות בחו"ל, החוב הציבורי והשפעתם על התשואות הריאליות של אג"ח ממשלתיות בישראל: בחינה מחודשת</w:t>
      </w:r>
      <w:r w:rsidRPr="005F4886">
        <w:rPr>
          <w:rFonts w:hint="cs"/>
          <w:sz w:val="20"/>
          <w:szCs w:val="20"/>
          <w:rtl/>
        </w:rPr>
        <w:t>"</w:t>
      </w:r>
      <w:r w:rsidRPr="005F4886">
        <w:rPr>
          <w:sz w:val="20"/>
          <w:szCs w:val="20"/>
          <w:rtl/>
        </w:rPr>
        <w:t>, בתוך לקט ניתוחי מדיניות וסוגיות מחקריות</w:t>
      </w:r>
      <w:r w:rsidRPr="005F4886">
        <w:rPr>
          <w:rFonts w:hint="cs"/>
          <w:sz w:val="20"/>
          <w:szCs w:val="20"/>
          <w:rtl/>
        </w:rPr>
        <w:t>,</w:t>
      </w:r>
      <w:r w:rsidRPr="005F4886">
        <w:rPr>
          <w:sz w:val="20"/>
          <w:szCs w:val="20"/>
          <w:rtl/>
        </w:rPr>
        <w:t xml:space="preserve"> בנק ישראל, פברואר 2019</w:t>
      </w:r>
      <w:r>
        <w:rPr>
          <w:rFonts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96670" w14:textId="77777777" w:rsidR="006F3319" w:rsidRDefault="006F331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AF10" w14:textId="77777777" w:rsidR="006F3319" w:rsidRDefault="006F331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5C7F5" w14:textId="77777777" w:rsidR="006F3319" w:rsidRDefault="006F331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779"/>
    <w:multiLevelType w:val="hybridMultilevel"/>
    <w:tmpl w:val="71DA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2EEB"/>
    <w:multiLevelType w:val="hybridMultilevel"/>
    <w:tmpl w:val="606A40E0"/>
    <w:lvl w:ilvl="0" w:tplc="2BE8CFF8">
      <w:start w:val="1"/>
      <w:numFmt w:val="bullet"/>
      <w:lvlText w:val="•"/>
      <w:lvlJc w:val="left"/>
      <w:pPr>
        <w:tabs>
          <w:tab w:val="num" w:pos="720"/>
        </w:tabs>
        <w:ind w:left="720" w:hanging="360"/>
      </w:pPr>
      <w:rPr>
        <w:rFonts w:ascii="Arial" w:hAnsi="Arial" w:hint="default"/>
      </w:rPr>
    </w:lvl>
    <w:lvl w:ilvl="1" w:tplc="0B8A09B2" w:tentative="1">
      <w:start w:val="1"/>
      <w:numFmt w:val="bullet"/>
      <w:lvlText w:val="•"/>
      <w:lvlJc w:val="left"/>
      <w:pPr>
        <w:tabs>
          <w:tab w:val="num" w:pos="1440"/>
        </w:tabs>
        <w:ind w:left="1440" w:hanging="360"/>
      </w:pPr>
      <w:rPr>
        <w:rFonts w:ascii="Arial" w:hAnsi="Arial" w:hint="default"/>
      </w:rPr>
    </w:lvl>
    <w:lvl w:ilvl="2" w:tplc="62829F0E" w:tentative="1">
      <w:start w:val="1"/>
      <w:numFmt w:val="bullet"/>
      <w:lvlText w:val="•"/>
      <w:lvlJc w:val="left"/>
      <w:pPr>
        <w:tabs>
          <w:tab w:val="num" w:pos="2160"/>
        </w:tabs>
        <w:ind w:left="2160" w:hanging="360"/>
      </w:pPr>
      <w:rPr>
        <w:rFonts w:ascii="Arial" w:hAnsi="Arial" w:hint="default"/>
      </w:rPr>
    </w:lvl>
    <w:lvl w:ilvl="3" w:tplc="5CA487DA" w:tentative="1">
      <w:start w:val="1"/>
      <w:numFmt w:val="bullet"/>
      <w:lvlText w:val="•"/>
      <w:lvlJc w:val="left"/>
      <w:pPr>
        <w:tabs>
          <w:tab w:val="num" w:pos="2880"/>
        </w:tabs>
        <w:ind w:left="2880" w:hanging="360"/>
      </w:pPr>
      <w:rPr>
        <w:rFonts w:ascii="Arial" w:hAnsi="Arial" w:hint="default"/>
      </w:rPr>
    </w:lvl>
    <w:lvl w:ilvl="4" w:tplc="280E071E" w:tentative="1">
      <w:start w:val="1"/>
      <w:numFmt w:val="bullet"/>
      <w:lvlText w:val="•"/>
      <w:lvlJc w:val="left"/>
      <w:pPr>
        <w:tabs>
          <w:tab w:val="num" w:pos="3600"/>
        </w:tabs>
        <w:ind w:left="3600" w:hanging="360"/>
      </w:pPr>
      <w:rPr>
        <w:rFonts w:ascii="Arial" w:hAnsi="Arial" w:hint="default"/>
      </w:rPr>
    </w:lvl>
    <w:lvl w:ilvl="5" w:tplc="84C4E618" w:tentative="1">
      <w:start w:val="1"/>
      <w:numFmt w:val="bullet"/>
      <w:lvlText w:val="•"/>
      <w:lvlJc w:val="left"/>
      <w:pPr>
        <w:tabs>
          <w:tab w:val="num" w:pos="4320"/>
        </w:tabs>
        <w:ind w:left="4320" w:hanging="360"/>
      </w:pPr>
      <w:rPr>
        <w:rFonts w:ascii="Arial" w:hAnsi="Arial" w:hint="default"/>
      </w:rPr>
    </w:lvl>
    <w:lvl w:ilvl="6" w:tplc="D4DA3CDA" w:tentative="1">
      <w:start w:val="1"/>
      <w:numFmt w:val="bullet"/>
      <w:lvlText w:val="•"/>
      <w:lvlJc w:val="left"/>
      <w:pPr>
        <w:tabs>
          <w:tab w:val="num" w:pos="5040"/>
        </w:tabs>
        <w:ind w:left="5040" w:hanging="360"/>
      </w:pPr>
      <w:rPr>
        <w:rFonts w:ascii="Arial" w:hAnsi="Arial" w:hint="default"/>
      </w:rPr>
    </w:lvl>
    <w:lvl w:ilvl="7" w:tplc="CFEE6846" w:tentative="1">
      <w:start w:val="1"/>
      <w:numFmt w:val="bullet"/>
      <w:lvlText w:val="•"/>
      <w:lvlJc w:val="left"/>
      <w:pPr>
        <w:tabs>
          <w:tab w:val="num" w:pos="5760"/>
        </w:tabs>
        <w:ind w:left="5760" w:hanging="360"/>
      </w:pPr>
      <w:rPr>
        <w:rFonts w:ascii="Arial" w:hAnsi="Arial" w:hint="default"/>
      </w:rPr>
    </w:lvl>
    <w:lvl w:ilvl="8" w:tplc="A18031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4135"/>
    <w:multiLevelType w:val="hybridMultilevel"/>
    <w:tmpl w:val="79B21FE0"/>
    <w:lvl w:ilvl="0" w:tplc="24448BC0">
      <w:start w:val="1"/>
      <w:numFmt w:val="bullet"/>
      <w:lvlText w:val="•"/>
      <w:lvlJc w:val="left"/>
      <w:pPr>
        <w:tabs>
          <w:tab w:val="num" w:pos="720"/>
        </w:tabs>
        <w:ind w:left="720" w:hanging="360"/>
      </w:pPr>
      <w:rPr>
        <w:rFonts w:ascii="Arial" w:hAnsi="Arial" w:hint="default"/>
      </w:rPr>
    </w:lvl>
    <w:lvl w:ilvl="1" w:tplc="C5584D9E" w:tentative="1">
      <w:start w:val="1"/>
      <w:numFmt w:val="bullet"/>
      <w:lvlText w:val="•"/>
      <w:lvlJc w:val="left"/>
      <w:pPr>
        <w:tabs>
          <w:tab w:val="num" w:pos="1440"/>
        </w:tabs>
        <w:ind w:left="1440" w:hanging="360"/>
      </w:pPr>
      <w:rPr>
        <w:rFonts w:ascii="Arial" w:hAnsi="Arial" w:hint="default"/>
      </w:rPr>
    </w:lvl>
    <w:lvl w:ilvl="2" w:tplc="4046138A" w:tentative="1">
      <w:start w:val="1"/>
      <w:numFmt w:val="bullet"/>
      <w:lvlText w:val="•"/>
      <w:lvlJc w:val="left"/>
      <w:pPr>
        <w:tabs>
          <w:tab w:val="num" w:pos="2160"/>
        </w:tabs>
        <w:ind w:left="2160" w:hanging="360"/>
      </w:pPr>
      <w:rPr>
        <w:rFonts w:ascii="Arial" w:hAnsi="Arial" w:hint="default"/>
      </w:rPr>
    </w:lvl>
    <w:lvl w:ilvl="3" w:tplc="149E6F2A" w:tentative="1">
      <w:start w:val="1"/>
      <w:numFmt w:val="bullet"/>
      <w:lvlText w:val="•"/>
      <w:lvlJc w:val="left"/>
      <w:pPr>
        <w:tabs>
          <w:tab w:val="num" w:pos="2880"/>
        </w:tabs>
        <w:ind w:left="2880" w:hanging="360"/>
      </w:pPr>
      <w:rPr>
        <w:rFonts w:ascii="Arial" w:hAnsi="Arial" w:hint="default"/>
      </w:rPr>
    </w:lvl>
    <w:lvl w:ilvl="4" w:tplc="327660BE" w:tentative="1">
      <w:start w:val="1"/>
      <w:numFmt w:val="bullet"/>
      <w:lvlText w:val="•"/>
      <w:lvlJc w:val="left"/>
      <w:pPr>
        <w:tabs>
          <w:tab w:val="num" w:pos="3600"/>
        </w:tabs>
        <w:ind w:left="3600" w:hanging="360"/>
      </w:pPr>
      <w:rPr>
        <w:rFonts w:ascii="Arial" w:hAnsi="Arial" w:hint="default"/>
      </w:rPr>
    </w:lvl>
    <w:lvl w:ilvl="5" w:tplc="AE8EF01E" w:tentative="1">
      <w:start w:val="1"/>
      <w:numFmt w:val="bullet"/>
      <w:lvlText w:val="•"/>
      <w:lvlJc w:val="left"/>
      <w:pPr>
        <w:tabs>
          <w:tab w:val="num" w:pos="4320"/>
        </w:tabs>
        <w:ind w:left="4320" w:hanging="360"/>
      </w:pPr>
      <w:rPr>
        <w:rFonts w:ascii="Arial" w:hAnsi="Arial" w:hint="default"/>
      </w:rPr>
    </w:lvl>
    <w:lvl w:ilvl="6" w:tplc="5DC4A6FA" w:tentative="1">
      <w:start w:val="1"/>
      <w:numFmt w:val="bullet"/>
      <w:lvlText w:val="•"/>
      <w:lvlJc w:val="left"/>
      <w:pPr>
        <w:tabs>
          <w:tab w:val="num" w:pos="5040"/>
        </w:tabs>
        <w:ind w:left="5040" w:hanging="360"/>
      </w:pPr>
      <w:rPr>
        <w:rFonts w:ascii="Arial" w:hAnsi="Arial" w:hint="default"/>
      </w:rPr>
    </w:lvl>
    <w:lvl w:ilvl="7" w:tplc="5E18154E" w:tentative="1">
      <w:start w:val="1"/>
      <w:numFmt w:val="bullet"/>
      <w:lvlText w:val="•"/>
      <w:lvlJc w:val="left"/>
      <w:pPr>
        <w:tabs>
          <w:tab w:val="num" w:pos="5760"/>
        </w:tabs>
        <w:ind w:left="5760" w:hanging="360"/>
      </w:pPr>
      <w:rPr>
        <w:rFonts w:ascii="Arial" w:hAnsi="Arial" w:hint="default"/>
      </w:rPr>
    </w:lvl>
    <w:lvl w:ilvl="8" w:tplc="D20A5F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91493A"/>
    <w:multiLevelType w:val="hybridMultilevel"/>
    <w:tmpl w:val="B156C040"/>
    <w:lvl w:ilvl="0" w:tplc="26CCA3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01312"/>
    <w:multiLevelType w:val="hybridMultilevel"/>
    <w:tmpl w:val="92741338"/>
    <w:lvl w:ilvl="0" w:tplc="AF560170">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F4B4E"/>
    <w:multiLevelType w:val="hybridMultilevel"/>
    <w:tmpl w:val="0D98E67C"/>
    <w:lvl w:ilvl="0" w:tplc="A656BC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880D8D"/>
    <w:multiLevelType w:val="hybridMultilevel"/>
    <w:tmpl w:val="0EBC955C"/>
    <w:lvl w:ilvl="0" w:tplc="52781684">
      <w:start w:val="1"/>
      <w:numFmt w:val="bullet"/>
      <w:lvlText w:val=""/>
      <w:lvlJc w:val="left"/>
      <w:pPr>
        <w:tabs>
          <w:tab w:val="num" w:pos="720"/>
        </w:tabs>
        <w:ind w:left="720" w:hanging="360"/>
      </w:pPr>
      <w:rPr>
        <w:rFonts w:ascii="Wingdings" w:hAnsi="Wingdings" w:hint="default"/>
      </w:rPr>
    </w:lvl>
    <w:lvl w:ilvl="1" w:tplc="4694F5E0" w:tentative="1">
      <w:start w:val="1"/>
      <w:numFmt w:val="bullet"/>
      <w:lvlText w:val=""/>
      <w:lvlJc w:val="left"/>
      <w:pPr>
        <w:tabs>
          <w:tab w:val="num" w:pos="1440"/>
        </w:tabs>
        <w:ind w:left="1440" w:hanging="360"/>
      </w:pPr>
      <w:rPr>
        <w:rFonts w:ascii="Wingdings" w:hAnsi="Wingdings" w:hint="default"/>
      </w:rPr>
    </w:lvl>
    <w:lvl w:ilvl="2" w:tplc="3E1E5FC0" w:tentative="1">
      <w:start w:val="1"/>
      <w:numFmt w:val="bullet"/>
      <w:lvlText w:val=""/>
      <w:lvlJc w:val="left"/>
      <w:pPr>
        <w:tabs>
          <w:tab w:val="num" w:pos="2160"/>
        </w:tabs>
        <w:ind w:left="2160" w:hanging="360"/>
      </w:pPr>
      <w:rPr>
        <w:rFonts w:ascii="Wingdings" w:hAnsi="Wingdings" w:hint="default"/>
      </w:rPr>
    </w:lvl>
    <w:lvl w:ilvl="3" w:tplc="A520394C" w:tentative="1">
      <w:start w:val="1"/>
      <w:numFmt w:val="bullet"/>
      <w:lvlText w:val=""/>
      <w:lvlJc w:val="left"/>
      <w:pPr>
        <w:tabs>
          <w:tab w:val="num" w:pos="2880"/>
        </w:tabs>
        <w:ind w:left="2880" w:hanging="360"/>
      </w:pPr>
      <w:rPr>
        <w:rFonts w:ascii="Wingdings" w:hAnsi="Wingdings" w:hint="default"/>
      </w:rPr>
    </w:lvl>
    <w:lvl w:ilvl="4" w:tplc="61D49950" w:tentative="1">
      <w:start w:val="1"/>
      <w:numFmt w:val="bullet"/>
      <w:lvlText w:val=""/>
      <w:lvlJc w:val="left"/>
      <w:pPr>
        <w:tabs>
          <w:tab w:val="num" w:pos="3600"/>
        </w:tabs>
        <w:ind w:left="3600" w:hanging="360"/>
      </w:pPr>
      <w:rPr>
        <w:rFonts w:ascii="Wingdings" w:hAnsi="Wingdings" w:hint="default"/>
      </w:rPr>
    </w:lvl>
    <w:lvl w:ilvl="5" w:tplc="3E5EFFF8" w:tentative="1">
      <w:start w:val="1"/>
      <w:numFmt w:val="bullet"/>
      <w:lvlText w:val=""/>
      <w:lvlJc w:val="left"/>
      <w:pPr>
        <w:tabs>
          <w:tab w:val="num" w:pos="4320"/>
        </w:tabs>
        <w:ind w:left="4320" w:hanging="360"/>
      </w:pPr>
      <w:rPr>
        <w:rFonts w:ascii="Wingdings" w:hAnsi="Wingdings" w:hint="default"/>
      </w:rPr>
    </w:lvl>
    <w:lvl w:ilvl="6" w:tplc="81CA9148" w:tentative="1">
      <w:start w:val="1"/>
      <w:numFmt w:val="bullet"/>
      <w:lvlText w:val=""/>
      <w:lvlJc w:val="left"/>
      <w:pPr>
        <w:tabs>
          <w:tab w:val="num" w:pos="5040"/>
        </w:tabs>
        <w:ind w:left="5040" w:hanging="360"/>
      </w:pPr>
      <w:rPr>
        <w:rFonts w:ascii="Wingdings" w:hAnsi="Wingdings" w:hint="default"/>
      </w:rPr>
    </w:lvl>
    <w:lvl w:ilvl="7" w:tplc="1B2A5C36" w:tentative="1">
      <w:start w:val="1"/>
      <w:numFmt w:val="bullet"/>
      <w:lvlText w:val=""/>
      <w:lvlJc w:val="left"/>
      <w:pPr>
        <w:tabs>
          <w:tab w:val="num" w:pos="5760"/>
        </w:tabs>
        <w:ind w:left="5760" w:hanging="360"/>
      </w:pPr>
      <w:rPr>
        <w:rFonts w:ascii="Wingdings" w:hAnsi="Wingdings" w:hint="default"/>
      </w:rPr>
    </w:lvl>
    <w:lvl w:ilvl="8" w:tplc="ED0A5E7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10"/>
  </w:num>
  <w:num w:numId="5">
    <w:abstractNumId w:val="1"/>
  </w:num>
  <w:num w:numId="6">
    <w:abstractNumId w:val="5"/>
  </w:num>
  <w:num w:numId="7">
    <w:abstractNumId w:val="4"/>
  </w:num>
  <w:num w:numId="8">
    <w:abstractNumId w:val="6"/>
  </w:num>
  <w:num w:numId="9">
    <w:abstractNumId w:val="7"/>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DD"/>
    <w:rsid w:val="00003BF9"/>
    <w:rsid w:val="000068E0"/>
    <w:rsid w:val="0000735D"/>
    <w:rsid w:val="00007FF1"/>
    <w:rsid w:val="00010A1A"/>
    <w:rsid w:val="00010B76"/>
    <w:rsid w:val="00012770"/>
    <w:rsid w:val="000128C4"/>
    <w:rsid w:val="00013CBE"/>
    <w:rsid w:val="000140A1"/>
    <w:rsid w:val="0001410B"/>
    <w:rsid w:val="00014482"/>
    <w:rsid w:val="00014671"/>
    <w:rsid w:val="00015441"/>
    <w:rsid w:val="000158A4"/>
    <w:rsid w:val="00017851"/>
    <w:rsid w:val="00017EFE"/>
    <w:rsid w:val="000212A4"/>
    <w:rsid w:val="000257BE"/>
    <w:rsid w:val="00025840"/>
    <w:rsid w:val="00025BAC"/>
    <w:rsid w:val="000262FD"/>
    <w:rsid w:val="0003083C"/>
    <w:rsid w:val="00030942"/>
    <w:rsid w:val="000313DA"/>
    <w:rsid w:val="00032C99"/>
    <w:rsid w:val="00033DC4"/>
    <w:rsid w:val="0003499A"/>
    <w:rsid w:val="00034CD4"/>
    <w:rsid w:val="00036836"/>
    <w:rsid w:val="00040971"/>
    <w:rsid w:val="000415D1"/>
    <w:rsid w:val="00041D77"/>
    <w:rsid w:val="0004226C"/>
    <w:rsid w:val="0004294A"/>
    <w:rsid w:val="00043DA5"/>
    <w:rsid w:val="000445E4"/>
    <w:rsid w:val="000447A2"/>
    <w:rsid w:val="00044FB3"/>
    <w:rsid w:val="000452DE"/>
    <w:rsid w:val="000470AB"/>
    <w:rsid w:val="00054B8E"/>
    <w:rsid w:val="00054D64"/>
    <w:rsid w:val="00055A8E"/>
    <w:rsid w:val="00056509"/>
    <w:rsid w:val="0006073C"/>
    <w:rsid w:val="00062EAF"/>
    <w:rsid w:val="00065EC0"/>
    <w:rsid w:val="00067100"/>
    <w:rsid w:val="000673EB"/>
    <w:rsid w:val="00067AA9"/>
    <w:rsid w:val="000708EC"/>
    <w:rsid w:val="00070AA2"/>
    <w:rsid w:val="0007215C"/>
    <w:rsid w:val="000745EE"/>
    <w:rsid w:val="00074ECD"/>
    <w:rsid w:val="000755D5"/>
    <w:rsid w:val="000762F0"/>
    <w:rsid w:val="00077396"/>
    <w:rsid w:val="00082E87"/>
    <w:rsid w:val="0008540A"/>
    <w:rsid w:val="00085837"/>
    <w:rsid w:val="00086742"/>
    <w:rsid w:val="000867F7"/>
    <w:rsid w:val="00092791"/>
    <w:rsid w:val="0009311A"/>
    <w:rsid w:val="000935EE"/>
    <w:rsid w:val="0009452A"/>
    <w:rsid w:val="00095FA6"/>
    <w:rsid w:val="000968B9"/>
    <w:rsid w:val="00096ADD"/>
    <w:rsid w:val="00096F65"/>
    <w:rsid w:val="000A01A6"/>
    <w:rsid w:val="000A1B1E"/>
    <w:rsid w:val="000A2727"/>
    <w:rsid w:val="000A2AAD"/>
    <w:rsid w:val="000A5003"/>
    <w:rsid w:val="000A6550"/>
    <w:rsid w:val="000B0206"/>
    <w:rsid w:val="000B3B04"/>
    <w:rsid w:val="000B473B"/>
    <w:rsid w:val="000B5619"/>
    <w:rsid w:val="000B5696"/>
    <w:rsid w:val="000B58F8"/>
    <w:rsid w:val="000B6DF5"/>
    <w:rsid w:val="000C0301"/>
    <w:rsid w:val="000C0B04"/>
    <w:rsid w:val="000C11E4"/>
    <w:rsid w:val="000C19F1"/>
    <w:rsid w:val="000C5153"/>
    <w:rsid w:val="000C534D"/>
    <w:rsid w:val="000C538C"/>
    <w:rsid w:val="000C689C"/>
    <w:rsid w:val="000C77FE"/>
    <w:rsid w:val="000C7C73"/>
    <w:rsid w:val="000D0802"/>
    <w:rsid w:val="000D237D"/>
    <w:rsid w:val="000D2878"/>
    <w:rsid w:val="000D29F8"/>
    <w:rsid w:val="000D47DD"/>
    <w:rsid w:val="000D4B60"/>
    <w:rsid w:val="000D4DCC"/>
    <w:rsid w:val="000D4FC3"/>
    <w:rsid w:val="000D6502"/>
    <w:rsid w:val="000D6FB4"/>
    <w:rsid w:val="000D7DD6"/>
    <w:rsid w:val="000E0089"/>
    <w:rsid w:val="000E4249"/>
    <w:rsid w:val="000E5174"/>
    <w:rsid w:val="000F0E4C"/>
    <w:rsid w:val="000F17FB"/>
    <w:rsid w:val="000F39B8"/>
    <w:rsid w:val="000F3A26"/>
    <w:rsid w:val="000F6745"/>
    <w:rsid w:val="000F69F9"/>
    <w:rsid w:val="000F7C42"/>
    <w:rsid w:val="00101D7A"/>
    <w:rsid w:val="001051A0"/>
    <w:rsid w:val="00105616"/>
    <w:rsid w:val="00110528"/>
    <w:rsid w:val="00111D8F"/>
    <w:rsid w:val="001159E6"/>
    <w:rsid w:val="00117332"/>
    <w:rsid w:val="001176D1"/>
    <w:rsid w:val="001200AB"/>
    <w:rsid w:val="00122671"/>
    <w:rsid w:val="00124B07"/>
    <w:rsid w:val="001268A3"/>
    <w:rsid w:val="0013035F"/>
    <w:rsid w:val="00130E3C"/>
    <w:rsid w:val="001314C5"/>
    <w:rsid w:val="00132753"/>
    <w:rsid w:val="00133B32"/>
    <w:rsid w:val="0013425B"/>
    <w:rsid w:val="001347E8"/>
    <w:rsid w:val="001358FB"/>
    <w:rsid w:val="001420AD"/>
    <w:rsid w:val="00143ED4"/>
    <w:rsid w:val="00144A95"/>
    <w:rsid w:val="00146C52"/>
    <w:rsid w:val="001475E5"/>
    <w:rsid w:val="00150315"/>
    <w:rsid w:val="00150D3D"/>
    <w:rsid w:val="0015263E"/>
    <w:rsid w:val="00154401"/>
    <w:rsid w:val="001550CC"/>
    <w:rsid w:val="00155C82"/>
    <w:rsid w:val="00157BF3"/>
    <w:rsid w:val="00163C33"/>
    <w:rsid w:val="001649ED"/>
    <w:rsid w:val="00165837"/>
    <w:rsid w:val="00167735"/>
    <w:rsid w:val="00170AFB"/>
    <w:rsid w:val="001719A0"/>
    <w:rsid w:val="0017281C"/>
    <w:rsid w:val="00173067"/>
    <w:rsid w:val="00176A2E"/>
    <w:rsid w:val="0018075E"/>
    <w:rsid w:val="00180DC9"/>
    <w:rsid w:val="0018118A"/>
    <w:rsid w:val="0018141F"/>
    <w:rsid w:val="001815FD"/>
    <w:rsid w:val="001821F0"/>
    <w:rsid w:val="001833B6"/>
    <w:rsid w:val="001903F5"/>
    <w:rsid w:val="00191669"/>
    <w:rsid w:val="00193186"/>
    <w:rsid w:val="00193D57"/>
    <w:rsid w:val="00193E4E"/>
    <w:rsid w:val="0019583F"/>
    <w:rsid w:val="00195AAA"/>
    <w:rsid w:val="0019656F"/>
    <w:rsid w:val="001A0240"/>
    <w:rsid w:val="001A02AE"/>
    <w:rsid w:val="001A1544"/>
    <w:rsid w:val="001A20FB"/>
    <w:rsid w:val="001A40FC"/>
    <w:rsid w:val="001A5266"/>
    <w:rsid w:val="001B17B9"/>
    <w:rsid w:val="001B39D0"/>
    <w:rsid w:val="001B3D16"/>
    <w:rsid w:val="001B4D0A"/>
    <w:rsid w:val="001B6940"/>
    <w:rsid w:val="001B7292"/>
    <w:rsid w:val="001B7808"/>
    <w:rsid w:val="001C0757"/>
    <w:rsid w:val="001C1D05"/>
    <w:rsid w:val="001C1E1D"/>
    <w:rsid w:val="001C2B37"/>
    <w:rsid w:val="001C47C8"/>
    <w:rsid w:val="001C5E76"/>
    <w:rsid w:val="001C6A74"/>
    <w:rsid w:val="001C76DE"/>
    <w:rsid w:val="001C7879"/>
    <w:rsid w:val="001D0D81"/>
    <w:rsid w:val="001D239A"/>
    <w:rsid w:val="001D3322"/>
    <w:rsid w:val="001D42FA"/>
    <w:rsid w:val="001D5AC0"/>
    <w:rsid w:val="001D5F16"/>
    <w:rsid w:val="001D7178"/>
    <w:rsid w:val="001E0411"/>
    <w:rsid w:val="001E051E"/>
    <w:rsid w:val="001E08D0"/>
    <w:rsid w:val="001E0C4B"/>
    <w:rsid w:val="001E324D"/>
    <w:rsid w:val="001E758C"/>
    <w:rsid w:val="001E79B3"/>
    <w:rsid w:val="001F0108"/>
    <w:rsid w:val="001F0FC3"/>
    <w:rsid w:val="001F1F21"/>
    <w:rsid w:val="001F34DF"/>
    <w:rsid w:val="001F5B92"/>
    <w:rsid w:val="001F7D01"/>
    <w:rsid w:val="001F7E2B"/>
    <w:rsid w:val="002018FB"/>
    <w:rsid w:val="0020252E"/>
    <w:rsid w:val="002034BD"/>
    <w:rsid w:val="0021202B"/>
    <w:rsid w:val="00213F5E"/>
    <w:rsid w:val="0021472D"/>
    <w:rsid w:val="00215275"/>
    <w:rsid w:val="0021595C"/>
    <w:rsid w:val="002169A4"/>
    <w:rsid w:val="00217B7E"/>
    <w:rsid w:val="00221AFB"/>
    <w:rsid w:val="00221B34"/>
    <w:rsid w:val="00223474"/>
    <w:rsid w:val="002242D8"/>
    <w:rsid w:val="0022586C"/>
    <w:rsid w:val="00226794"/>
    <w:rsid w:val="0022714E"/>
    <w:rsid w:val="002273CE"/>
    <w:rsid w:val="002307B5"/>
    <w:rsid w:val="002311A2"/>
    <w:rsid w:val="00232498"/>
    <w:rsid w:val="002334F9"/>
    <w:rsid w:val="002339D3"/>
    <w:rsid w:val="00234C56"/>
    <w:rsid w:val="002353C4"/>
    <w:rsid w:val="00236DAC"/>
    <w:rsid w:val="00237A13"/>
    <w:rsid w:val="00241C40"/>
    <w:rsid w:val="002445CA"/>
    <w:rsid w:val="00244886"/>
    <w:rsid w:val="00244AEA"/>
    <w:rsid w:val="002452EC"/>
    <w:rsid w:val="00245574"/>
    <w:rsid w:val="00251690"/>
    <w:rsid w:val="00257CF1"/>
    <w:rsid w:val="0026071E"/>
    <w:rsid w:val="00260A4C"/>
    <w:rsid w:val="00263190"/>
    <w:rsid w:val="002632B5"/>
    <w:rsid w:val="00264718"/>
    <w:rsid w:val="00264C50"/>
    <w:rsid w:val="0026727B"/>
    <w:rsid w:val="00267439"/>
    <w:rsid w:val="002710CE"/>
    <w:rsid w:val="00272036"/>
    <w:rsid w:val="002757E1"/>
    <w:rsid w:val="00276CBE"/>
    <w:rsid w:val="00280159"/>
    <w:rsid w:val="002819E1"/>
    <w:rsid w:val="00281C96"/>
    <w:rsid w:val="00282A45"/>
    <w:rsid w:val="002861E0"/>
    <w:rsid w:val="00286EFF"/>
    <w:rsid w:val="0028734E"/>
    <w:rsid w:val="00287F40"/>
    <w:rsid w:val="0029108E"/>
    <w:rsid w:val="002924F8"/>
    <w:rsid w:val="00292B85"/>
    <w:rsid w:val="002A2351"/>
    <w:rsid w:val="002A30ED"/>
    <w:rsid w:val="002A5586"/>
    <w:rsid w:val="002A5928"/>
    <w:rsid w:val="002A713A"/>
    <w:rsid w:val="002B1436"/>
    <w:rsid w:val="002B3DEA"/>
    <w:rsid w:val="002B4557"/>
    <w:rsid w:val="002B587C"/>
    <w:rsid w:val="002B5F95"/>
    <w:rsid w:val="002B6066"/>
    <w:rsid w:val="002B7B3A"/>
    <w:rsid w:val="002C05DF"/>
    <w:rsid w:val="002C065A"/>
    <w:rsid w:val="002C12DE"/>
    <w:rsid w:val="002C1D27"/>
    <w:rsid w:val="002C7EA3"/>
    <w:rsid w:val="002D0BB4"/>
    <w:rsid w:val="002D105E"/>
    <w:rsid w:val="002D1BB8"/>
    <w:rsid w:val="002D5271"/>
    <w:rsid w:val="002E1040"/>
    <w:rsid w:val="002E1A40"/>
    <w:rsid w:val="002E316C"/>
    <w:rsid w:val="002E3377"/>
    <w:rsid w:val="002F0052"/>
    <w:rsid w:val="002F00E8"/>
    <w:rsid w:val="002F0D08"/>
    <w:rsid w:val="002F110F"/>
    <w:rsid w:val="002F2250"/>
    <w:rsid w:val="002F25A2"/>
    <w:rsid w:val="002F29C7"/>
    <w:rsid w:val="002F3141"/>
    <w:rsid w:val="002F3A66"/>
    <w:rsid w:val="002F4E49"/>
    <w:rsid w:val="002F5EBE"/>
    <w:rsid w:val="002F6FFF"/>
    <w:rsid w:val="002F77A4"/>
    <w:rsid w:val="0030255D"/>
    <w:rsid w:val="00303E52"/>
    <w:rsid w:val="00304DFB"/>
    <w:rsid w:val="00306B84"/>
    <w:rsid w:val="0030729B"/>
    <w:rsid w:val="00307801"/>
    <w:rsid w:val="0031113C"/>
    <w:rsid w:val="0031343B"/>
    <w:rsid w:val="00315C97"/>
    <w:rsid w:val="00316DDC"/>
    <w:rsid w:val="003173E6"/>
    <w:rsid w:val="003274F3"/>
    <w:rsid w:val="00327728"/>
    <w:rsid w:val="00327A45"/>
    <w:rsid w:val="0033327F"/>
    <w:rsid w:val="0033506D"/>
    <w:rsid w:val="00335826"/>
    <w:rsid w:val="00335955"/>
    <w:rsid w:val="003360FF"/>
    <w:rsid w:val="0033619A"/>
    <w:rsid w:val="00337410"/>
    <w:rsid w:val="00337C55"/>
    <w:rsid w:val="00340038"/>
    <w:rsid w:val="00341DF7"/>
    <w:rsid w:val="00343198"/>
    <w:rsid w:val="0034469C"/>
    <w:rsid w:val="00345189"/>
    <w:rsid w:val="0034582B"/>
    <w:rsid w:val="00350563"/>
    <w:rsid w:val="00350BA7"/>
    <w:rsid w:val="00350FB8"/>
    <w:rsid w:val="00351CE5"/>
    <w:rsid w:val="003543AE"/>
    <w:rsid w:val="00355EB1"/>
    <w:rsid w:val="003624AB"/>
    <w:rsid w:val="003651E3"/>
    <w:rsid w:val="00365506"/>
    <w:rsid w:val="00365AAC"/>
    <w:rsid w:val="00366339"/>
    <w:rsid w:val="00367741"/>
    <w:rsid w:val="00371F33"/>
    <w:rsid w:val="00372E78"/>
    <w:rsid w:val="003732FA"/>
    <w:rsid w:val="00373624"/>
    <w:rsid w:val="003745EA"/>
    <w:rsid w:val="0037526C"/>
    <w:rsid w:val="003766A8"/>
    <w:rsid w:val="00376A5D"/>
    <w:rsid w:val="00376B00"/>
    <w:rsid w:val="0038049A"/>
    <w:rsid w:val="00380DE8"/>
    <w:rsid w:val="00381932"/>
    <w:rsid w:val="00382F39"/>
    <w:rsid w:val="00383329"/>
    <w:rsid w:val="00390F27"/>
    <w:rsid w:val="00396E2F"/>
    <w:rsid w:val="003A0896"/>
    <w:rsid w:val="003A0CD9"/>
    <w:rsid w:val="003A124E"/>
    <w:rsid w:val="003A36CA"/>
    <w:rsid w:val="003A3C31"/>
    <w:rsid w:val="003A588B"/>
    <w:rsid w:val="003A5BC1"/>
    <w:rsid w:val="003A6331"/>
    <w:rsid w:val="003B0C32"/>
    <w:rsid w:val="003B2D4B"/>
    <w:rsid w:val="003B4B53"/>
    <w:rsid w:val="003B5362"/>
    <w:rsid w:val="003B62F9"/>
    <w:rsid w:val="003B6751"/>
    <w:rsid w:val="003B7B44"/>
    <w:rsid w:val="003C1488"/>
    <w:rsid w:val="003C2DE9"/>
    <w:rsid w:val="003C33E7"/>
    <w:rsid w:val="003C478C"/>
    <w:rsid w:val="003C58CE"/>
    <w:rsid w:val="003C6C39"/>
    <w:rsid w:val="003C6E73"/>
    <w:rsid w:val="003C7EBC"/>
    <w:rsid w:val="003D0100"/>
    <w:rsid w:val="003D0AED"/>
    <w:rsid w:val="003D25DD"/>
    <w:rsid w:val="003D3956"/>
    <w:rsid w:val="003D6CE2"/>
    <w:rsid w:val="003E0F39"/>
    <w:rsid w:val="003E14C2"/>
    <w:rsid w:val="003E2DF1"/>
    <w:rsid w:val="003E5059"/>
    <w:rsid w:val="003E5AE8"/>
    <w:rsid w:val="003E6A91"/>
    <w:rsid w:val="003E7653"/>
    <w:rsid w:val="003E7B78"/>
    <w:rsid w:val="003F31F6"/>
    <w:rsid w:val="003F5CAB"/>
    <w:rsid w:val="003F73A6"/>
    <w:rsid w:val="0040135F"/>
    <w:rsid w:val="00402038"/>
    <w:rsid w:val="00403216"/>
    <w:rsid w:val="004052CC"/>
    <w:rsid w:val="00406545"/>
    <w:rsid w:val="00410C67"/>
    <w:rsid w:val="0041290A"/>
    <w:rsid w:val="00413F44"/>
    <w:rsid w:val="004147F2"/>
    <w:rsid w:val="00414F4F"/>
    <w:rsid w:val="0041600E"/>
    <w:rsid w:val="00420C53"/>
    <w:rsid w:val="004219D5"/>
    <w:rsid w:val="00423299"/>
    <w:rsid w:val="0042559D"/>
    <w:rsid w:val="00426231"/>
    <w:rsid w:val="0042647D"/>
    <w:rsid w:val="00427420"/>
    <w:rsid w:val="004306DE"/>
    <w:rsid w:val="004316BD"/>
    <w:rsid w:val="00433379"/>
    <w:rsid w:val="004358E2"/>
    <w:rsid w:val="0043619E"/>
    <w:rsid w:val="004376E3"/>
    <w:rsid w:val="00437F72"/>
    <w:rsid w:val="00440741"/>
    <w:rsid w:val="00441F2D"/>
    <w:rsid w:val="00442969"/>
    <w:rsid w:val="00444F60"/>
    <w:rsid w:val="00445288"/>
    <w:rsid w:val="004458EC"/>
    <w:rsid w:val="00452DA2"/>
    <w:rsid w:val="00454359"/>
    <w:rsid w:val="0045469A"/>
    <w:rsid w:val="00454F55"/>
    <w:rsid w:val="0045622C"/>
    <w:rsid w:val="004603E6"/>
    <w:rsid w:val="00461719"/>
    <w:rsid w:val="00463ECF"/>
    <w:rsid w:val="004644B0"/>
    <w:rsid w:val="00465CBD"/>
    <w:rsid w:val="00467AE9"/>
    <w:rsid w:val="00467AFD"/>
    <w:rsid w:val="00467FDB"/>
    <w:rsid w:val="00470459"/>
    <w:rsid w:val="00471E2A"/>
    <w:rsid w:val="00473861"/>
    <w:rsid w:val="004748E8"/>
    <w:rsid w:val="00476E30"/>
    <w:rsid w:val="00476F0E"/>
    <w:rsid w:val="0048514F"/>
    <w:rsid w:val="00486D74"/>
    <w:rsid w:val="00487B1F"/>
    <w:rsid w:val="00492A5E"/>
    <w:rsid w:val="0049713C"/>
    <w:rsid w:val="00497E0E"/>
    <w:rsid w:val="004A0499"/>
    <w:rsid w:val="004A246E"/>
    <w:rsid w:val="004A41CE"/>
    <w:rsid w:val="004A4A37"/>
    <w:rsid w:val="004A6F1A"/>
    <w:rsid w:val="004B13AC"/>
    <w:rsid w:val="004B266D"/>
    <w:rsid w:val="004B2DCD"/>
    <w:rsid w:val="004B2E27"/>
    <w:rsid w:val="004B384E"/>
    <w:rsid w:val="004B3D10"/>
    <w:rsid w:val="004B5115"/>
    <w:rsid w:val="004B54DD"/>
    <w:rsid w:val="004B56A9"/>
    <w:rsid w:val="004B578E"/>
    <w:rsid w:val="004B5EA5"/>
    <w:rsid w:val="004B7E5F"/>
    <w:rsid w:val="004C0C7D"/>
    <w:rsid w:val="004C1076"/>
    <w:rsid w:val="004C1A9C"/>
    <w:rsid w:val="004C2770"/>
    <w:rsid w:val="004C2D6F"/>
    <w:rsid w:val="004C3ED1"/>
    <w:rsid w:val="004C4864"/>
    <w:rsid w:val="004C7610"/>
    <w:rsid w:val="004D1634"/>
    <w:rsid w:val="004D486C"/>
    <w:rsid w:val="004D4BAA"/>
    <w:rsid w:val="004D7246"/>
    <w:rsid w:val="004E0101"/>
    <w:rsid w:val="004E06F7"/>
    <w:rsid w:val="004E08B1"/>
    <w:rsid w:val="004E0D63"/>
    <w:rsid w:val="004E1BA1"/>
    <w:rsid w:val="004E521B"/>
    <w:rsid w:val="004F08D7"/>
    <w:rsid w:val="004F14DA"/>
    <w:rsid w:val="004F3032"/>
    <w:rsid w:val="004F3F40"/>
    <w:rsid w:val="004F4595"/>
    <w:rsid w:val="004F5221"/>
    <w:rsid w:val="00500B27"/>
    <w:rsid w:val="00501332"/>
    <w:rsid w:val="00502E51"/>
    <w:rsid w:val="0050560C"/>
    <w:rsid w:val="00505F20"/>
    <w:rsid w:val="00507A73"/>
    <w:rsid w:val="00510260"/>
    <w:rsid w:val="00510508"/>
    <w:rsid w:val="00515FE6"/>
    <w:rsid w:val="00516AE9"/>
    <w:rsid w:val="00517BCE"/>
    <w:rsid w:val="005202C6"/>
    <w:rsid w:val="0052216A"/>
    <w:rsid w:val="0052249C"/>
    <w:rsid w:val="00522EDD"/>
    <w:rsid w:val="0053356D"/>
    <w:rsid w:val="00533955"/>
    <w:rsid w:val="00537316"/>
    <w:rsid w:val="0053737C"/>
    <w:rsid w:val="005378F8"/>
    <w:rsid w:val="00537DE1"/>
    <w:rsid w:val="0054008A"/>
    <w:rsid w:val="0054059F"/>
    <w:rsid w:val="0054134D"/>
    <w:rsid w:val="00541635"/>
    <w:rsid w:val="0054398A"/>
    <w:rsid w:val="00543E06"/>
    <w:rsid w:val="0054461F"/>
    <w:rsid w:val="00544C70"/>
    <w:rsid w:val="00544E14"/>
    <w:rsid w:val="00545014"/>
    <w:rsid w:val="00546CEA"/>
    <w:rsid w:val="005472FB"/>
    <w:rsid w:val="0055098B"/>
    <w:rsid w:val="00550ACA"/>
    <w:rsid w:val="005511F1"/>
    <w:rsid w:val="00551773"/>
    <w:rsid w:val="00553654"/>
    <w:rsid w:val="005537CF"/>
    <w:rsid w:val="00553972"/>
    <w:rsid w:val="005558E7"/>
    <w:rsid w:val="005574AB"/>
    <w:rsid w:val="0055790B"/>
    <w:rsid w:val="00557CBE"/>
    <w:rsid w:val="00560675"/>
    <w:rsid w:val="005630F0"/>
    <w:rsid w:val="00567014"/>
    <w:rsid w:val="00567985"/>
    <w:rsid w:val="005679E3"/>
    <w:rsid w:val="00567CCC"/>
    <w:rsid w:val="00573622"/>
    <w:rsid w:val="00573A21"/>
    <w:rsid w:val="00574112"/>
    <w:rsid w:val="0057566B"/>
    <w:rsid w:val="005762E9"/>
    <w:rsid w:val="005771C7"/>
    <w:rsid w:val="00581F0A"/>
    <w:rsid w:val="00586109"/>
    <w:rsid w:val="00586CE4"/>
    <w:rsid w:val="0059098E"/>
    <w:rsid w:val="00591271"/>
    <w:rsid w:val="00591893"/>
    <w:rsid w:val="005919F9"/>
    <w:rsid w:val="0059244F"/>
    <w:rsid w:val="005964B4"/>
    <w:rsid w:val="00597143"/>
    <w:rsid w:val="005A0A93"/>
    <w:rsid w:val="005A6615"/>
    <w:rsid w:val="005B1801"/>
    <w:rsid w:val="005B355D"/>
    <w:rsid w:val="005B44F6"/>
    <w:rsid w:val="005B5B0F"/>
    <w:rsid w:val="005B5F62"/>
    <w:rsid w:val="005B6B14"/>
    <w:rsid w:val="005B771A"/>
    <w:rsid w:val="005B79A3"/>
    <w:rsid w:val="005B7F80"/>
    <w:rsid w:val="005C08D8"/>
    <w:rsid w:val="005C0A7D"/>
    <w:rsid w:val="005C1024"/>
    <w:rsid w:val="005C2AD8"/>
    <w:rsid w:val="005C4B6C"/>
    <w:rsid w:val="005D00A1"/>
    <w:rsid w:val="005D1B1D"/>
    <w:rsid w:val="005D367E"/>
    <w:rsid w:val="005D37B0"/>
    <w:rsid w:val="005D3AC3"/>
    <w:rsid w:val="005E17F0"/>
    <w:rsid w:val="005E1DA2"/>
    <w:rsid w:val="005E404D"/>
    <w:rsid w:val="005E40B0"/>
    <w:rsid w:val="005E5EB2"/>
    <w:rsid w:val="005E7263"/>
    <w:rsid w:val="005F487B"/>
    <w:rsid w:val="005F4886"/>
    <w:rsid w:val="006012B7"/>
    <w:rsid w:val="00601A3E"/>
    <w:rsid w:val="006036C9"/>
    <w:rsid w:val="00604324"/>
    <w:rsid w:val="0060584F"/>
    <w:rsid w:val="00606390"/>
    <w:rsid w:val="006068AC"/>
    <w:rsid w:val="00607051"/>
    <w:rsid w:val="006073A7"/>
    <w:rsid w:val="00607EFC"/>
    <w:rsid w:val="00611B2B"/>
    <w:rsid w:val="00612446"/>
    <w:rsid w:val="00613239"/>
    <w:rsid w:val="00613C19"/>
    <w:rsid w:val="00615A4C"/>
    <w:rsid w:val="0062006E"/>
    <w:rsid w:val="00620140"/>
    <w:rsid w:val="006213F8"/>
    <w:rsid w:val="0062164F"/>
    <w:rsid w:val="006330EA"/>
    <w:rsid w:val="00634529"/>
    <w:rsid w:val="006367CB"/>
    <w:rsid w:val="00641969"/>
    <w:rsid w:val="00642A0C"/>
    <w:rsid w:val="00643144"/>
    <w:rsid w:val="00644C01"/>
    <w:rsid w:val="00646CF2"/>
    <w:rsid w:val="00653AF8"/>
    <w:rsid w:val="006541F7"/>
    <w:rsid w:val="00654323"/>
    <w:rsid w:val="006546A6"/>
    <w:rsid w:val="006560AE"/>
    <w:rsid w:val="00657C22"/>
    <w:rsid w:val="006608F8"/>
    <w:rsid w:val="00661BCD"/>
    <w:rsid w:val="00664256"/>
    <w:rsid w:val="0066439E"/>
    <w:rsid w:val="00666B1B"/>
    <w:rsid w:val="00667FF8"/>
    <w:rsid w:val="006716F3"/>
    <w:rsid w:val="0067205C"/>
    <w:rsid w:val="00673313"/>
    <w:rsid w:val="00674640"/>
    <w:rsid w:val="00674C9B"/>
    <w:rsid w:val="0067553C"/>
    <w:rsid w:val="0067628A"/>
    <w:rsid w:val="00676ED4"/>
    <w:rsid w:val="00676FC1"/>
    <w:rsid w:val="0068012A"/>
    <w:rsid w:val="00681EAC"/>
    <w:rsid w:val="0068257B"/>
    <w:rsid w:val="0068311A"/>
    <w:rsid w:val="00684843"/>
    <w:rsid w:val="00684AD2"/>
    <w:rsid w:val="00685253"/>
    <w:rsid w:val="00685BD4"/>
    <w:rsid w:val="00685D09"/>
    <w:rsid w:val="006873DD"/>
    <w:rsid w:val="00690A6C"/>
    <w:rsid w:val="00690B4B"/>
    <w:rsid w:val="00691F15"/>
    <w:rsid w:val="00692EF5"/>
    <w:rsid w:val="00694CC2"/>
    <w:rsid w:val="00695D4C"/>
    <w:rsid w:val="00696560"/>
    <w:rsid w:val="006A162E"/>
    <w:rsid w:val="006A20AC"/>
    <w:rsid w:val="006A24EE"/>
    <w:rsid w:val="006A2882"/>
    <w:rsid w:val="006A321B"/>
    <w:rsid w:val="006A40A0"/>
    <w:rsid w:val="006A42FE"/>
    <w:rsid w:val="006A4DC0"/>
    <w:rsid w:val="006A74F2"/>
    <w:rsid w:val="006B3F36"/>
    <w:rsid w:val="006B49D7"/>
    <w:rsid w:val="006B578F"/>
    <w:rsid w:val="006C0104"/>
    <w:rsid w:val="006C05BB"/>
    <w:rsid w:val="006C25EA"/>
    <w:rsid w:val="006C5D9F"/>
    <w:rsid w:val="006D0304"/>
    <w:rsid w:val="006D0782"/>
    <w:rsid w:val="006D2089"/>
    <w:rsid w:val="006D41BA"/>
    <w:rsid w:val="006D5AA9"/>
    <w:rsid w:val="006D5ADF"/>
    <w:rsid w:val="006D64E5"/>
    <w:rsid w:val="006E07C5"/>
    <w:rsid w:val="006E15ED"/>
    <w:rsid w:val="006E173B"/>
    <w:rsid w:val="006E1E5E"/>
    <w:rsid w:val="006E31C4"/>
    <w:rsid w:val="006E497F"/>
    <w:rsid w:val="006E4F43"/>
    <w:rsid w:val="006E71D7"/>
    <w:rsid w:val="006E780D"/>
    <w:rsid w:val="006E7831"/>
    <w:rsid w:val="006F14DE"/>
    <w:rsid w:val="006F2115"/>
    <w:rsid w:val="006F2C9F"/>
    <w:rsid w:val="006F3319"/>
    <w:rsid w:val="006F3388"/>
    <w:rsid w:val="006F3C9A"/>
    <w:rsid w:val="006F577D"/>
    <w:rsid w:val="0070019E"/>
    <w:rsid w:val="0070101A"/>
    <w:rsid w:val="00701595"/>
    <w:rsid w:val="00701B76"/>
    <w:rsid w:val="007053C5"/>
    <w:rsid w:val="00707422"/>
    <w:rsid w:val="007119A6"/>
    <w:rsid w:val="00711D44"/>
    <w:rsid w:val="00712048"/>
    <w:rsid w:val="007139A2"/>
    <w:rsid w:val="00713DD3"/>
    <w:rsid w:val="007144A9"/>
    <w:rsid w:val="0071630A"/>
    <w:rsid w:val="00716916"/>
    <w:rsid w:val="0072259F"/>
    <w:rsid w:val="00723B64"/>
    <w:rsid w:val="00723BDC"/>
    <w:rsid w:val="0072498F"/>
    <w:rsid w:val="00727300"/>
    <w:rsid w:val="00731B7B"/>
    <w:rsid w:val="00732806"/>
    <w:rsid w:val="00733581"/>
    <w:rsid w:val="007344A7"/>
    <w:rsid w:val="00735776"/>
    <w:rsid w:val="00740ACA"/>
    <w:rsid w:val="00741AE3"/>
    <w:rsid w:val="007434EB"/>
    <w:rsid w:val="0074361E"/>
    <w:rsid w:val="00744B08"/>
    <w:rsid w:val="007467F7"/>
    <w:rsid w:val="00750946"/>
    <w:rsid w:val="0075296A"/>
    <w:rsid w:val="00753449"/>
    <w:rsid w:val="0075457F"/>
    <w:rsid w:val="00756A56"/>
    <w:rsid w:val="007600B9"/>
    <w:rsid w:val="00761879"/>
    <w:rsid w:val="00762018"/>
    <w:rsid w:val="00766607"/>
    <w:rsid w:val="007670A4"/>
    <w:rsid w:val="00767519"/>
    <w:rsid w:val="00770243"/>
    <w:rsid w:val="00771849"/>
    <w:rsid w:val="00774A66"/>
    <w:rsid w:val="007772BD"/>
    <w:rsid w:val="00780CCE"/>
    <w:rsid w:val="00780F21"/>
    <w:rsid w:val="00781748"/>
    <w:rsid w:val="0078477A"/>
    <w:rsid w:val="007847A5"/>
    <w:rsid w:val="00786C15"/>
    <w:rsid w:val="00790309"/>
    <w:rsid w:val="00792CF4"/>
    <w:rsid w:val="0079353F"/>
    <w:rsid w:val="0079570B"/>
    <w:rsid w:val="0079635F"/>
    <w:rsid w:val="007A117C"/>
    <w:rsid w:val="007A33B1"/>
    <w:rsid w:val="007A3A69"/>
    <w:rsid w:val="007A419C"/>
    <w:rsid w:val="007A53CE"/>
    <w:rsid w:val="007A54B2"/>
    <w:rsid w:val="007A59DE"/>
    <w:rsid w:val="007A62EA"/>
    <w:rsid w:val="007B03CA"/>
    <w:rsid w:val="007B145F"/>
    <w:rsid w:val="007B4447"/>
    <w:rsid w:val="007B54A3"/>
    <w:rsid w:val="007B5A0E"/>
    <w:rsid w:val="007B5A12"/>
    <w:rsid w:val="007B6C40"/>
    <w:rsid w:val="007B7A92"/>
    <w:rsid w:val="007C1271"/>
    <w:rsid w:val="007C1CB4"/>
    <w:rsid w:val="007C33A9"/>
    <w:rsid w:val="007C39C8"/>
    <w:rsid w:val="007C3FC2"/>
    <w:rsid w:val="007C56EF"/>
    <w:rsid w:val="007D21BB"/>
    <w:rsid w:val="007D41AC"/>
    <w:rsid w:val="007D5AC1"/>
    <w:rsid w:val="007D6960"/>
    <w:rsid w:val="007E14C5"/>
    <w:rsid w:val="007E1A9B"/>
    <w:rsid w:val="007E34C0"/>
    <w:rsid w:val="007E498F"/>
    <w:rsid w:val="007E7102"/>
    <w:rsid w:val="007F0B49"/>
    <w:rsid w:val="007F68D5"/>
    <w:rsid w:val="007F7044"/>
    <w:rsid w:val="0080085C"/>
    <w:rsid w:val="00802906"/>
    <w:rsid w:val="00805D9C"/>
    <w:rsid w:val="0081170E"/>
    <w:rsid w:val="00811C41"/>
    <w:rsid w:val="00812427"/>
    <w:rsid w:val="00813517"/>
    <w:rsid w:val="00813F30"/>
    <w:rsid w:val="00815F31"/>
    <w:rsid w:val="00816772"/>
    <w:rsid w:val="00817B97"/>
    <w:rsid w:val="0082045C"/>
    <w:rsid w:val="008209B7"/>
    <w:rsid w:val="00821D95"/>
    <w:rsid w:val="00822D64"/>
    <w:rsid w:val="00823853"/>
    <w:rsid w:val="00825824"/>
    <w:rsid w:val="00826FED"/>
    <w:rsid w:val="008270C5"/>
    <w:rsid w:val="008271A6"/>
    <w:rsid w:val="0082739B"/>
    <w:rsid w:val="008274D9"/>
    <w:rsid w:val="00830C95"/>
    <w:rsid w:val="0083181A"/>
    <w:rsid w:val="008330F4"/>
    <w:rsid w:val="0083619F"/>
    <w:rsid w:val="00844EEE"/>
    <w:rsid w:val="008462F6"/>
    <w:rsid w:val="00846A78"/>
    <w:rsid w:val="0085486B"/>
    <w:rsid w:val="00854A84"/>
    <w:rsid w:val="00855605"/>
    <w:rsid w:val="008558EA"/>
    <w:rsid w:val="00855C26"/>
    <w:rsid w:val="008563F7"/>
    <w:rsid w:val="0085675B"/>
    <w:rsid w:val="00860218"/>
    <w:rsid w:val="00860E1A"/>
    <w:rsid w:val="00860EB9"/>
    <w:rsid w:val="008640BD"/>
    <w:rsid w:val="00865D9A"/>
    <w:rsid w:val="00866D7A"/>
    <w:rsid w:val="00867D9B"/>
    <w:rsid w:val="0087156B"/>
    <w:rsid w:val="00871B3E"/>
    <w:rsid w:val="008724E5"/>
    <w:rsid w:val="008728B3"/>
    <w:rsid w:val="008745CD"/>
    <w:rsid w:val="00874BF4"/>
    <w:rsid w:val="00877955"/>
    <w:rsid w:val="00880CC0"/>
    <w:rsid w:val="008817C4"/>
    <w:rsid w:val="008818DF"/>
    <w:rsid w:val="008826F8"/>
    <w:rsid w:val="008836C3"/>
    <w:rsid w:val="00886200"/>
    <w:rsid w:val="00887F9E"/>
    <w:rsid w:val="008902AC"/>
    <w:rsid w:val="008910C2"/>
    <w:rsid w:val="00891205"/>
    <w:rsid w:val="0089217D"/>
    <w:rsid w:val="00892D77"/>
    <w:rsid w:val="008936C0"/>
    <w:rsid w:val="00895A26"/>
    <w:rsid w:val="0089734F"/>
    <w:rsid w:val="008A0A61"/>
    <w:rsid w:val="008A1A6F"/>
    <w:rsid w:val="008A209C"/>
    <w:rsid w:val="008A329A"/>
    <w:rsid w:val="008A5725"/>
    <w:rsid w:val="008A5B9F"/>
    <w:rsid w:val="008A65A9"/>
    <w:rsid w:val="008A7FBE"/>
    <w:rsid w:val="008B11B0"/>
    <w:rsid w:val="008B1F76"/>
    <w:rsid w:val="008B3CDD"/>
    <w:rsid w:val="008B6C2F"/>
    <w:rsid w:val="008B753E"/>
    <w:rsid w:val="008C1A0E"/>
    <w:rsid w:val="008C21F0"/>
    <w:rsid w:val="008C2F5D"/>
    <w:rsid w:val="008C3002"/>
    <w:rsid w:val="008C3866"/>
    <w:rsid w:val="008C6A45"/>
    <w:rsid w:val="008C76E9"/>
    <w:rsid w:val="008C7D05"/>
    <w:rsid w:val="008D07C4"/>
    <w:rsid w:val="008D08C4"/>
    <w:rsid w:val="008D1F2F"/>
    <w:rsid w:val="008D2BE4"/>
    <w:rsid w:val="008D477D"/>
    <w:rsid w:val="008D5444"/>
    <w:rsid w:val="008D5C57"/>
    <w:rsid w:val="008D65BD"/>
    <w:rsid w:val="008D75B2"/>
    <w:rsid w:val="008E1A53"/>
    <w:rsid w:val="008E2B5B"/>
    <w:rsid w:val="008E35AF"/>
    <w:rsid w:val="008E3FE2"/>
    <w:rsid w:val="008E4101"/>
    <w:rsid w:val="008E654C"/>
    <w:rsid w:val="008F2131"/>
    <w:rsid w:val="008F473E"/>
    <w:rsid w:val="008F51A2"/>
    <w:rsid w:val="008F602C"/>
    <w:rsid w:val="008F7D03"/>
    <w:rsid w:val="00900E75"/>
    <w:rsid w:val="009011FC"/>
    <w:rsid w:val="009025C2"/>
    <w:rsid w:val="009102B7"/>
    <w:rsid w:val="00910C95"/>
    <w:rsid w:val="00911ACF"/>
    <w:rsid w:val="00912170"/>
    <w:rsid w:val="009124F0"/>
    <w:rsid w:val="00913512"/>
    <w:rsid w:val="009139B0"/>
    <w:rsid w:val="00914C85"/>
    <w:rsid w:val="00914CAC"/>
    <w:rsid w:val="0091535A"/>
    <w:rsid w:val="00915693"/>
    <w:rsid w:val="009167D2"/>
    <w:rsid w:val="00917E4B"/>
    <w:rsid w:val="009209BE"/>
    <w:rsid w:val="00923BE7"/>
    <w:rsid w:val="00924243"/>
    <w:rsid w:val="00924A2E"/>
    <w:rsid w:val="009250A8"/>
    <w:rsid w:val="00925767"/>
    <w:rsid w:val="00926DCB"/>
    <w:rsid w:val="00930EE2"/>
    <w:rsid w:val="0093180B"/>
    <w:rsid w:val="00932136"/>
    <w:rsid w:val="009323D8"/>
    <w:rsid w:val="00932943"/>
    <w:rsid w:val="009332EC"/>
    <w:rsid w:val="009341F9"/>
    <w:rsid w:val="00934A8B"/>
    <w:rsid w:val="009364DF"/>
    <w:rsid w:val="00941B01"/>
    <w:rsid w:val="00942742"/>
    <w:rsid w:val="00943B1D"/>
    <w:rsid w:val="0094477A"/>
    <w:rsid w:val="009451E2"/>
    <w:rsid w:val="00946443"/>
    <w:rsid w:val="00946E60"/>
    <w:rsid w:val="00947318"/>
    <w:rsid w:val="0095078B"/>
    <w:rsid w:val="0095129D"/>
    <w:rsid w:val="00952155"/>
    <w:rsid w:val="009542B2"/>
    <w:rsid w:val="00954547"/>
    <w:rsid w:val="00954696"/>
    <w:rsid w:val="00955B7B"/>
    <w:rsid w:val="0095792E"/>
    <w:rsid w:val="0096472E"/>
    <w:rsid w:val="009730D5"/>
    <w:rsid w:val="009742CE"/>
    <w:rsid w:val="009771C8"/>
    <w:rsid w:val="009778D0"/>
    <w:rsid w:val="0098016F"/>
    <w:rsid w:val="0098468A"/>
    <w:rsid w:val="00990CF2"/>
    <w:rsid w:val="00991F74"/>
    <w:rsid w:val="00993084"/>
    <w:rsid w:val="00994834"/>
    <w:rsid w:val="0099498F"/>
    <w:rsid w:val="00994B2C"/>
    <w:rsid w:val="00996A2C"/>
    <w:rsid w:val="009970EF"/>
    <w:rsid w:val="009972D4"/>
    <w:rsid w:val="00997416"/>
    <w:rsid w:val="009975AA"/>
    <w:rsid w:val="009A05D6"/>
    <w:rsid w:val="009A3CF5"/>
    <w:rsid w:val="009A53D6"/>
    <w:rsid w:val="009A55FB"/>
    <w:rsid w:val="009A765F"/>
    <w:rsid w:val="009B1625"/>
    <w:rsid w:val="009B2C88"/>
    <w:rsid w:val="009B459F"/>
    <w:rsid w:val="009B4B0E"/>
    <w:rsid w:val="009B5AF6"/>
    <w:rsid w:val="009D267E"/>
    <w:rsid w:val="009D3119"/>
    <w:rsid w:val="009D32C2"/>
    <w:rsid w:val="009D420F"/>
    <w:rsid w:val="009D525A"/>
    <w:rsid w:val="009D76D3"/>
    <w:rsid w:val="009E054D"/>
    <w:rsid w:val="009E4BC2"/>
    <w:rsid w:val="009E7FFE"/>
    <w:rsid w:val="009F0382"/>
    <w:rsid w:val="009F0C7E"/>
    <w:rsid w:val="009F3C3E"/>
    <w:rsid w:val="009F437B"/>
    <w:rsid w:val="009F55FB"/>
    <w:rsid w:val="009F5A81"/>
    <w:rsid w:val="009F6246"/>
    <w:rsid w:val="009F6A0A"/>
    <w:rsid w:val="009F6FC5"/>
    <w:rsid w:val="009F7B78"/>
    <w:rsid w:val="00A00870"/>
    <w:rsid w:val="00A01994"/>
    <w:rsid w:val="00A029D9"/>
    <w:rsid w:val="00A02DF4"/>
    <w:rsid w:val="00A038DC"/>
    <w:rsid w:val="00A04520"/>
    <w:rsid w:val="00A1173F"/>
    <w:rsid w:val="00A133B1"/>
    <w:rsid w:val="00A13C8F"/>
    <w:rsid w:val="00A13E1D"/>
    <w:rsid w:val="00A148A1"/>
    <w:rsid w:val="00A15184"/>
    <w:rsid w:val="00A161F8"/>
    <w:rsid w:val="00A174C4"/>
    <w:rsid w:val="00A17954"/>
    <w:rsid w:val="00A20DED"/>
    <w:rsid w:val="00A2178D"/>
    <w:rsid w:val="00A2301A"/>
    <w:rsid w:val="00A23497"/>
    <w:rsid w:val="00A23D88"/>
    <w:rsid w:val="00A24DCF"/>
    <w:rsid w:val="00A251DD"/>
    <w:rsid w:val="00A25BC5"/>
    <w:rsid w:val="00A261BC"/>
    <w:rsid w:val="00A2693F"/>
    <w:rsid w:val="00A26B44"/>
    <w:rsid w:val="00A26CCB"/>
    <w:rsid w:val="00A271FF"/>
    <w:rsid w:val="00A27E9B"/>
    <w:rsid w:val="00A330A2"/>
    <w:rsid w:val="00A33F93"/>
    <w:rsid w:val="00A35C26"/>
    <w:rsid w:val="00A36C86"/>
    <w:rsid w:val="00A37A44"/>
    <w:rsid w:val="00A41ABC"/>
    <w:rsid w:val="00A41C39"/>
    <w:rsid w:val="00A4269D"/>
    <w:rsid w:val="00A44834"/>
    <w:rsid w:val="00A46A4C"/>
    <w:rsid w:val="00A46DB6"/>
    <w:rsid w:val="00A4715E"/>
    <w:rsid w:val="00A4743D"/>
    <w:rsid w:val="00A4770F"/>
    <w:rsid w:val="00A52547"/>
    <w:rsid w:val="00A52617"/>
    <w:rsid w:val="00A53201"/>
    <w:rsid w:val="00A549ED"/>
    <w:rsid w:val="00A551AA"/>
    <w:rsid w:val="00A56081"/>
    <w:rsid w:val="00A56CCB"/>
    <w:rsid w:val="00A66E95"/>
    <w:rsid w:val="00A670F4"/>
    <w:rsid w:val="00A7429B"/>
    <w:rsid w:val="00A7602C"/>
    <w:rsid w:val="00A76B70"/>
    <w:rsid w:val="00A774F1"/>
    <w:rsid w:val="00A80E39"/>
    <w:rsid w:val="00A80F08"/>
    <w:rsid w:val="00A82C59"/>
    <w:rsid w:val="00A82FCD"/>
    <w:rsid w:val="00A83AC1"/>
    <w:rsid w:val="00A83EA7"/>
    <w:rsid w:val="00A865DF"/>
    <w:rsid w:val="00A86B23"/>
    <w:rsid w:val="00A86E56"/>
    <w:rsid w:val="00A87DFD"/>
    <w:rsid w:val="00A91966"/>
    <w:rsid w:val="00A932C7"/>
    <w:rsid w:val="00A9347C"/>
    <w:rsid w:val="00A93B74"/>
    <w:rsid w:val="00A94003"/>
    <w:rsid w:val="00A94E44"/>
    <w:rsid w:val="00A96B61"/>
    <w:rsid w:val="00AA0583"/>
    <w:rsid w:val="00AA1AE0"/>
    <w:rsid w:val="00AA2245"/>
    <w:rsid w:val="00AA4A40"/>
    <w:rsid w:val="00AA55ED"/>
    <w:rsid w:val="00AA71B5"/>
    <w:rsid w:val="00AA7DF9"/>
    <w:rsid w:val="00AB109C"/>
    <w:rsid w:val="00AB2767"/>
    <w:rsid w:val="00AB35D1"/>
    <w:rsid w:val="00AB56E6"/>
    <w:rsid w:val="00AC03E6"/>
    <w:rsid w:val="00AC07A8"/>
    <w:rsid w:val="00AC14C9"/>
    <w:rsid w:val="00AC26E3"/>
    <w:rsid w:val="00AC52B9"/>
    <w:rsid w:val="00AC6F88"/>
    <w:rsid w:val="00AD224A"/>
    <w:rsid w:val="00AD3281"/>
    <w:rsid w:val="00AD336E"/>
    <w:rsid w:val="00AD3B92"/>
    <w:rsid w:val="00AD4C35"/>
    <w:rsid w:val="00AD5083"/>
    <w:rsid w:val="00AD5091"/>
    <w:rsid w:val="00AE5498"/>
    <w:rsid w:val="00AE6197"/>
    <w:rsid w:val="00AE7341"/>
    <w:rsid w:val="00AE73F6"/>
    <w:rsid w:val="00AF12C9"/>
    <w:rsid w:val="00AF1B74"/>
    <w:rsid w:val="00AF424C"/>
    <w:rsid w:val="00AF6C0F"/>
    <w:rsid w:val="00AF7261"/>
    <w:rsid w:val="00AF777E"/>
    <w:rsid w:val="00AF797B"/>
    <w:rsid w:val="00AF7A53"/>
    <w:rsid w:val="00AF7D21"/>
    <w:rsid w:val="00B00419"/>
    <w:rsid w:val="00B00AB1"/>
    <w:rsid w:val="00B042EA"/>
    <w:rsid w:val="00B04FE8"/>
    <w:rsid w:val="00B103C5"/>
    <w:rsid w:val="00B133F5"/>
    <w:rsid w:val="00B144DA"/>
    <w:rsid w:val="00B146B4"/>
    <w:rsid w:val="00B15F8C"/>
    <w:rsid w:val="00B1740F"/>
    <w:rsid w:val="00B2293F"/>
    <w:rsid w:val="00B27CD2"/>
    <w:rsid w:val="00B3243D"/>
    <w:rsid w:val="00B32672"/>
    <w:rsid w:val="00B34B24"/>
    <w:rsid w:val="00B34F35"/>
    <w:rsid w:val="00B35A80"/>
    <w:rsid w:val="00B40C3E"/>
    <w:rsid w:val="00B41DCF"/>
    <w:rsid w:val="00B437E7"/>
    <w:rsid w:val="00B47017"/>
    <w:rsid w:val="00B51362"/>
    <w:rsid w:val="00B5153C"/>
    <w:rsid w:val="00B52BA4"/>
    <w:rsid w:val="00B56081"/>
    <w:rsid w:val="00B561C6"/>
    <w:rsid w:val="00B5670A"/>
    <w:rsid w:val="00B5787B"/>
    <w:rsid w:val="00B57EF2"/>
    <w:rsid w:val="00B62F13"/>
    <w:rsid w:val="00B6610E"/>
    <w:rsid w:val="00B66D67"/>
    <w:rsid w:val="00B72989"/>
    <w:rsid w:val="00B74379"/>
    <w:rsid w:val="00B7706C"/>
    <w:rsid w:val="00B772AC"/>
    <w:rsid w:val="00B775BE"/>
    <w:rsid w:val="00B81CF8"/>
    <w:rsid w:val="00B81E10"/>
    <w:rsid w:val="00B81FD3"/>
    <w:rsid w:val="00B83ECC"/>
    <w:rsid w:val="00B85529"/>
    <w:rsid w:val="00B85694"/>
    <w:rsid w:val="00B8762E"/>
    <w:rsid w:val="00B9024D"/>
    <w:rsid w:val="00B9169C"/>
    <w:rsid w:val="00B93525"/>
    <w:rsid w:val="00B93B5E"/>
    <w:rsid w:val="00B949E6"/>
    <w:rsid w:val="00B94D48"/>
    <w:rsid w:val="00BA0EFA"/>
    <w:rsid w:val="00BA14F9"/>
    <w:rsid w:val="00BA1BAE"/>
    <w:rsid w:val="00BA26A8"/>
    <w:rsid w:val="00BA276F"/>
    <w:rsid w:val="00BA2E6A"/>
    <w:rsid w:val="00BA373C"/>
    <w:rsid w:val="00BA3AAE"/>
    <w:rsid w:val="00BA3E92"/>
    <w:rsid w:val="00BA730D"/>
    <w:rsid w:val="00BB23F2"/>
    <w:rsid w:val="00BB4308"/>
    <w:rsid w:val="00BB518C"/>
    <w:rsid w:val="00BB5854"/>
    <w:rsid w:val="00BB5A75"/>
    <w:rsid w:val="00BB6435"/>
    <w:rsid w:val="00BB70D6"/>
    <w:rsid w:val="00BB73C9"/>
    <w:rsid w:val="00BB7406"/>
    <w:rsid w:val="00BC4BFF"/>
    <w:rsid w:val="00BC5719"/>
    <w:rsid w:val="00BC6BFC"/>
    <w:rsid w:val="00BC7121"/>
    <w:rsid w:val="00BC71D1"/>
    <w:rsid w:val="00BD151B"/>
    <w:rsid w:val="00BD1545"/>
    <w:rsid w:val="00BD4FC6"/>
    <w:rsid w:val="00BD5B7F"/>
    <w:rsid w:val="00BD7917"/>
    <w:rsid w:val="00BD7D43"/>
    <w:rsid w:val="00BE14CE"/>
    <w:rsid w:val="00BE1EFE"/>
    <w:rsid w:val="00BE23A5"/>
    <w:rsid w:val="00BE23A8"/>
    <w:rsid w:val="00BE3151"/>
    <w:rsid w:val="00BE3A87"/>
    <w:rsid w:val="00BE47B8"/>
    <w:rsid w:val="00BE4E97"/>
    <w:rsid w:val="00BE6911"/>
    <w:rsid w:val="00BE69F8"/>
    <w:rsid w:val="00BE7D71"/>
    <w:rsid w:val="00BF205F"/>
    <w:rsid w:val="00BF46A3"/>
    <w:rsid w:val="00BF5708"/>
    <w:rsid w:val="00C02388"/>
    <w:rsid w:val="00C06C50"/>
    <w:rsid w:val="00C10C78"/>
    <w:rsid w:val="00C10D20"/>
    <w:rsid w:val="00C10E34"/>
    <w:rsid w:val="00C119C6"/>
    <w:rsid w:val="00C1405D"/>
    <w:rsid w:val="00C1516E"/>
    <w:rsid w:val="00C1535A"/>
    <w:rsid w:val="00C15681"/>
    <w:rsid w:val="00C15E8E"/>
    <w:rsid w:val="00C17166"/>
    <w:rsid w:val="00C17E34"/>
    <w:rsid w:val="00C2069A"/>
    <w:rsid w:val="00C21328"/>
    <w:rsid w:val="00C21DF5"/>
    <w:rsid w:val="00C21E5E"/>
    <w:rsid w:val="00C2267B"/>
    <w:rsid w:val="00C23353"/>
    <w:rsid w:val="00C31F5A"/>
    <w:rsid w:val="00C33232"/>
    <w:rsid w:val="00C3355B"/>
    <w:rsid w:val="00C339FC"/>
    <w:rsid w:val="00C34366"/>
    <w:rsid w:val="00C3465D"/>
    <w:rsid w:val="00C34F9E"/>
    <w:rsid w:val="00C362F3"/>
    <w:rsid w:val="00C365BD"/>
    <w:rsid w:val="00C41B0A"/>
    <w:rsid w:val="00C437C9"/>
    <w:rsid w:val="00C444B4"/>
    <w:rsid w:val="00C45063"/>
    <w:rsid w:val="00C458C6"/>
    <w:rsid w:val="00C46E15"/>
    <w:rsid w:val="00C47075"/>
    <w:rsid w:val="00C47183"/>
    <w:rsid w:val="00C50453"/>
    <w:rsid w:val="00C510CB"/>
    <w:rsid w:val="00C51B4C"/>
    <w:rsid w:val="00C53805"/>
    <w:rsid w:val="00C551E5"/>
    <w:rsid w:val="00C553C1"/>
    <w:rsid w:val="00C55F55"/>
    <w:rsid w:val="00C5625E"/>
    <w:rsid w:val="00C56EFE"/>
    <w:rsid w:val="00C600D6"/>
    <w:rsid w:val="00C604C3"/>
    <w:rsid w:val="00C61DD4"/>
    <w:rsid w:val="00C622EE"/>
    <w:rsid w:val="00C63991"/>
    <w:rsid w:val="00C6452C"/>
    <w:rsid w:val="00C655EF"/>
    <w:rsid w:val="00C667DD"/>
    <w:rsid w:val="00C67005"/>
    <w:rsid w:val="00C71252"/>
    <w:rsid w:val="00C7137B"/>
    <w:rsid w:val="00C7473D"/>
    <w:rsid w:val="00C75BB1"/>
    <w:rsid w:val="00C766D5"/>
    <w:rsid w:val="00C770F3"/>
    <w:rsid w:val="00C77E55"/>
    <w:rsid w:val="00C82182"/>
    <w:rsid w:val="00C825DE"/>
    <w:rsid w:val="00C82DCD"/>
    <w:rsid w:val="00C841D7"/>
    <w:rsid w:val="00C85D79"/>
    <w:rsid w:val="00C86273"/>
    <w:rsid w:val="00C86DF3"/>
    <w:rsid w:val="00C874E7"/>
    <w:rsid w:val="00C90122"/>
    <w:rsid w:val="00C910EE"/>
    <w:rsid w:val="00C91A73"/>
    <w:rsid w:val="00C92646"/>
    <w:rsid w:val="00C93A33"/>
    <w:rsid w:val="00C94178"/>
    <w:rsid w:val="00C96086"/>
    <w:rsid w:val="00CA3698"/>
    <w:rsid w:val="00CA372A"/>
    <w:rsid w:val="00CA7616"/>
    <w:rsid w:val="00CB30C6"/>
    <w:rsid w:val="00CB5F93"/>
    <w:rsid w:val="00CB6EDF"/>
    <w:rsid w:val="00CC0F8A"/>
    <w:rsid w:val="00CC1493"/>
    <w:rsid w:val="00CC1692"/>
    <w:rsid w:val="00CC231D"/>
    <w:rsid w:val="00CC2C35"/>
    <w:rsid w:val="00CC68CA"/>
    <w:rsid w:val="00CD1489"/>
    <w:rsid w:val="00CD3399"/>
    <w:rsid w:val="00CD46B8"/>
    <w:rsid w:val="00CD5084"/>
    <w:rsid w:val="00CD5CE1"/>
    <w:rsid w:val="00CD64ED"/>
    <w:rsid w:val="00CD7B40"/>
    <w:rsid w:val="00CE3F44"/>
    <w:rsid w:val="00CE5036"/>
    <w:rsid w:val="00CE5A49"/>
    <w:rsid w:val="00CE5F5F"/>
    <w:rsid w:val="00CE63E3"/>
    <w:rsid w:val="00CF06A4"/>
    <w:rsid w:val="00CF0A11"/>
    <w:rsid w:val="00CF1951"/>
    <w:rsid w:val="00CF2164"/>
    <w:rsid w:val="00CF2BAE"/>
    <w:rsid w:val="00CF334C"/>
    <w:rsid w:val="00CF3DA6"/>
    <w:rsid w:val="00CF491E"/>
    <w:rsid w:val="00CF536F"/>
    <w:rsid w:val="00CF608A"/>
    <w:rsid w:val="00CF7BF4"/>
    <w:rsid w:val="00D00F18"/>
    <w:rsid w:val="00D00FF6"/>
    <w:rsid w:val="00D02596"/>
    <w:rsid w:val="00D03A7D"/>
    <w:rsid w:val="00D04FD1"/>
    <w:rsid w:val="00D07A72"/>
    <w:rsid w:val="00D11871"/>
    <w:rsid w:val="00D127EC"/>
    <w:rsid w:val="00D12CDE"/>
    <w:rsid w:val="00D13441"/>
    <w:rsid w:val="00D140CA"/>
    <w:rsid w:val="00D16ECA"/>
    <w:rsid w:val="00D222E8"/>
    <w:rsid w:val="00D22CED"/>
    <w:rsid w:val="00D23A7B"/>
    <w:rsid w:val="00D2444F"/>
    <w:rsid w:val="00D250D7"/>
    <w:rsid w:val="00D265DA"/>
    <w:rsid w:val="00D302C3"/>
    <w:rsid w:val="00D31644"/>
    <w:rsid w:val="00D36507"/>
    <w:rsid w:val="00D376F7"/>
    <w:rsid w:val="00D37A78"/>
    <w:rsid w:val="00D404CC"/>
    <w:rsid w:val="00D414FA"/>
    <w:rsid w:val="00D43F68"/>
    <w:rsid w:val="00D4596F"/>
    <w:rsid w:val="00D46FDA"/>
    <w:rsid w:val="00D501DF"/>
    <w:rsid w:val="00D50CB8"/>
    <w:rsid w:val="00D50E0E"/>
    <w:rsid w:val="00D51319"/>
    <w:rsid w:val="00D53E2A"/>
    <w:rsid w:val="00D54CD2"/>
    <w:rsid w:val="00D54F1E"/>
    <w:rsid w:val="00D566AE"/>
    <w:rsid w:val="00D6071B"/>
    <w:rsid w:val="00D650B0"/>
    <w:rsid w:val="00D658DC"/>
    <w:rsid w:val="00D73A39"/>
    <w:rsid w:val="00D754D1"/>
    <w:rsid w:val="00D75B11"/>
    <w:rsid w:val="00D7636E"/>
    <w:rsid w:val="00D777C9"/>
    <w:rsid w:val="00D77DE3"/>
    <w:rsid w:val="00D82264"/>
    <w:rsid w:val="00D823DA"/>
    <w:rsid w:val="00D87029"/>
    <w:rsid w:val="00D87E53"/>
    <w:rsid w:val="00D91580"/>
    <w:rsid w:val="00D91C88"/>
    <w:rsid w:val="00D9263A"/>
    <w:rsid w:val="00D941F9"/>
    <w:rsid w:val="00D948C6"/>
    <w:rsid w:val="00D95F4F"/>
    <w:rsid w:val="00DA105A"/>
    <w:rsid w:val="00DA4C7E"/>
    <w:rsid w:val="00DA7A06"/>
    <w:rsid w:val="00DA7DCB"/>
    <w:rsid w:val="00DB066B"/>
    <w:rsid w:val="00DB07DF"/>
    <w:rsid w:val="00DB0B53"/>
    <w:rsid w:val="00DB2B75"/>
    <w:rsid w:val="00DB3290"/>
    <w:rsid w:val="00DC08AE"/>
    <w:rsid w:val="00DC0F67"/>
    <w:rsid w:val="00DC1A7C"/>
    <w:rsid w:val="00DC2028"/>
    <w:rsid w:val="00DC241A"/>
    <w:rsid w:val="00DC2A45"/>
    <w:rsid w:val="00DC31D4"/>
    <w:rsid w:val="00DC3ECA"/>
    <w:rsid w:val="00DC45F9"/>
    <w:rsid w:val="00DC4E14"/>
    <w:rsid w:val="00DC517D"/>
    <w:rsid w:val="00DD0E28"/>
    <w:rsid w:val="00DD10D7"/>
    <w:rsid w:val="00DD1128"/>
    <w:rsid w:val="00DD1A2D"/>
    <w:rsid w:val="00DD1EBC"/>
    <w:rsid w:val="00DD2707"/>
    <w:rsid w:val="00DD34B1"/>
    <w:rsid w:val="00DD3AEC"/>
    <w:rsid w:val="00DD5483"/>
    <w:rsid w:val="00DD6535"/>
    <w:rsid w:val="00DD6E3D"/>
    <w:rsid w:val="00DD7A97"/>
    <w:rsid w:val="00DE0A89"/>
    <w:rsid w:val="00DE3B09"/>
    <w:rsid w:val="00DE4867"/>
    <w:rsid w:val="00DE5941"/>
    <w:rsid w:val="00DE60AD"/>
    <w:rsid w:val="00DE7B72"/>
    <w:rsid w:val="00DF0484"/>
    <w:rsid w:val="00DF3C8D"/>
    <w:rsid w:val="00DF5779"/>
    <w:rsid w:val="00DF72BD"/>
    <w:rsid w:val="00DF7482"/>
    <w:rsid w:val="00DF7907"/>
    <w:rsid w:val="00DF79C7"/>
    <w:rsid w:val="00DF7E2D"/>
    <w:rsid w:val="00E00263"/>
    <w:rsid w:val="00E01680"/>
    <w:rsid w:val="00E02031"/>
    <w:rsid w:val="00E02CD4"/>
    <w:rsid w:val="00E0308D"/>
    <w:rsid w:val="00E03120"/>
    <w:rsid w:val="00E036EF"/>
    <w:rsid w:val="00E0453B"/>
    <w:rsid w:val="00E117C8"/>
    <w:rsid w:val="00E11F0A"/>
    <w:rsid w:val="00E13802"/>
    <w:rsid w:val="00E14D0B"/>
    <w:rsid w:val="00E17705"/>
    <w:rsid w:val="00E2052A"/>
    <w:rsid w:val="00E21C77"/>
    <w:rsid w:val="00E22D5E"/>
    <w:rsid w:val="00E2463A"/>
    <w:rsid w:val="00E26B45"/>
    <w:rsid w:val="00E271D6"/>
    <w:rsid w:val="00E27540"/>
    <w:rsid w:val="00E3041D"/>
    <w:rsid w:val="00E3066A"/>
    <w:rsid w:val="00E31A7C"/>
    <w:rsid w:val="00E327D3"/>
    <w:rsid w:val="00E328ED"/>
    <w:rsid w:val="00E35F44"/>
    <w:rsid w:val="00E360AE"/>
    <w:rsid w:val="00E36186"/>
    <w:rsid w:val="00E37BEF"/>
    <w:rsid w:val="00E40DA8"/>
    <w:rsid w:val="00E4144C"/>
    <w:rsid w:val="00E41A26"/>
    <w:rsid w:val="00E41A60"/>
    <w:rsid w:val="00E4242C"/>
    <w:rsid w:val="00E4522D"/>
    <w:rsid w:val="00E4568D"/>
    <w:rsid w:val="00E46173"/>
    <w:rsid w:val="00E46C2B"/>
    <w:rsid w:val="00E51155"/>
    <w:rsid w:val="00E55323"/>
    <w:rsid w:val="00E56812"/>
    <w:rsid w:val="00E572B5"/>
    <w:rsid w:val="00E574A2"/>
    <w:rsid w:val="00E57BF7"/>
    <w:rsid w:val="00E605F7"/>
    <w:rsid w:val="00E635CA"/>
    <w:rsid w:val="00E63E07"/>
    <w:rsid w:val="00E64880"/>
    <w:rsid w:val="00E6536D"/>
    <w:rsid w:val="00E6643B"/>
    <w:rsid w:val="00E67AAC"/>
    <w:rsid w:val="00E701D5"/>
    <w:rsid w:val="00E72901"/>
    <w:rsid w:val="00E73509"/>
    <w:rsid w:val="00E74767"/>
    <w:rsid w:val="00E802B7"/>
    <w:rsid w:val="00E8064F"/>
    <w:rsid w:val="00E80FBF"/>
    <w:rsid w:val="00E824F2"/>
    <w:rsid w:val="00E826E1"/>
    <w:rsid w:val="00E85E77"/>
    <w:rsid w:val="00E86578"/>
    <w:rsid w:val="00E86A08"/>
    <w:rsid w:val="00E8785C"/>
    <w:rsid w:val="00E900CD"/>
    <w:rsid w:val="00E9218E"/>
    <w:rsid w:val="00E930C6"/>
    <w:rsid w:val="00E93C56"/>
    <w:rsid w:val="00E95A3B"/>
    <w:rsid w:val="00E96334"/>
    <w:rsid w:val="00E97515"/>
    <w:rsid w:val="00EA036E"/>
    <w:rsid w:val="00EA469C"/>
    <w:rsid w:val="00EA498D"/>
    <w:rsid w:val="00EA57B8"/>
    <w:rsid w:val="00EB0A3C"/>
    <w:rsid w:val="00EB4508"/>
    <w:rsid w:val="00EB79AD"/>
    <w:rsid w:val="00EC0F35"/>
    <w:rsid w:val="00EC0FBA"/>
    <w:rsid w:val="00EC4842"/>
    <w:rsid w:val="00EC56BA"/>
    <w:rsid w:val="00EC6CB4"/>
    <w:rsid w:val="00ED034A"/>
    <w:rsid w:val="00ED0EEB"/>
    <w:rsid w:val="00ED2A4B"/>
    <w:rsid w:val="00ED359A"/>
    <w:rsid w:val="00ED3EEE"/>
    <w:rsid w:val="00ED58BE"/>
    <w:rsid w:val="00ED68E4"/>
    <w:rsid w:val="00ED7744"/>
    <w:rsid w:val="00EE21B2"/>
    <w:rsid w:val="00EE3A4C"/>
    <w:rsid w:val="00EE3A55"/>
    <w:rsid w:val="00EE5112"/>
    <w:rsid w:val="00EE7A5F"/>
    <w:rsid w:val="00EE7E32"/>
    <w:rsid w:val="00EF0DBC"/>
    <w:rsid w:val="00EF0E24"/>
    <w:rsid w:val="00EF2D31"/>
    <w:rsid w:val="00EF3094"/>
    <w:rsid w:val="00EF581B"/>
    <w:rsid w:val="00EF6712"/>
    <w:rsid w:val="00EF69AA"/>
    <w:rsid w:val="00EF72C5"/>
    <w:rsid w:val="00F002D8"/>
    <w:rsid w:val="00F00C6A"/>
    <w:rsid w:val="00F029EA"/>
    <w:rsid w:val="00F04810"/>
    <w:rsid w:val="00F05890"/>
    <w:rsid w:val="00F10B18"/>
    <w:rsid w:val="00F11097"/>
    <w:rsid w:val="00F118CF"/>
    <w:rsid w:val="00F12558"/>
    <w:rsid w:val="00F14430"/>
    <w:rsid w:val="00F158D4"/>
    <w:rsid w:val="00F1631B"/>
    <w:rsid w:val="00F2052C"/>
    <w:rsid w:val="00F2124E"/>
    <w:rsid w:val="00F23F78"/>
    <w:rsid w:val="00F249DC"/>
    <w:rsid w:val="00F24C58"/>
    <w:rsid w:val="00F2549B"/>
    <w:rsid w:val="00F26264"/>
    <w:rsid w:val="00F31649"/>
    <w:rsid w:val="00F34FA5"/>
    <w:rsid w:val="00F359D2"/>
    <w:rsid w:val="00F37AD1"/>
    <w:rsid w:val="00F41D34"/>
    <w:rsid w:val="00F445DC"/>
    <w:rsid w:val="00F46341"/>
    <w:rsid w:val="00F466F2"/>
    <w:rsid w:val="00F472F5"/>
    <w:rsid w:val="00F50EB9"/>
    <w:rsid w:val="00F51AFB"/>
    <w:rsid w:val="00F52CA7"/>
    <w:rsid w:val="00F52D11"/>
    <w:rsid w:val="00F54DF4"/>
    <w:rsid w:val="00F54FE3"/>
    <w:rsid w:val="00F57344"/>
    <w:rsid w:val="00F602B0"/>
    <w:rsid w:val="00F62318"/>
    <w:rsid w:val="00F627BC"/>
    <w:rsid w:val="00F62C44"/>
    <w:rsid w:val="00F632D7"/>
    <w:rsid w:val="00F64964"/>
    <w:rsid w:val="00F64AE5"/>
    <w:rsid w:val="00F666D0"/>
    <w:rsid w:val="00F66943"/>
    <w:rsid w:val="00F670E2"/>
    <w:rsid w:val="00F675CA"/>
    <w:rsid w:val="00F7196D"/>
    <w:rsid w:val="00F72BFD"/>
    <w:rsid w:val="00F758C2"/>
    <w:rsid w:val="00F8106B"/>
    <w:rsid w:val="00F81789"/>
    <w:rsid w:val="00F81978"/>
    <w:rsid w:val="00F82C71"/>
    <w:rsid w:val="00F82ED9"/>
    <w:rsid w:val="00F830CF"/>
    <w:rsid w:val="00F85901"/>
    <w:rsid w:val="00F86749"/>
    <w:rsid w:val="00F86B04"/>
    <w:rsid w:val="00F86CC6"/>
    <w:rsid w:val="00F87CAB"/>
    <w:rsid w:val="00F9077C"/>
    <w:rsid w:val="00F92E0B"/>
    <w:rsid w:val="00F9447E"/>
    <w:rsid w:val="00F947BE"/>
    <w:rsid w:val="00F94EF7"/>
    <w:rsid w:val="00F97862"/>
    <w:rsid w:val="00FA0197"/>
    <w:rsid w:val="00FA0AB8"/>
    <w:rsid w:val="00FA0F94"/>
    <w:rsid w:val="00FA106B"/>
    <w:rsid w:val="00FA30DF"/>
    <w:rsid w:val="00FA4BBB"/>
    <w:rsid w:val="00FA6784"/>
    <w:rsid w:val="00FB17BA"/>
    <w:rsid w:val="00FB3139"/>
    <w:rsid w:val="00FB4821"/>
    <w:rsid w:val="00FB6051"/>
    <w:rsid w:val="00FB7697"/>
    <w:rsid w:val="00FC041B"/>
    <w:rsid w:val="00FC1463"/>
    <w:rsid w:val="00FC171A"/>
    <w:rsid w:val="00FC3488"/>
    <w:rsid w:val="00FC70E3"/>
    <w:rsid w:val="00FC71EB"/>
    <w:rsid w:val="00FD0D9D"/>
    <w:rsid w:val="00FD110E"/>
    <w:rsid w:val="00FD3386"/>
    <w:rsid w:val="00FD51E1"/>
    <w:rsid w:val="00FD6208"/>
    <w:rsid w:val="00FD6D11"/>
    <w:rsid w:val="00FE01B4"/>
    <w:rsid w:val="00FE08AF"/>
    <w:rsid w:val="00FE2FA3"/>
    <w:rsid w:val="00FE3FC9"/>
    <w:rsid w:val="00FE5EC9"/>
    <w:rsid w:val="00FE6249"/>
    <w:rsid w:val="00FE706E"/>
    <w:rsid w:val="00FE7278"/>
    <w:rsid w:val="00FF023A"/>
    <w:rsid w:val="00FF0CF3"/>
    <w:rsid w:val="00FF11F5"/>
    <w:rsid w:val="00FF2E38"/>
    <w:rsid w:val="00FF318F"/>
    <w:rsid w:val="00FF4119"/>
    <w:rsid w:val="00FF4914"/>
    <w:rsid w:val="00FF4C8E"/>
    <w:rsid w:val="00FF5688"/>
    <w:rsid w:val="00FF75A8"/>
    <w:rsid w:val="00FF79F0"/>
    <w:rsid w:val="00FF7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D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C95"/>
    <w:pPr>
      <w:bidi/>
      <w:spacing w:before="120" w:after="0" w:line="360" w:lineRule="auto"/>
      <w:contextualSpacing/>
    </w:pPr>
    <w:rPr>
      <w:rFonts w:ascii="David" w:hAnsi="David" w:cs="Davi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A251DD"/>
    <w:pPr>
      <w:spacing w:line="240" w:lineRule="auto"/>
    </w:pPr>
    <w:rPr>
      <w:sz w:val="20"/>
      <w:szCs w:val="20"/>
    </w:rPr>
  </w:style>
  <w:style w:type="character" w:customStyle="1" w:styleId="a5">
    <w:name w:val="טקסט הערת שוליים תו"/>
    <w:basedOn w:val="a1"/>
    <w:link w:val="a4"/>
    <w:uiPriority w:val="99"/>
    <w:semiHidden/>
    <w:rsid w:val="00A251DD"/>
    <w:rPr>
      <w:sz w:val="20"/>
      <w:szCs w:val="20"/>
    </w:rPr>
  </w:style>
  <w:style w:type="character" w:styleId="a6">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A251DD"/>
    <w:rPr>
      <w:vertAlign w:val="superscript"/>
    </w:rPr>
  </w:style>
  <w:style w:type="table" w:customStyle="1" w:styleId="2">
    <w:name w:val="טבלת רשת2"/>
    <w:basedOn w:val="a2"/>
    <w:next w:val="a7"/>
    <w:rsid w:val="00A251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2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251DD"/>
    <w:pPr>
      <w:bidi/>
      <w:spacing w:after="0" w:line="240" w:lineRule="auto"/>
    </w:pPr>
  </w:style>
  <w:style w:type="paragraph" w:styleId="a9">
    <w:name w:val="header"/>
    <w:basedOn w:val="a0"/>
    <w:link w:val="aa"/>
    <w:uiPriority w:val="99"/>
    <w:unhideWhenUsed/>
    <w:rsid w:val="00F445DC"/>
    <w:pPr>
      <w:tabs>
        <w:tab w:val="center" w:pos="4153"/>
        <w:tab w:val="right" w:pos="8306"/>
      </w:tabs>
      <w:spacing w:line="240" w:lineRule="auto"/>
    </w:pPr>
  </w:style>
  <w:style w:type="character" w:customStyle="1" w:styleId="aa">
    <w:name w:val="כותרת עליונה תו"/>
    <w:basedOn w:val="a1"/>
    <w:link w:val="a9"/>
    <w:uiPriority w:val="99"/>
    <w:rsid w:val="00F445DC"/>
  </w:style>
  <w:style w:type="paragraph" w:styleId="ab">
    <w:name w:val="footer"/>
    <w:basedOn w:val="a0"/>
    <w:link w:val="ac"/>
    <w:uiPriority w:val="99"/>
    <w:unhideWhenUsed/>
    <w:rsid w:val="00F445DC"/>
    <w:pPr>
      <w:tabs>
        <w:tab w:val="center" w:pos="4153"/>
        <w:tab w:val="right" w:pos="8306"/>
      </w:tabs>
      <w:spacing w:line="240" w:lineRule="auto"/>
    </w:pPr>
  </w:style>
  <w:style w:type="character" w:customStyle="1" w:styleId="ac">
    <w:name w:val="כותרת תחתונה תו"/>
    <w:basedOn w:val="a1"/>
    <w:link w:val="ab"/>
    <w:uiPriority w:val="99"/>
    <w:rsid w:val="00F445DC"/>
  </w:style>
  <w:style w:type="paragraph" w:styleId="ad">
    <w:name w:val="Balloon Text"/>
    <w:basedOn w:val="a0"/>
    <w:link w:val="ae"/>
    <w:uiPriority w:val="99"/>
    <w:semiHidden/>
    <w:unhideWhenUsed/>
    <w:rsid w:val="009975AA"/>
    <w:pPr>
      <w:spacing w:line="240" w:lineRule="auto"/>
    </w:pPr>
    <w:rPr>
      <w:rFonts w:ascii="Tahoma" w:hAnsi="Tahoma" w:cs="Tahoma"/>
      <w:sz w:val="18"/>
      <w:szCs w:val="18"/>
    </w:rPr>
  </w:style>
  <w:style w:type="character" w:customStyle="1" w:styleId="ae">
    <w:name w:val="טקסט בלונים תו"/>
    <w:basedOn w:val="a1"/>
    <w:link w:val="ad"/>
    <w:uiPriority w:val="99"/>
    <w:semiHidden/>
    <w:rsid w:val="009975AA"/>
    <w:rPr>
      <w:rFonts w:ascii="Tahoma" w:hAnsi="Tahoma" w:cs="Tahoma"/>
      <w:sz w:val="18"/>
      <w:szCs w:val="18"/>
    </w:rPr>
  </w:style>
  <w:style w:type="character" w:styleId="Hyperlink">
    <w:name w:val="Hyperlink"/>
    <w:basedOn w:val="a1"/>
    <w:uiPriority w:val="99"/>
    <w:unhideWhenUsed/>
    <w:rsid w:val="00B8762E"/>
    <w:rPr>
      <w:color w:val="0563C1" w:themeColor="hyperlink"/>
      <w:u w:val="single"/>
    </w:rPr>
  </w:style>
  <w:style w:type="character" w:styleId="FollowedHyperlink">
    <w:name w:val="FollowedHyperlink"/>
    <w:basedOn w:val="a1"/>
    <w:uiPriority w:val="99"/>
    <w:semiHidden/>
    <w:unhideWhenUsed/>
    <w:rsid w:val="00B8762E"/>
    <w:rPr>
      <w:color w:val="954F72" w:themeColor="followedHyperlink"/>
      <w:u w:val="single"/>
    </w:rPr>
  </w:style>
  <w:style w:type="character" w:styleId="af">
    <w:name w:val="annotation reference"/>
    <w:basedOn w:val="a1"/>
    <w:uiPriority w:val="99"/>
    <w:semiHidden/>
    <w:unhideWhenUsed/>
    <w:rsid w:val="00433379"/>
    <w:rPr>
      <w:sz w:val="16"/>
      <w:szCs w:val="16"/>
    </w:rPr>
  </w:style>
  <w:style w:type="paragraph" w:styleId="af0">
    <w:name w:val="annotation text"/>
    <w:basedOn w:val="a0"/>
    <w:link w:val="af1"/>
    <w:uiPriority w:val="99"/>
    <w:unhideWhenUsed/>
    <w:rsid w:val="00433379"/>
    <w:pPr>
      <w:spacing w:after="200" w:line="240" w:lineRule="auto"/>
    </w:pPr>
    <w:rPr>
      <w:sz w:val="20"/>
      <w:szCs w:val="20"/>
    </w:rPr>
  </w:style>
  <w:style w:type="character" w:customStyle="1" w:styleId="af1">
    <w:name w:val="טקסט הערה תו"/>
    <w:basedOn w:val="a1"/>
    <w:link w:val="af0"/>
    <w:uiPriority w:val="99"/>
    <w:rsid w:val="00433379"/>
    <w:rPr>
      <w:sz w:val="20"/>
      <w:szCs w:val="20"/>
    </w:rPr>
  </w:style>
  <w:style w:type="paragraph" w:styleId="af2">
    <w:name w:val="List Paragraph"/>
    <w:basedOn w:val="a0"/>
    <w:uiPriority w:val="34"/>
    <w:qFormat/>
    <w:rsid w:val="00433379"/>
    <w:pPr>
      <w:ind w:left="720"/>
    </w:pPr>
  </w:style>
  <w:style w:type="paragraph" w:styleId="NormalWeb">
    <w:name w:val="Normal (Web)"/>
    <w:basedOn w:val="a0"/>
    <w:uiPriority w:val="99"/>
    <w:unhideWhenUsed/>
    <w:rsid w:val="00D265DA"/>
    <w:pPr>
      <w:bidi w:val="0"/>
      <w:spacing w:before="100" w:beforeAutospacing="1" w:after="100" w:afterAutospacing="1" w:line="240" w:lineRule="auto"/>
    </w:pPr>
    <w:rPr>
      <w:rFonts w:ascii="Times New Roman" w:eastAsia="Times New Roman" w:hAnsi="Times New Roman" w:cs="Times New Roman"/>
    </w:rPr>
  </w:style>
  <w:style w:type="paragraph" w:styleId="af3">
    <w:name w:val="annotation subject"/>
    <w:basedOn w:val="af0"/>
    <w:next w:val="af0"/>
    <w:link w:val="af4"/>
    <w:uiPriority w:val="99"/>
    <w:semiHidden/>
    <w:unhideWhenUsed/>
    <w:rsid w:val="00A2178D"/>
    <w:pPr>
      <w:spacing w:after="160"/>
    </w:pPr>
    <w:rPr>
      <w:b/>
      <w:bCs/>
    </w:rPr>
  </w:style>
  <w:style w:type="character" w:customStyle="1" w:styleId="af4">
    <w:name w:val="נושא הערה תו"/>
    <w:basedOn w:val="af1"/>
    <w:link w:val="af3"/>
    <w:uiPriority w:val="99"/>
    <w:semiHidden/>
    <w:rsid w:val="00A2178D"/>
    <w:rPr>
      <w:b/>
      <w:bCs/>
      <w:sz w:val="20"/>
      <w:szCs w:val="20"/>
    </w:rPr>
  </w:style>
  <w:style w:type="paragraph" w:styleId="af5">
    <w:name w:val="Revision"/>
    <w:hidden/>
    <w:uiPriority w:val="99"/>
    <w:semiHidden/>
    <w:rsid w:val="007A54B2"/>
    <w:pPr>
      <w:spacing w:after="0" w:line="240" w:lineRule="auto"/>
    </w:pPr>
  </w:style>
  <w:style w:type="table" w:customStyle="1" w:styleId="21">
    <w:name w:val="טבלת רשת21"/>
    <w:basedOn w:val="a2"/>
    <w:next w:val="a7"/>
    <w:rsid w:val="003B2D4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כותרת ראשית"/>
    <w:basedOn w:val="a0"/>
    <w:next w:val="a0"/>
    <w:link w:val="af7"/>
    <w:qFormat/>
    <w:rsid w:val="00910C95"/>
    <w:pPr>
      <w:spacing w:after="240"/>
      <w:ind w:left="23"/>
      <w:jc w:val="center"/>
      <w:outlineLvl w:val="0"/>
    </w:pPr>
    <w:rPr>
      <w:b/>
      <w:bCs/>
      <w:spacing w:val="5"/>
      <w:kern w:val="28"/>
      <w:sz w:val="28"/>
      <w:szCs w:val="28"/>
    </w:rPr>
  </w:style>
  <w:style w:type="paragraph" w:customStyle="1" w:styleId="a">
    <w:name w:val="כותרת משנה ממוספרת"/>
    <w:basedOn w:val="a0"/>
    <w:next w:val="a0"/>
    <w:link w:val="af8"/>
    <w:qFormat/>
    <w:rsid w:val="00910C95"/>
    <w:pPr>
      <w:keepNext/>
      <w:numPr>
        <w:numId w:val="9"/>
      </w:numPr>
      <w:spacing w:before="240" w:after="120"/>
      <w:jc w:val="both"/>
    </w:pPr>
    <w:rPr>
      <w:rFonts w:eastAsia="Times New Roman"/>
      <w:bCs/>
      <w:sz w:val="28"/>
    </w:rPr>
  </w:style>
  <w:style w:type="character" w:customStyle="1" w:styleId="af7">
    <w:name w:val="כותרת ראשית תו"/>
    <w:basedOn w:val="a1"/>
    <w:link w:val="af6"/>
    <w:rsid w:val="00910C95"/>
    <w:rPr>
      <w:rFonts w:ascii="David" w:hAnsi="David" w:cs="David"/>
      <w:b/>
      <w:bCs/>
      <w:spacing w:val="5"/>
      <w:kern w:val="28"/>
      <w:sz w:val="28"/>
      <w:szCs w:val="28"/>
    </w:rPr>
  </w:style>
  <w:style w:type="paragraph" w:customStyle="1" w:styleId="1">
    <w:name w:val="כותרת משנה רמה 1"/>
    <w:basedOn w:val="a0"/>
    <w:next w:val="a0"/>
    <w:link w:val="10"/>
    <w:qFormat/>
    <w:rsid w:val="00597143"/>
    <w:pPr>
      <w:keepNext/>
      <w:spacing w:before="240" w:after="120"/>
      <w:ind w:left="23"/>
      <w:jc w:val="both"/>
      <w:outlineLvl w:val="0"/>
    </w:pPr>
    <w:rPr>
      <w:rFonts w:eastAsia="Calibri"/>
      <w:b/>
      <w:bCs/>
    </w:rPr>
  </w:style>
  <w:style w:type="character" w:customStyle="1" w:styleId="af8">
    <w:name w:val="כותרת משנה ממוספרת תו"/>
    <w:basedOn w:val="a1"/>
    <w:link w:val="a"/>
    <w:rsid w:val="00910C95"/>
    <w:rPr>
      <w:rFonts w:ascii="David" w:eastAsia="Times New Roman" w:hAnsi="David" w:cs="David"/>
      <w:bCs/>
      <w:sz w:val="28"/>
      <w:szCs w:val="24"/>
    </w:rPr>
  </w:style>
  <w:style w:type="character" w:customStyle="1" w:styleId="10">
    <w:name w:val="כותרת משנה רמה 1 תו"/>
    <w:basedOn w:val="a1"/>
    <w:link w:val="1"/>
    <w:rsid w:val="00597143"/>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805">
      <w:bodyDiv w:val="1"/>
      <w:marLeft w:val="0"/>
      <w:marRight w:val="0"/>
      <w:marTop w:val="0"/>
      <w:marBottom w:val="0"/>
      <w:divBdr>
        <w:top w:val="none" w:sz="0" w:space="0" w:color="auto"/>
        <w:left w:val="none" w:sz="0" w:space="0" w:color="auto"/>
        <w:bottom w:val="none" w:sz="0" w:space="0" w:color="auto"/>
        <w:right w:val="none" w:sz="0" w:space="0" w:color="auto"/>
      </w:divBdr>
      <w:divsChild>
        <w:div w:id="455561462">
          <w:marLeft w:val="0"/>
          <w:marRight w:val="547"/>
          <w:marTop w:val="0"/>
          <w:marBottom w:val="0"/>
          <w:divBdr>
            <w:top w:val="none" w:sz="0" w:space="0" w:color="auto"/>
            <w:left w:val="none" w:sz="0" w:space="0" w:color="auto"/>
            <w:bottom w:val="none" w:sz="0" w:space="0" w:color="auto"/>
            <w:right w:val="none" w:sz="0" w:space="0" w:color="auto"/>
          </w:divBdr>
        </w:div>
        <w:div w:id="620577236">
          <w:marLeft w:val="0"/>
          <w:marRight w:val="547"/>
          <w:marTop w:val="0"/>
          <w:marBottom w:val="0"/>
          <w:divBdr>
            <w:top w:val="none" w:sz="0" w:space="0" w:color="auto"/>
            <w:left w:val="none" w:sz="0" w:space="0" w:color="auto"/>
            <w:bottom w:val="none" w:sz="0" w:space="0" w:color="auto"/>
            <w:right w:val="none" w:sz="0" w:space="0" w:color="auto"/>
          </w:divBdr>
        </w:div>
        <w:div w:id="1532646472">
          <w:marLeft w:val="0"/>
          <w:marRight w:val="547"/>
          <w:marTop w:val="0"/>
          <w:marBottom w:val="0"/>
          <w:divBdr>
            <w:top w:val="none" w:sz="0" w:space="0" w:color="auto"/>
            <w:left w:val="none" w:sz="0" w:space="0" w:color="auto"/>
            <w:bottom w:val="none" w:sz="0" w:space="0" w:color="auto"/>
            <w:right w:val="none" w:sz="0" w:space="0" w:color="auto"/>
          </w:divBdr>
        </w:div>
      </w:divsChild>
    </w:div>
    <w:div w:id="307513870">
      <w:bodyDiv w:val="1"/>
      <w:marLeft w:val="0"/>
      <w:marRight w:val="0"/>
      <w:marTop w:val="0"/>
      <w:marBottom w:val="0"/>
      <w:divBdr>
        <w:top w:val="none" w:sz="0" w:space="0" w:color="auto"/>
        <w:left w:val="none" w:sz="0" w:space="0" w:color="auto"/>
        <w:bottom w:val="none" w:sz="0" w:space="0" w:color="auto"/>
        <w:right w:val="none" w:sz="0" w:space="0" w:color="auto"/>
      </w:divBdr>
      <w:divsChild>
        <w:div w:id="324937829">
          <w:marLeft w:val="0"/>
          <w:marRight w:val="360"/>
          <w:marTop w:val="240"/>
          <w:marBottom w:val="0"/>
          <w:divBdr>
            <w:top w:val="none" w:sz="0" w:space="0" w:color="auto"/>
            <w:left w:val="none" w:sz="0" w:space="0" w:color="auto"/>
            <w:bottom w:val="none" w:sz="0" w:space="0" w:color="auto"/>
            <w:right w:val="none" w:sz="0" w:space="0" w:color="auto"/>
          </w:divBdr>
        </w:div>
        <w:div w:id="587084012">
          <w:marLeft w:val="0"/>
          <w:marRight w:val="360"/>
          <w:marTop w:val="240"/>
          <w:marBottom w:val="0"/>
          <w:divBdr>
            <w:top w:val="none" w:sz="0" w:space="0" w:color="auto"/>
            <w:left w:val="none" w:sz="0" w:space="0" w:color="auto"/>
            <w:bottom w:val="none" w:sz="0" w:space="0" w:color="auto"/>
            <w:right w:val="none" w:sz="0" w:space="0" w:color="auto"/>
          </w:divBdr>
        </w:div>
        <w:div w:id="1092163676">
          <w:marLeft w:val="0"/>
          <w:marRight w:val="360"/>
          <w:marTop w:val="240"/>
          <w:marBottom w:val="0"/>
          <w:divBdr>
            <w:top w:val="none" w:sz="0" w:space="0" w:color="auto"/>
            <w:left w:val="none" w:sz="0" w:space="0" w:color="auto"/>
            <w:bottom w:val="none" w:sz="0" w:space="0" w:color="auto"/>
            <w:right w:val="none" w:sz="0" w:space="0" w:color="auto"/>
          </w:divBdr>
        </w:div>
        <w:div w:id="2147039727">
          <w:marLeft w:val="0"/>
          <w:marRight w:val="360"/>
          <w:marTop w:val="240"/>
          <w:marBottom w:val="0"/>
          <w:divBdr>
            <w:top w:val="none" w:sz="0" w:space="0" w:color="auto"/>
            <w:left w:val="none" w:sz="0" w:space="0" w:color="auto"/>
            <w:bottom w:val="none" w:sz="0" w:space="0" w:color="auto"/>
            <w:right w:val="none" w:sz="0" w:space="0" w:color="auto"/>
          </w:divBdr>
        </w:div>
      </w:divsChild>
    </w:div>
    <w:div w:id="323171424">
      <w:bodyDiv w:val="1"/>
      <w:marLeft w:val="0"/>
      <w:marRight w:val="0"/>
      <w:marTop w:val="0"/>
      <w:marBottom w:val="0"/>
      <w:divBdr>
        <w:top w:val="none" w:sz="0" w:space="0" w:color="auto"/>
        <w:left w:val="none" w:sz="0" w:space="0" w:color="auto"/>
        <w:bottom w:val="none" w:sz="0" w:space="0" w:color="auto"/>
        <w:right w:val="none" w:sz="0" w:space="0" w:color="auto"/>
      </w:divBdr>
    </w:div>
    <w:div w:id="478424487">
      <w:bodyDiv w:val="1"/>
      <w:marLeft w:val="0"/>
      <w:marRight w:val="0"/>
      <w:marTop w:val="0"/>
      <w:marBottom w:val="0"/>
      <w:divBdr>
        <w:top w:val="none" w:sz="0" w:space="0" w:color="auto"/>
        <w:left w:val="none" w:sz="0" w:space="0" w:color="auto"/>
        <w:bottom w:val="none" w:sz="0" w:space="0" w:color="auto"/>
        <w:right w:val="none" w:sz="0" w:space="0" w:color="auto"/>
      </w:divBdr>
      <w:divsChild>
        <w:div w:id="363599981">
          <w:marLeft w:val="0"/>
          <w:marRight w:val="360"/>
          <w:marTop w:val="240"/>
          <w:marBottom w:val="0"/>
          <w:divBdr>
            <w:top w:val="none" w:sz="0" w:space="0" w:color="auto"/>
            <w:left w:val="none" w:sz="0" w:space="0" w:color="auto"/>
            <w:bottom w:val="none" w:sz="0" w:space="0" w:color="auto"/>
            <w:right w:val="none" w:sz="0" w:space="0" w:color="auto"/>
          </w:divBdr>
        </w:div>
        <w:div w:id="596988834">
          <w:marLeft w:val="0"/>
          <w:marRight w:val="360"/>
          <w:marTop w:val="240"/>
          <w:marBottom w:val="0"/>
          <w:divBdr>
            <w:top w:val="none" w:sz="0" w:space="0" w:color="auto"/>
            <w:left w:val="none" w:sz="0" w:space="0" w:color="auto"/>
            <w:bottom w:val="none" w:sz="0" w:space="0" w:color="auto"/>
            <w:right w:val="none" w:sz="0" w:space="0" w:color="auto"/>
          </w:divBdr>
        </w:div>
      </w:divsChild>
    </w:div>
    <w:div w:id="498543810">
      <w:bodyDiv w:val="1"/>
      <w:marLeft w:val="0"/>
      <w:marRight w:val="0"/>
      <w:marTop w:val="0"/>
      <w:marBottom w:val="0"/>
      <w:divBdr>
        <w:top w:val="none" w:sz="0" w:space="0" w:color="auto"/>
        <w:left w:val="none" w:sz="0" w:space="0" w:color="auto"/>
        <w:bottom w:val="none" w:sz="0" w:space="0" w:color="auto"/>
        <w:right w:val="none" w:sz="0" w:space="0" w:color="auto"/>
      </w:divBdr>
    </w:div>
    <w:div w:id="518394452">
      <w:bodyDiv w:val="1"/>
      <w:marLeft w:val="0"/>
      <w:marRight w:val="0"/>
      <w:marTop w:val="0"/>
      <w:marBottom w:val="0"/>
      <w:divBdr>
        <w:top w:val="none" w:sz="0" w:space="0" w:color="auto"/>
        <w:left w:val="none" w:sz="0" w:space="0" w:color="auto"/>
        <w:bottom w:val="none" w:sz="0" w:space="0" w:color="auto"/>
        <w:right w:val="none" w:sz="0" w:space="0" w:color="auto"/>
      </w:divBdr>
    </w:div>
    <w:div w:id="576331894">
      <w:bodyDiv w:val="1"/>
      <w:marLeft w:val="0"/>
      <w:marRight w:val="0"/>
      <w:marTop w:val="0"/>
      <w:marBottom w:val="0"/>
      <w:divBdr>
        <w:top w:val="none" w:sz="0" w:space="0" w:color="auto"/>
        <w:left w:val="none" w:sz="0" w:space="0" w:color="auto"/>
        <w:bottom w:val="none" w:sz="0" w:space="0" w:color="auto"/>
        <w:right w:val="none" w:sz="0" w:space="0" w:color="auto"/>
      </w:divBdr>
    </w:div>
    <w:div w:id="579145395">
      <w:bodyDiv w:val="1"/>
      <w:marLeft w:val="0"/>
      <w:marRight w:val="0"/>
      <w:marTop w:val="0"/>
      <w:marBottom w:val="0"/>
      <w:divBdr>
        <w:top w:val="none" w:sz="0" w:space="0" w:color="auto"/>
        <w:left w:val="none" w:sz="0" w:space="0" w:color="auto"/>
        <w:bottom w:val="none" w:sz="0" w:space="0" w:color="auto"/>
        <w:right w:val="none" w:sz="0" w:space="0" w:color="auto"/>
      </w:divBdr>
      <w:divsChild>
        <w:div w:id="164781100">
          <w:marLeft w:val="0"/>
          <w:marRight w:val="360"/>
          <w:marTop w:val="240"/>
          <w:marBottom w:val="0"/>
          <w:divBdr>
            <w:top w:val="none" w:sz="0" w:space="0" w:color="auto"/>
            <w:left w:val="none" w:sz="0" w:space="0" w:color="auto"/>
            <w:bottom w:val="none" w:sz="0" w:space="0" w:color="auto"/>
            <w:right w:val="none" w:sz="0" w:space="0" w:color="auto"/>
          </w:divBdr>
        </w:div>
      </w:divsChild>
    </w:div>
    <w:div w:id="773748116">
      <w:bodyDiv w:val="1"/>
      <w:marLeft w:val="0"/>
      <w:marRight w:val="0"/>
      <w:marTop w:val="0"/>
      <w:marBottom w:val="0"/>
      <w:divBdr>
        <w:top w:val="none" w:sz="0" w:space="0" w:color="auto"/>
        <w:left w:val="none" w:sz="0" w:space="0" w:color="auto"/>
        <w:bottom w:val="none" w:sz="0" w:space="0" w:color="auto"/>
        <w:right w:val="none" w:sz="0" w:space="0" w:color="auto"/>
      </w:divBdr>
    </w:div>
    <w:div w:id="795442589">
      <w:bodyDiv w:val="1"/>
      <w:marLeft w:val="0"/>
      <w:marRight w:val="0"/>
      <w:marTop w:val="0"/>
      <w:marBottom w:val="0"/>
      <w:divBdr>
        <w:top w:val="none" w:sz="0" w:space="0" w:color="auto"/>
        <w:left w:val="none" w:sz="0" w:space="0" w:color="auto"/>
        <w:bottom w:val="none" w:sz="0" w:space="0" w:color="auto"/>
        <w:right w:val="none" w:sz="0" w:space="0" w:color="auto"/>
      </w:divBdr>
    </w:div>
    <w:div w:id="862748478">
      <w:bodyDiv w:val="1"/>
      <w:marLeft w:val="0"/>
      <w:marRight w:val="0"/>
      <w:marTop w:val="0"/>
      <w:marBottom w:val="0"/>
      <w:divBdr>
        <w:top w:val="none" w:sz="0" w:space="0" w:color="auto"/>
        <w:left w:val="none" w:sz="0" w:space="0" w:color="auto"/>
        <w:bottom w:val="none" w:sz="0" w:space="0" w:color="auto"/>
        <w:right w:val="none" w:sz="0" w:space="0" w:color="auto"/>
      </w:divBdr>
    </w:div>
    <w:div w:id="937177129">
      <w:bodyDiv w:val="1"/>
      <w:marLeft w:val="0"/>
      <w:marRight w:val="0"/>
      <w:marTop w:val="0"/>
      <w:marBottom w:val="0"/>
      <w:divBdr>
        <w:top w:val="none" w:sz="0" w:space="0" w:color="auto"/>
        <w:left w:val="none" w:sz="0" w:space="0" w:color="auto"/>
        <w:bottom w:val="none" w:sz="0" w:space="0" w:color="auto"/>
        <w:right w:val="none" w:sz="0" w:space="0" w:color="auto"/>
      </w:divBdr>
    </w:div>
    <w:div w:id="964585648">
      <w:bodyDiv w:val="1"/>
      <w:marLeft w:val="0"/>
      <w:marRight w:val="0"/>
      <w:marTop w:val="0"/>
      <w:marBottom w:val="0"/>
      <w:divBdr>
        <w:top w:val="none" w:sz="0" w:space="0" w:color="auto"/>
        <w:left w:val="none" w:sz="0" w:space="0" w:color="auto"/>
        <w:bottom w:val="none" w:sz="0" w:space="0" w:color="auto"/>
        <w:right w:val="none" w:sz="0" w:space="0" w:color="auto"/>
      </w:divBdr>
    </w:div>
    <w:div w:id="1061055014">
      <w:bodyDiv w:val="1"/>
      <w:marLeft w:val="0"/>
      <w:marRight w:val="0"/>
      <w:marTop w:val="0"/>
      <w:marBottom w:val="0"/>
      <w:divBdr>
        <w:top w:val="none" w:sz="0" w:space="0" w:color="auto"/>
        <w:left w:val="none" w:sz="0" w:space="0" w:color="auto"/>
        <w:bottom w:val="none" w:sz="0" w:space="0" w:color="auto"/>
        <w:right w:val="none" w:sz="0" w:space="0" w:color="auto"/>
      </w:divBdr>
      <w:divsChild>
        <w:div w:id="1770587945">
          <w:marLeft w:val="0"/>
          <w:marRight w:val="446"/>
          <w:marTop w:val="0"/>
          <w:marBottom w:val="0"/>
          <w:divBdr>
            <w:top w:val="none" w:sz="0" w:space="0" w:color="auto"/>
            <w:left w:val="none" w:sz="0" w:space="0" w:color="auto"/>
            <w:bottom w:val="none" w:sz="0" w:space="0" w:color="auto"/>
            <w:right w:val="none" w:sz="0" w:space="0" w:color="auto"/>
          </w:divBdr>
        </w:div>
      </w:divsChild>
    </w:div>
    <w:div w:id="1220677449">
      <w:bodyDiv w:val="1"/>
      <w:marLeft w:val="0"/>
      <w:marRight w:val="0"/>
      <w:marTop w:val="0"/>
      <w:marBottom w:val="0"/>
      <w:divBdr>
        <w:top w:val="none" w:sz="0" w:space="0" w:color="auto"/>
        <w:left w:val="none" w:sz="0" w:space="0" w:color="auto"/>
        <w:bottom w:val="none" w:sz="0" w:space="0" w:color="auto"/>
        <w:right w:val="none" w:sz="0" w:space="0" w:color="auto"/>
      </w:divBdr>
    </w:div>
    <w:div w:id="1351033415">
      <w:bodyDiv w:val="1"/>
      <w:marLeft w:val="0"/>
      <w:marRight w:val="0"/>
      <w:marTop w:val="0"/>
      <w:marBottom w:val="0"/>
      <w:divBdr>
        <w:top w:val="none" w:sz="0" w:space="0" w:color="auto"/>
        <w:left w:val="none" w:sz="0" w:space="0" w:color="auto"/>
        <w:bottom w:val="none" w:sz="0" w:space="0" w:color="auto"/>
        <w:right w:val="none" w:sz="0" w:space="0" w:color="auto"/>
      </w:divBdr>
    </w:div>
    <w:div w:id="1549761150">
      <w:bodyDiv w:val="1"/>
      <w:marLeft w:val="0"/>
      <w:marRight w:val="0"/>
      <w:marTop w:val="0"/>
      <w:marBottom w:val="0"/>
      <w:divBdr>
        <w:top w:val="none" w:sz="0" w:space="0" w:color="auto"/>
        <w:left w:val="none" w:sz="0" w:space="0" w:color="auto"/>
        <w:bottom w:val="none" w:sz="0" w:space="0" w:color="auto"/>
        <w:right w:val="none" w:sz="0" w:space="0" w:color="auto"/>
      </w:divBdr>
    </w:div>
    <w:div w:id="1683240962">
      <w:bodyDiv w:val="1"/>
      <w:marLeft w:val="0"/>
      <w:marRight w:val="0"/>
      <w:marTop w:val="0"/>
      <w:marBottom w:val="0"/>
      <w:divBdr>
        <w:top w:val="none" w:sz="0" w:space="0" w:color="auto"/>
        <w:left w:val="none" w:sz="0" w:space="0" w:color="auto"/>
        <w:bottom w:val="none" w:sz="0" w:space="0" w:color="auto"/>
        <w:right w:val="none" w:sz="0" w:space="0" w:color="auto"/>
      </w:divBdr>
      <w:divsChild>
        <w:div w:id="209265836">
          <w:marLeft w:val="0"/>
          <w:marRight w:val="360"/>
          <w:marTop w:val="240"/>
          <w:marBottom w:val="0"/>
          <w:divBdr>
            <w:top w:val="none" w:sz="0" w:space="0" w:color="auto"/>
            <w:left w:val="none" w:sz="0" w:space="0" w:color="auto"/>
            <w:bottom w:val="none" w:sz="0" w:space="0" w:color="auto"/>
            <w:right w:val="none" w:sz="0" w:space="0" w:color="auto"/>
          </w:divBdr>
        </w:div>
        <w:div w:id="2061784408">
          <w:marLeft w:val="0"/>
          <w:marRight w:val="360"/>
          <w:marTop w:val="240"/>
          <w:marBottom w:val="0"/>
          <w:divBdr>
            <w:top w:val="none" w:sz="0" w:space="0" w:color="auto"/>
            <w:left w:val="none" w:sz="0" w:space="0" w:color="auto"/>
            <w:bottom w:val="none" w:sz="0" w:space="0" w:color="auto"/>
            <w:right w:val="none" w:sz="0" w:space="0" w:color="auto"/>
          </w:divBdr>
        </w:div>
      </w:divsChild>
    </w:div>
    <w:div w:id="1689798109">
      <w:bodyDiv w:val="1"/>
      <w:marLeft w:val="0"/>
      <w:marRight w:val="0"/>
      <w:marTop w:val="0"/>
      <w:marBottom w:val="0"/>
      <w:divBdr>
        <w:top w:val="none" w:sz="0" w:space="0" w:color="auto"/>
        <w:left w:val="none" w:sz="0" w:space="0" w:color="auto"/>
        <w:bottom w:val="none" w:sz="0" w:space="0" w:color="auto"/>
        <w:right w:val="none" w:sz="0" w:space="0" w:color="auto"/>
      </w:divBdr>
    </w:div>
    <w:div w:id="1781798376">
      <w:bodyDiv w:val="1"/>
      <w:marLeft w:val="0"/>
      <w:marRight w:val="0"/>
      <w:marTop w:val="0"/>
      <w:marBottom w:val="0"/>
      <w:divBdr>
        <w:top w:val="none" w:sz="0" w:space="0" w:color="auto"/>
        <w:left w:val="none" w:sz="0" w:space="0" w:color="auto"/>
        <w:bottom w:val="none" w:sz="0" w:space="0" w:color="auto"/>
        <w:right w:val="none" w:sz="0" w:space="0" w:color="auto"/>
      </w:divBdr>
    </w:div>
    <w:div w:id="1836340439">
      <w:bodyDiv w:val="1"/>
      <w:marLeft w:val="0"/>
      <w:marRight w:val="0"/>
      <w:marTop w:val="0"/>
      <w:marBottom w:val="0"/>
      <w:divBdr>
        <w:top w:val="none" w:sz="0" w:space="0" w:color="auto"/>
        <w:left w:val="none" w:sz="0" w:space="0" w:color="auto"/>
        <w:bottom w:val="none" w:sz="0" w:space="0" w:color="auto"/>
        <w:right w:val="none" w:sz="0" w:space="0" w:color="auto"/>
      </w:divBdr>
      <w:divsChild>
        <w:div w:id="458376209">
          <w:marLeft w:val="0"/>
          <w:marRight w:val="360"/>
          <w:marTop w:val="240"/>
          <w:marBottom w:val="0"/>
          <w:divBdr>
            <w:top w:val="none" w:sz="0" w:space="0" w:color="auto"/>
            <w:left w:val="none" w:sz="0" w:space="0" w:color="auto"/>
            <w:bottom w:val="none" w:sz="0" w:space="0" w:color="auto"/>
            <w:right w:val="none" w:sz="0" w:space="0" w:color="auto"/>
          </w:divBdr>
        </w:div>
      </w:divsChild>
    </w:div>
    <w:div w:id="1944454001">
      <w:bodyDiv w:val="1"/>
      <w:marLeft w:val="0"/>
      <w:marRight w:val="0"/>
      <w:marTop w:val="0"/>
      <w:marBottom w:val="0"/>
      <w:divBdr>
        <w:top w:val="none" w:sz="0" w:space="0" w:color="auto"/>
        <w:left w:val="none" w:sz="0" w:space="0" w:color="auto"/>
        <w:bottom w:val="none" w:sz="0" w:space="0" w:color="auto"/>
        <w:right w:val="none" w:sz="0" w:space="0" w:color="auto"/>
      </w:divBdr>
    </w:div>
    <w:div w:id="2054646251">
      <w:bodyDiv w:val="1"/>
      <w:marLeft w:val="0"/>
      <w:marRight w:val="0"/>
      <w:marTop w:val="0"/>
      <w:marBottom w:val="0"/>
      <w:divBdr>
        <w:top w:val="none" w:sz="0" w:space="0" w:color="auto"/>
        <w:left w:val="none" w:sz="0" w:space="0" w:color="auto"/>
        <w:bottom w:val="none" w:sz="0" w:space="0" w:color="auto"/>
        <w:right w:val="none" w:sz="0" w:space="0" w:color="auto"/>
      </w:divBdr>
    </w:div>
    <w:div w:id="2083721110">
      <w:bodyDiv w:val="1"/>
      <w:marLeft w:val="0"/>
      <w:marRight w:val="0"/>
      <w:marTop w:val="0"/>
      <w:marBottom w:val="0"/>
      <w:divBdr>
        <w:top w:val="none" w:sz="0" w:space="0" w:color="auto"/>
        <w:left w:val="none" w:sz="0" w:space="0" w:color="auto"/>
        <w:bottom w:val="none" w:sz="0" w:space="0" w:color="auto"/>
        <w:right w:val="none" w:sz="0" w:space="0" w:color="auto"/>
      </w:divBdr>
      <w:divsChild>
        <w:div w:id="517429874">
          <w:marLeft w:val="0"/>
          <w:marRight w:val="36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ybvpydng/dp12065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google_drive\SF2023Q4\Rambo2G\SpecificModels\MoIsE\D10ScenariosByVariosRestriction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261041791690489E-2"/>
          <c:y val="4.8747220373071956E-2"/>
          <c:w val="0.92561080228531722"/>
          <c:h val="0.75713043355098231"/>
        </c:manualLayout>
      </c:layout>
      <c:lineChart>
        <c:grouping val="standard"/>
        <c:varyColors val="0"/>
        <c:ser>
          <c:idx val="0"/>
          <c:order val="0"/>
          <c:tx>
            <c:strRef>
              <c:f>Plot_GDP_trend!$B$1</c:f>
              <c:strCache>
                <c:ptCount val="1"/>
                <c:pt idx="0">
                  <c:v>תחזית ערב המלחמה</c:v>
                </c:pt>
              </c:strCache>
              <c:extLst xmlns:c15="http://schemas.microsoft.com/office/drawing/2012/chart"/>
            </c:strRef>
          </c:tx>
          <c:spPr>
            <a:ln w="28575" cap="rnd">
              <a:solidFill>
                <a:schemeClr val="accent1">
                  <a:lumMod val="60000"/>
                  <a:lumOff val="40000"/>
                </a:schemeClr>
              </a:solidFill>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extLst xmlns:c15="http://schemas.microsoft.com/office/drawing/2012/chart"/>
            </c:numRef>
          </c:cat>
          <c:val>
            <c:numRef>
              <c:f>Plot_GDP_trend!$B$2:$B$29</c:f>
              <c:numCache>
                <c:formatCode>0.00</c:formatCode>
                <c:ptCount val="28"/>
                <c:pt idx="0">
                  <c:v>1.009440237328932</c:v>
                </c:pt>
                <c:pt idx="1">
                  <c:v>0.99755855721587117</c:v>
                </c:pt>
                <c:pt idx="2">
                  <c:v>1.0000902461078198</c:v>
                </c:pt>
                <c:pt idx="3">
                  <c:v>0.99908027835487645</c:v>
                </c:pt>
                <c:pt idx="4">
                  <c:v>0.972422707842862</c:v>
                </c:pt>
                <c:pt idx="5">
                  <c:v>0.8850393302248688</c:v>
                </c:pt>
                <c:pt idx="6">
                  <c:v>0.95545407315604747</c:v>
                </c:pt>
                <c:pt idx="7">
                  <c:v>0.97033958768514661</c:v>
                </c:pt>
                <c:pt idx="8">
                  <c:v>0.96294103858543556</c:v>
                </c:pt>
                <c:pt idx="9">
                  <c:v>0.99066981178030245</c:v>
                </c:pt>
                <c:pt idx="10">
                  <c:v>1.0020965297196871</c:v>
                </c:pt>
                <c:pt idx="11">
                  <c:v>1.0357929244691997</c:v>
                </c:pt>
                <c:pt idx="12">
                  <c:v>1.0195688816040771</c:v>
                </c:pt>
                <c:pt idx="13">
                  <c:v>1.0268801224317561</c:v>
                </c:pt>
                <c:pt idx="14">
                  <c:v>1.0212935973756385</c:v>
                </c:pt>
                <c:pt idx="15">
                  <c:v>1.0230132287205675</c:v>
                </c:pt>
                <c:pt idx="16">
                  <c:v>1.0203723535315394</c:v>
                </c:pt>
                <c:pt idx="17">
                  <c:v>1.0182664600671543</c:v>
                </c:pt>
                <c:pt idx="18" formatCode="0.0000">
                  <c:v>1.0183441650990079</c:v>
                </c:pt>
                <c:pt idx="19" formatCode="0.0000">
                  <c:v>1.010887405773895</c:v>
                </c:pt>
                <c:pt idx="20" formatCode="0.0000">
                  <c:v>1.010050915389799</c:v>
                </c:pt>
                <c:pt idx="21" formatCode="0.0000">
                  <c:v>1.0098470778868642</c:v>
                </c:pt>
                <c:pt idx="22" formatCode="0.0000">
                  <c:v>1.0105751601016435</c:v>
                </c:pt>
                <c:pt idx="23" formatCode="0.0000">
                  <c:v>1.0116512747324355</c:v>
                </c:pt>
                <c:pt idx="24" formatCode="0.0000">
                  <c:v>1.0107249941795133</c:v>
                </c:pt>
                <c:pt idx="25" formatCode="0.0000">
                  <c:v>1.0092082992274225</c:v>
                </c:pt>
                <c:pt idx="26" formatCode="0.0000">
                  <c:v>1.0075600645131046</c:v>
                </c:pt>
                <c:pt idx="27" formatCode="0.0000">
                  <c:v>1.0059144214658002</c:v>
                </c:pt>
              </c:numCache>
              <c:extLst xmlns:c15="http://schemas.microsoft.com/office/drawing/2012/chart"/>
            </c:numRef>
          </c:val>
          <c:smooth val="0"/>
          <c:extLst xmlns:c15="http://schemas.microsoft.com/office/drawing/2012/chart">
            <c:ext xmlns:c16="http://schemas.microsoft.com/office/drawing/2014/chart" uri="{C3380CC4-5D6E-409C-BE32-E72D297353CC}">
              <c16:uniqueId val="{00000000-2362-4DF3-BFD5-887C39A76060}"/>
            </c:ext>
          </c:extLst>
        </c:ser>
        <c:ser>
          <c:idx val="1"/>
          <c:order val="1"/>
          <c:tx>
            <c:strRef>
              <c:f>Plot_GDP_trend!$C$1</c:f>
              <c:strCache>
                <c:ptCount val="1"/>
                <c:pt idx="0">
                  <c:v>בפועל</c:v>
                </c:pt>
              </c:strCache>
            </c:strRef>
          </c:tx>
          <c:spPr>
            <a:ln w="28575" cap="rnd">
              <a:solidFill>
                <a:schemeClr val="accent1"/>
              </a:solidFill>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numRef>
          </c:cat>
          <c:val>
            <c:numRef>
              <c:f>Plot_GDP_trend!$C$2:$C$29</c:f>
              <c:numCache>
                <c:formatCode>General</c:formatCode>
                <c:ptCount val="28"/>
                <c:pt idx="0">
                  <c:v>1.0098354545688719</c:v>
                </c:pt>
                <c:pt idx="1">
                  <c:v>0.99799525068005401</c:v>
                </c:pt>
                <c:pt idx="2">
                  <c:v>1.0005742014032157</c:v>
                </c:pt>
                <c:pt idx="3">
                  <c:v>0.9996099440925118</c:v>
                </c:pt>
                <c:pt idx="4">
                  <c:v>0.97299816792876281</c:v>
                </c:pt>
                <c:pt idx="5">
                  <c:v>0.88496818142676381</c:v>
                </c:pt>
                <c:pt idx="6">
                  <c:v>0.95717392881950181</c:v>
                </c:pt>
                <c:pt idx="7">
                  <c:v>0.97115717798566004</c:v>
                </c:pt>
                <c:pt idx="8">
                  <c:v>0.96362389563645534</c:v>
                </c:pt>
                <c:pt idx="9">
                  <c:v>0.99090690250288338</c:v>
                </c:pt>
                <c:pt idx="10">
                  <c:v>1.0039347183882827</c:v>
                </c:pt>
                <c:pt idx="11">
                  <c:v>1.0369162474894487</c:v>
                </c:pt>
                <c:pt idx="12">
                  <c:v>1.0208051948376047</c:v>
                </c:pt>
                <c:pt idx="13">
                  <c:v>1.0266240517452816</c:v>
                </c:pt>
                <c:pt idx="14">
                  <c:v>1.0234173472440404</c:v>
                </c:pt>
                <c:pt idx="15">
                  <c:v>1.0245910111488243</c:v>
                </c:pt>
                <c:pt idx="16">
                  <c:v>1.0225196474164864</c:v>
                </c:pt>
                <c:pt idx="17">
                  <c:v>1.0209899547815731</c:v>
                </c:pt>
                <c:pt idx="18">
                  <c:v>1.0183441650990079</c:v>
                </c:pt>
                <c:pt idx="19">
                  <c:v>#N/A</c:v>
                </c:pt>
                <c:pt idx="20">
                  <c:v>#N/A</c:v>
                </c:pt>
                <c:pt idx="21">
                  <c:v>#N/A</c:v>
                </c:pt>
                <c:pt idx="22">
                  <c:v>#N/A</c:v>
                </c:pt>
                <c:pt idx="23">
                  <c:v>#N/A</c:v>
                </c:pt>
                <c:pt idx="24">
                  <c:v>#N/A</c:v>
                </c:pt>
                <c:pt idx="25">
                  <c:v>#N/A</c:v>
                </c:pt>
                <c:pt idx="26">
                  <c:v>#N/A</c:v>
                </c:pt>
                <c:pt idx="27">
                  <c:v>#N/A</c:v>
                </c:pt>
              </c:numCache>
            </c:numRef>
          </c:val>
          <c:smooth val="0"/>
          <c:extLst>
            <c:ext xmlns:c16="http://schemas.microsoft.com/office/drawing/2014/chart" uri="{C3380CC4-5D6E-409C-BE32-E72D297353CC}">
              <c16:uniqueId val="{00000001-2362-4DF3-BFD5-887C39A76060}"/>
            </c:ext>
          </c:extLst>
        </c:ser>
        <c:ser>
          <c:idx val="2"/>
          <c:order val="2"/>
          <c:tx>
            <c:strRef>
              <c:f>Plot_GDP_trend!$D$1</c:f>
              <c:strCache>
                <c:ptCount val="1"/>
                <c:pt idx="0">
                  <c:v>תחזית נוכחית</c:v>
                </c:pt>
              </c:strCache>
            </c:strRef>
          </c:tx>
          <c:spPr>
            <a:ln w="28575" cap="rnd">
              <a:solidFill>
                <a:schemeClr val="accent1"/>
              </a:solidFill>
              <a:prstDash val="sysDash"/>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numRef>
          </c:cat>
          <c:val>
            <c:numRef>
              <c:f>Plot_GDP_trend!$D$2:$D$29</c:f>
              <c:numCache>
                <c:formatCode>General</c:formatCode>
                <c:ptCount val="28"/>
                <c:pt idx="0">
                  <c:v>#N/A</c:v>
                </c:pt>
                <c:pt idx="1">
                  <c:v>#N/A</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1.0183441650990079</c:v>
                </c:pt>
                <c:pt idx="19">
                  <c:v>0.96562091802715111</c:v>
                </c:pt>
                <c:pt idx="20">
                  <c:v>0.98162316189226728</c:v>
                </c:pt>
                <c:pt idx="21">
                  <c:v>0.98737151792173672</c:v>
                </c:pt>
                <c:pt idx="22">
                  <c:v>0.98854215678730883</c:v>
                </c:pt>
                <c:pt idx="23">
                  <c:v>0.98906647593775854</c:v>
                </c:pt>
                <c:pt idx="24">
                  <c:v>0.99642369901968886</c:v>
                </c:pt>
                <c:pt idx="25">
                  <c:v>0.99826924112764759</c:v>
                </c:pt>
                <c:pt idx="26">
                  <c:v>0.99802945195068282</c:v>
                </c:pt>
                <c:pt idx="27">
                  <c:v>0.99680501250434805</c:v>
                </c:pt>
              </c:numCache>
            </c:numRef>
          </c:val>
          <c:smooth val="0"/>
          <c:extLst>
            <c:ext xmlns:c16="http://schemas.microsoft.com/office/drawing/2014/chart" uri="{C3380CC4-5D6E-409C-BE32-E72D297353CC}">
              <c16:uniqueId val="{00000002-2362-4DF3-BFD5-887C39A76060}"/>
            </c:ext>
          </c:extLst>
        </c:ser>
        <c:ser>
          <c:idx val="3"/>
          <c:order val="3"/>
          <c:tx>
            <c:strRef>
              <c:f>Plot_GDP_trend!$E$1</c:f>
              <c:strCache>
                <c:ptCount val="1"/>
                <c:pt idx="0">
                  <c:v>מגמה</c:v>
                </c:pt>
              </c:strCache>
            </c:strRef>
          </c:tx>
          <c:spPr>
            <a:ln w="28575" cap="rnd">
              <a:solidFill>
                <a:schemeClr val="tx1"/>
              </a:solidFill>
              <a:round/>
            </a:ln>
            <a:effectLst/>
          </c:spPr>
          <c:marker>
            <c:symbol val="none"/>
          </c:marker>
          <c:cat>
            <c:numRef>
              <c:f>Plot_GDP_trend!$A$2:$A$29</c:f>
              <c:numCache>
                <c:formatCode>mm/yyyy</c:formatCode>
                <c:ptCount val="28"/>
                <c:pt idx="0">
                  <c:v>43555</c:v>
                </c:pt>
                <c:pt idx="1">
                  <c:v>43646</c:v>
                </c:pt>
                <c:pt idx="2">
                  <c:v>43738</c:v>
                </c:pt>
                <c:pt idx="3">
                  <c:v>43830</c:v>
                </c:pt>
                <c:pt idx="4">
                  <c:v>43921</c:v>
                </c:pt>
                <c:pt idx="5">
                  <c:v>44012</c:v>
                </c:pt>
                <c:pt idx="6">
                  <c:v>44104</c:v>
                </c:pt>
                <c:pt idx="7">
                  <c:v>44196</c:v>
                </c:pt>
                <c:pt idx="8">
                  <c:v>44286</c:v>
                </c:pt>
                <c:pt idx="9">
                  <c:v>44377</c:v>
                </c:pt>
                <c:pt idx="10">
                  <c:v>44469</c:v>
                </c:pt>
                <c:pt idx="11">
                  <c:v>44561</c:v>
                </c:pt>
                <c:pt idx="12">
                  <c:v>44651</c:v>
                </c:pt>
                <c:pt idx="13">
                  <c:v>44742</c:v>
                </c:pt>
                <c:pt idx="14">
                  <c:v>44834</c:v>
                </c:pt>
                <c:pt idx="15">
                  <c:v>44926</c:v>
                </c:pt>
                <c:pt idx="16">
                  <c:v>45016</c:v>
                </c:pt>
                <c:pt idx="17">
                  <c:v>45107</c:v>
                </c:pt>
                <c:pt idx="18">
                  <c:v>45199</c:v>
                </c:pt>
                <c:pt idx="19">
                  <c:v>45291</c:v>
                </c:pt>
                <c:pt idx="20">
                  <c:v>45382</c:v>
                </c:pt>
                <c:pt idx="21">
                  <c:v>45473</c:v>
                </c:pt>
                <c:pt idx="22">
                  <c:v>45565</c:v>
                </c:pt>
                <c:pt idx="23">
                  <c:v>45657</c:v>
                </c:pt>
                <c:pt idx="24">
                  <c:v>45747</c:v>
                </c:pt>
                <c:pt idx="25">
                  <c:v>45838</c:v>
                </c:pt>
                <c:pt idx="26">
                  <c:v>45930</c:v>
                </c:pt>
                <c:pt idx="27">
                  <c:v>46022</c:v>
                </c:pt>
              </c:numCache>
            </c:numRef>
          </c:cat>
          <c:val>
            <c:numRef>
              <c:f>Plot_GDP_trend!$E$2:$E$29</c:f>
              <c:numCache>
                <c:formatCode>General</c:formatCode>
                <c:ptCount val="28"/>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numCache>
            </c:numRef>
          </c:val>
          <c:smooth val="0"/>
          <c:extLst>
            <c:ext xmlns:c16="http://schemas.microsoft.com/office/drawing/2014/chart" uri="{C3380CC4-5D6E-409C-BE32-E72D297353CC}">
              <c16:uniqueId val="{00000003-2362-4DF3-BFD5-887C39A76060}"/>
            </c:ext>
          </c:extLst>
        </c:ser>
        <c:dLbls>
          <c:showLegendKey val="0"/>
          <c:showVal val="0"/>
          <c:showCatName val="0"/>
          <c:showSerName val="0"/>
          <c:showPercent val="0"/>
          <c:showBubbleSize val="0"/>
        </c:dLbls>
        <c:smooth val="0"/>
        <c:axId val="1289471688"/>
        <c:axId val="1289474312"/>
        <c:extLst/>
      </c:lineChart>
      <c:dateAx>
        <c:axId val="1289471688"/>
        <c:scaling>
          <c:orientation val="minMax"/>
        </c:scaling>
        <c:delete val="0"/>
        <c:axPos val="b"/>
        <c:numFmt formatCode="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289474312"/>
        <c:crosses val="autoZero"/>
        <c:auto val="1"/>
        <c:lblOffset val="100"/>
        <c:baseTimeUnit val="months"/>
        <c:majorUnit val="3"/>
        <c:majorTimeUnit val="months"/>
      </c:dateAx>
      <c:valAx>
        <c:axId val="12894743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crossAx val="1289471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7C8C-1FDB-4823-BE62-7B03246E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2282</Words>
  <Characters>11412</Characters>
  <Application>Microsoft Office Word</Application>
  <DocSecurity>0</DocSecurity>
  <Lines>95</Lines>
  <Paragraphs>27</Paragraphs>
  <ScaleCrop>false</ScaleCrop>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2024-01-01T13:28:00Z</dcterms:created>
  <dcterms:modified xsi:type="dcterms:W3CDTF">2024-01-01T13:28:00Z</dcterms:modified>
</cp:coreProperties>
</file>