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EB3163" w:rsidTr="00031A9D">
        <w:tc>
          <w:tcPr>
            <w:tcW w:w="3343" w:type="dxa"/>
            <w:tcBorders>
              <w:top w:val="nil"/>
              <w:left w:val="nil"/>
              <w:bottom w:val="nil"/>
              <w:right w:val="nil"/>
            </w:tcBorders>
            <w:vAlign w:val="center"/>
          </w:tcPr>
          <w:p w:rsidR="00031A9D" w:rsidRPr="005E28F6" w:rsidRDefault="00EB060E" w:rsidP="005E28F6">
            <w:pPr>
              <w:bidi/>
              <w:spacing w:line="276" w:lineRule="auto"/>
              <w:jc w:val="center"/>
              <w:rPr>
                <w:rFonts w:asciiTheme="minorHAnsi" w:hAnsiTheme="minorHAnsi" w:cstheme="minorHAnsi"/>
                <w:b/>
                <w:bCs/>
                <w:rtl/>
              </w:rPr>
            </w:pPr>
            <w:r w:rsidRPr="005E28F6">
              <w:rPr>
                <w:rFonts w:asciiTheme="minorHAnsi" w:hAnsiTheme="minorHAnsi" w:cstheme="minorHAnsi"/>
                <w:b/>
                <w:bCs/>
                <w:rtl/>
              </w:rPr>
              <w:t>בנק ישראל</w:t>
            </w:r>
          </w:p>
          <w:p w:rsidR="00031A9D" w:rsidRPr="005E28F6" w:rsidRDefault="00EB060E" w:rsidP="005E28F6">
            <w:pPr>
              <w:bidi/>
              <w:spacing w:line="276" w:lineRule="auto"/>
              <w:jc w:val="center"/>
              <w:rPr>
                <w:rFonts w:asciiTheme="minorHAnsi" w:hAnsiTheme="minorHAnsi" w:cstheme="minorHAnsi"/>
                <w:b/>
                <w:bCs/>
              </w:rPr>
            </w:pPr>
            <w:r w:rsidRPr="005E28F6">
              <w:rPr>
                <w:rFonts w:asciiTheme="minorHAnsi" w:hAnsiTheme="minorHAnsi" w:cstheme="minorHAnsi"/>
                <w:rtl/>
              </w:rPr>
              <w:t>דוברות והסברה כלכלית</w:t>
            </w:r>
          </w:p>
        </w:tc>
        <w:tc>
          <w:tcPr>
            <w:tcW w:w="2596" w:type="dxa"/>
            <w:tcBorders>
              <w:top w:val="nil"/>
              <w:left w:val="nil"/>
              <w:bottom w:val="nil"/>
              <w:right w:val="nil"/>
            </w:tcBorders>
            <w:shd w:val="clear" w:color="auto" w:fill="FFFFFF"/>
          </w:tcPr>
          <w:p w:rsidR="00031A9D" w:rsidRPr="005E28F6" w:rsidRDefault="00EB060E" w:rsidP="005E28F6">
            <w:pPr>
              <w:bidi/>
              <w:jc w:val="center"/>
              <w:rPr>
                <w:rFonts w:asciiTheme="minorHAnsi" w:hAnsiTheme="minorHAnsi" w:cstheme="minorHAnsi"/>
              </w:rPr>
            </w:pPr>
            <w:r w:rsidRPr="005E28F6">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u34r\AppData\Local\Microsoft\Windows\INetCache\Content.Word\logo_70.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31A9D" w:rsidRPr="005E28F6" w:rsidRDefault="00EB060E" w:rsidP="005E28F6">
            <w:pPr>
              <w:bidi/>
              <w:spacing w:line="276" w:lineRule="auto"/>
              <w:jc w:val="center"/>
              <w:rPr>
                <w:rFonts w:asciiTheme="minorHAnsi" w:hAnsiTheme="minorHAnsi" w:cstheme="minorHAnsi"/>
                <w:rtl/>
              </w:rPr>
            </w:pPr>
            <w:r w:rsidRPr="005E28F6">
              <w:rPr>
                <w:rFonts w:asciiTheme="minorHAnsi" w:hAnsiTheme="minorHAnsi" w:cstheme="minorHAnsi"/>
                <w:highlight w:val="green"/>
                <w:rtl/>
              </w:rPr>
              <w:t>‏</w:t>
            </w:r>
            <w:r w:rsidRPr="005E28F6">
              <w:rPr>
                <w:rFonts w:asciiTheme="minorHAnsi" w:hAnsiTheme="minorHAnsi" w:cstheme="minorHAnsi"/>
                <w:rtl/>
              </w:rPr>
              <w:t xml:space="preserve">ירושלים, </w:t>
            </w:r>
            <w:r w:rsidRPr="005E28F6">
              <w:rPr>
                <w:rFonts w:asciiTheme="minorHAnsi" w:hAnsiTheme="minorHAnsi" w:cstheme="minorHAnsi"/>
                <w:rtl/>
              </w:rPr>
              <w:fldChar w:fldCharType="begin"/>
            </w:r>
            <w:r w:rsidRPr="005E28F6">
              <w:rPr>
                <w:rFonts w:asciiTheme="minorHAnsi" w:hAnsiTheme="minorHAnsi" w:cstheme="minorHAnsi"/>
                <w:rtl/>
              </w:rPr>
              <w:instrText xml:space="preserve"> </w:instrText>
            </w:r>
            <w:r w:rsidRPr="005E28F6">
              <w:rPr>
                <w:rFonts w:asciiTheme="minorHAnsi" w:hAnsiTheme="minorHAnsi" w:cstheme="minorHAnsi"/>
              </w:rPr>
              <w:instrText>DATE</w:instrText>
            </w:r>
            <w:r w:rsidRPr="005E28F6">
              <w:rPr>
                <w:rFonts w:asciiTheme="minorHAnsi" w:hAnsiTheme="minorHAnsi" w:cstheme="minorHAnsi"/>
                <w:rtl/>
              </w:rPr>
              <w:instrText xml:space="preserve"> \@ "</w:instrText>
            </w:r>
            <w:r w:rsidRPr="005E28F6">
              <w:rPr>
                <w:rFonts w:asciiTheme="minorHAnsi" w:hAnsiTheme="minorHAnsi" w:cstheme="minorHAnsi"/>
              </w:rPr>
              <w:instrText>d MMMM, yyyy" \h</w:instrText>
            </w:r>
            <w:r w:rsidRPr="005E28F6">
              <w:rPr>
                <w:rFonts w:asciiTheme="minorHAnsi" w:hAnsiTheme="minorHAnsi" w:cstheme="minorHAnsi"/>
                <w:rtl/>
              </w:rPr>
              <w:instrText xml:space="preserve"> </w:instrText>
            </w:r>
            <w:r w:rsidRPr="005E28F6">
              <w:rPr>
                <w:rFonts w:asciiTheme="minorHAnsi" w:hAnsiTheme="minorHAnsi" w:cstheme="minorHAnsi"/>
                <w:rtl/>
              </w:rPr>
              <w:fldChar w:fldCharType="separate"/>
            </w:r>
            <w:r>
              <w:rPr>
                <w:rFonts w:asciiTheme="minorHAnsi" w:hAnsiTheme="minorHAnsi" w:cstheme="minorHAnsi"/>
                <w:noProof/>
                <w:rtl/>
              </w:rPr>
              <w:t>‏י"ד תמוז, תשפ"ה</w:t>
            </w:r>
            <w:r w:rsidRPr="005E28F6">
              <w:rPr>
                <w:rFonts w:asciiTheme="minorHAnsi" w:hAnsiTheme="minorHAnsi" w:cstheme="minorHAnsi"/>
                <w:rtl/>
              </w:rPr>
              <w:fldChar w:fldCharType="end"/>
            </w:r>
          </w:p>
          <w:p w:rsidR="00031A9D" w:rsidRPr="005E28F6" w:rsidRDefault="00EB060E" w:rsidP="005E28F6">
            <w:pPr>
              <w:bidi/>
              <w:spacing w:line="276" w:lineRule="auto"/>
              <w:jc w:val="center"/>
              <w:rPr>
                <w:rFonts w:asciiTheme="minorHAnsi" w:hAnsiTheme="minorHAnsi" w:cstheme="minorHAnsi"/>
                <w:highlight w:val="green"/>
              </w:rPr>
            </w:pPr>
            <w:r w:rsidRPr="005E28F6">
              <w:rPr>
                <w:rFonts w:asciiTheme="minorHAnsi" w:hAnsiTheme="minorHAnsi" w:cstheme="minorHAnsi"/>
                <w:rtl/>
              </w:rPr>
              <w:fldChar w:fldCharType="begin"/>
            </w:r>
            <w:r w:rsidRPr="005E28F6">
              <w:rPr>
                <w:rFonts w:asciiTheme="minorHAnsi" w:hAnsiTheme="minorHAnsi" w:cstheme="minorHAnsi"/>
                <w:rtl/>
              </w:rPr>
              <w:instrText xml:space="preserve"> </w:instrText>
            </w:r>
            <w:r w:rsidRPr="005E28F6">
              <w:rPr>
                <w:rFonts w:asciiTheme="minorHAnsi" w:hAnsiTheme="minorHAnsi" w:cstheme="minorHAnsi"/>
              </w:rPr>
              <w:instrText>DATE</w:instrText>
            </w:r>
            <w:r w:rsidRPr="005E28F6">
              <w:rPr>
                <w:rFonts w:asciiTheme="minorHAnsi" w:hAnsiTheme="minorHAnsi" w:cstheme="minorHAnsi"/>
                <w:rtl/>
              </w:rPr>
              <w:instrText xml:space="preserve"> \@ "</w:instrText>
            </w:r>
            <w:r w:rsidRPr="005E28F6">
              <w:rPr>
                <w:rFonts w:asciiTheme="minorHAnsi" w:hAnsiTheme="minorHAnsi" w:cstheme="minorHAnsi"/>
              </w:rPr>
              <w:instrText>d MMMM, yyyy</w:instrText>
            </w:r>
            <w:r w:rsidRPr="005E28F6">
              <w:rPr>
                <w:rFonts w:asciiTheme="minorHAnsi" w:hAnsiTheme="minorHAnsi" w:cstheme="minorHAnsi"/>
                <w:rtl/>
              </w:rPr>
              <w:instrText xml:space="preserve">" </w:instrText>
            </w:r>
            <w:r w:rsidRPr="005E28F6">
              <w:rPr>
                <w:rFonts w:asciiTheme="minorHAnsi" w:hAnsiTheme="minorHAnsi" w:cstheme="minorHAnsi"/>
                <w:rtl/>
              </w:rPr>
              <w:fldChar w:fldCharType="separate"/>
            </w:r>
            <w:r>
              <w:rPr>
                <w:rFonts w:asciiTheme="minorHAnsi" w:hAnsiTheme="minorHAnsi" w:cstheme="minorHAnsi"/>
                <w:noProof/>
                <w:rtl/>
              </w:rPr>
              <w:t>‏10 יולי, 2025</w:t>
            </w:r>
            <w:r w:rsidRPr="005E28F6">
              <w:rPr>
                <w:rFonts w:asciiTheme="minorHAnsi" w:hAnsiTheme="minorHAnsi" w:cstheme="minorHAnsi"/>
                <w:rtl/>
              </w:rPr>
              <w:fldChar w:fldCharType="end"/>
            </w:r>
          </w:p>
        </w:tc>
      </w:tr>
    </w:tbl>
    <w:p w:rsidR="00031A9D" w:rsidRPr="005E28F6" w:rsidRDefault="00031A9D" w:rsidP="005E28F6">
      <w:pPr>
        <w:bidi/>
        <w:rPr>
          <w:rFonts w:asciiTheme="minorHAnsi" w:hAnsiTheme="minorHAnsi" w:cstheme="minorHAnsi"/>
          <w:rtl/>
        </w:rPr>
      </w:pPr>
    </w:p>
    <w:p w:rsidR="005E28F6" w:rsidRDefault="00EB060E" w:rsidP="005E28F6">
      <w:pPr>
        <w:bidi/>
        <w:spacing w:line="360" w:lineRule="auto"/>
        <w:rPr>
          <w:rFonts w:asciiTheme="minorHAnsi" w:hAnsiTheme="minorHAnsi" w:cstheme="minorHAnsi"/>
          <w:rtl/>
          <w:lang w:bidi="ar-SA"/>
        </w:rPr>
      </w:pPr>
      <w:r>
        <w:rPr>
          <w:rFonts w:asciiTheme="minorHAnsi" w:hAnsiTheme="minorHAnsi" w:cstheme="minorHAnsi" w:hint="cs"/>
          <w:rtl/>
          <w:lang w:bidi="ar-SA"/>
        </w:rPr>
        <w:t>بيان صحفي:</w:t>
      </w:r>
    </w:p>
    <w:p w:rsidR="006722B0" w:rsidRPr="006722B0" w:rsidRDefault="00EB060E" w:rsidP="006722B0">
      <w:pPr>
        <w:bidi/>
        <w:spacing w:before="100" w:beforeAutospacing="1" w:after="100" w:afterAutospacing="1" w:line="240" w:lineRule="auto"/>
        <w:jc w:val="center"/>
        <w:outlineLvl w:val="2"/>
        <w:rPr>
          <w:rFonts w:ascii="Calibri" w:eastAsia="Times New Roman" w:hAnsi="Calibri" w:cs="Calibri"/>
          <w:b/>
          <w:bCs/>
          <w:sz w:val="27"/>
          <w:szCs w:val="27"/>
          <w:lang w:val="" w:bidi="ar-SA"/>
        </w:rPr>
      </w:pPr>
      <w:r>
        <w:rPr>
          <w:rFonts w:ascii="Calibri" w:eastAsia="Times New Roman" w:hAnsi="Calibri" w:cs="Calibri"/>
          <w:b/>
          <w:bCs/>
          <w:sz w:val="27"/>
          <w:szCs w:val="27"/>
          <w:rtl/>
          <w:lang w:val="" w:bidi="ar-SA"/>
        </w:rPr>
        <w:t>قرار بوقف نشر</w:t>
      </w:r>
      <w:r>
        <w:rPr>
          <w:rFonts w:ascii="Calibri" w:eastAsia="Times New Roman" w:hAnsi="Calibri" w:cs="Calibri" w:hint="cs"/>
          <w:b/>
          <w:bCs/>
          <w:sz w:val="27"/>
          <w:szCs w:val="27"/>
          <w:rtl/>
          <w:lang w:val=""/>
        </w:rPr>
        <w:t xml:space="preserve"> </w:t>
      </w:r>
      <w:r w:rsidRPr="006722B0">
        <w:rPr>
          <w:rFonts w:ascii="Calibri" w:eastAsia="Times New Roman" w:hAnsi="Calibri" w:cs="Calibri"/>
          <w:b/>
          <w:bCs/>
          <w:sz w:val="27"/>
          <w:szCs w:val="27"/>
          <w:rtl/>
          <w:lang w:val="" w:bidi="ar-SA"/>
        </w:rPr>
        <w:t xml:space="preserve">فائدة </w:t>
      </w:r>
      <w:proofErr w:type="spellStart"/>
      <w:r w:rsidRPr="006722B0">
        <w:rPr>
          <w:rFonts w:ascii="Calibri" w:eastAsia="Times New Roman" w:hAnsi="Calibri" w:cs="Calibri"/>
          <w:b/>
          <w:bCs/>
          <w:sz w:val="27"/>
          <w:szCs w:val="27"/>
          <w:rtl/>
          <w:lang w:val="" w:bidi="ar-SA"/>
        </w:rPr>
        <w:t>التلبور</w:t>
      </w:r>
      <w:proofErr w:type="spellEnd"/>
      <w:r w:rsidRPr="006722B0">
        <w:rPr>
          <w:rFonts w:ascii="Calibri" w:eastAsia="Times New Roman" w:hAnsi="Calibri" w:cs="Calibri"/>
          <w:b/>
          <w:bCs/>
          <w:sz w:val="27"/>
          <w:szCs w:val="27"/>
          <w:rtl/>
          <w:lang w:val="" w:bidi="ar-SA"/>
        </w:rPr>
        <w:t xml:space="preserve"> </w:t>
      </w:r>
    </w:p>
    <w:p w:rsidR="00AE0BCF" w:rsidRPr="006722B0" w:rsidRDefault="00EB060E" w:rsidP="006722B0">
      <w:pPr>
        <w:pStyle w:val="p1"/>
        <w:bidi/>
        <w:rPr>
          <w:rFonts w:ascii="Calibri" w:hAnsi="Calibri" w:cs="Calibri"/>
          <w:rtl/>
        </w:rPr>
      </w:pPr>
      <w:bookmarkStart w:id="0" w:name="_GoBack"/>
      <w:r w:rsidRPr="006722B0">
        <w:rPr>
          <w:rFonts w:ascii="Calibri" w:hAnsi="Calibri" w:cs="Calibri"/>
          <w:rtl/>
        </w:rPr>
        <w:t>تماشيًا مع قرار لجنة التلبور، تم أمس، في 30 يونيو 2025، نشر أسعار فائدة التلبور</w:t>
      </w:r>
      <w:r w:rsidRPr="006722B0">
        <w:rPr>
          <w:rFonts w:ascii="Calibri" w:hAnsi="Calibri" w:cs="Calibri"/>
          <w:rtl/>
        </w:rPr>
        <w:t xml:space="preserve"> لجميع الفترات للمرة الأخيرة. واعتبارًا من الآن، ستحل فائدة "شير" (</w:t>
      </w:r>
      <w:r w:rsidRPr="006722B0">
        <w:rPr>
          <w:rFonts w:ascii="Calibri" w:hAnsi="Calibri" w:cs="Calibri"/>
        </w:rPr>
        <w:t>SHIR</w:t>
      </w:r>
      <w:r w:rsidRPr="006722B0">
        <w:rPr>
          <w:rFonts w:ascii="Calibri" w:hAnsi="Calibri" w:cs="Calibri"/>
          <w:rtl/>
        </w:rPr>
        <w:t>) محل فائدة التلبور، وستُستخدم كأساس للمعاملات في المشتقات المالية</w:t>
      </w:r>
    </w:p>
    <w:p w:rsidR="006722B0" w:rsidRPr="006722B0" w:rsidRDefault="00EB060E" w:rsidP="006722B0">
      <w:pPr>
        <w:shd w:val="clear" w:color="auto" w:fill="FFFFFF" w:themeFill="background1"/>
        <w:bidi/>
        <w:spacing w:line="360" w:lineRule="auto"/>
        <w:jc w:val="both"/>
        <w:rPr>
          <w:rFonts w:ascii="Calibri" w:hAnsi="Calibri" w:cs="Calibri"/>
          <w:rtl/>
          <w:lang w:bidi="ar-SA"/>
        </w:rPr>
      </w:pPr>
      <w:r w:rsidRPr="006722B0">
        <w:rPr>
          <w:rFonts w:ascii="Calibri" w:hAnsi="Calibri" w:cs="Calibri"/>
          <w:rtl/>
          <w:lang w:bidi="ar-SA"/>
        </w:rPr>
        <w:t xml:space="preserve">يتماشى القرار باستبدال فائدة التلبور بفائدة "شير" مع القرارات التي اتخذتها دول محورية حول العالم، والتي تقضي باستبدال </w:t>
      </w:r>
      <w:r w:rsidRPr="006722B0">
        <w:rPr>
          <w:rFonts w:ascii="Calibri" w:hAnsi="Calibri" w:cs="Calibri"/>
          <w:rtl/>
          <w:lang w:bidi="ar-SA"/>
        </w:rPr>
        <w:t xml:space="preserve">أسعار الفائدة من نوع </w:t>
      </w:r>
      <w:r w:rsidRPr="006722B0">
        <w:rPr>
          <w:rFonts w:ascii="Calibri" w:hAnsi="Calibri" w:cs="Calibri"/>
          <w:lang w:bidi="ar-SA"/>
        </w:rPr>
        <w:t>IBOR</w:t>
      </w:r>
      <w:r w:rsidRPr="006722B0">
        <w:rPr>
          <w:rFonts w:ascii="Calibri" w:hAnsi="Calibri" w:cs="Calibri"/>
          <w:rtl/>
          <w:lang w:bidi="ar-SA"/>
        </w:rPr>
        <w:t xml:space="preserve"> بأسعار فائدة </w:t>
      </w:r>
      <w:r w:rsidRPr="006722B0">
        <w:rPr>
          <w:rFonts w:ascii="Calibri" w:hAnsi="Calibri" w:cs="Calibri"/>
        </w:rPr>
        <w:t>Over Night</w:t>
      </w:r>
      <w:r w:rsidRPr="006722B0">
        <w:rPr>
          <w:rFonts w:ascii="Calibri" w:hAnsi="Calibri" w:cs="Calibri"/>
          <w:rtl/>
          <w:lang w:bidi="ar-SA"/>
        </w:rPr>
        <w:t xml:space="preserve"> خالية من المخاطر. وتساوي فائدة "شير" سعر فائدة بنك إسرائيل، إلا أنه في الأيام التي لا يُنشر فيها سعر "شير"، سيُعتَمد السعر الذي نُشر في آخر مرة.</w:t>
      </w:r>
    </w:p>
    <w:p w:rsidR="006722B0" w:rsidRPr="006722B0" w:rsidRDefault="00EB060E" w:rsidP="006722B0">
      <w:pPr>
        <w:pStyle w:val="p1"/>
        <w:bidi/>
        <w:rPr>
          <w:rFonts w:ascii="Calibri" w:hAnsi="Calibri" w:cs="Calibri"/>
        </w:rPr>
      </w:pPr>
      <w:r w:rsidRPr="006722B0">
        <w:rPr>
          <w:rFonts w:ascii="Calibri" w:hAnsi="Calibri" w:cs="Calibri"/>
          <w:rtl/>
        </w:rPr>
        <w:t xml:space="preserve">يُنشر سعر فائدة "شير" على موقع بنك إسرائيل يوميًا حتى الساعة </w:t>
      </w:r>
      <w:r w:rsidRPr="006722B0">
        <w:rPr>
          <w:rFonts w:ascii="Calibri" w:hAnsi="Calibri" w:cs="Calibri"/>
          <w:rtl/>
        </w:rPr>
        <w:t>11:00 صباحًا، باستثناء أيام السبت والأحد وأيام إضافية أخرى، وذلك وفقًا لما يُعلَن ويُحدَّث من وقت لآخر.</w:t>
      </w:r>
    </w:p>
    <w:p w:rsidR="006722B0" w:rsidRPr="006722B0" w:rsidRDefault="00EB060E" w:rsidP="006722B0">
      <w:pPr>
        <w:pStyle w:val="p1"/>
        <w:bidi/>
        <w:rPr>
          <w:rFonts w:ascii="Calibri" w:hAnsi="Calibri" w:cs="Calibri"/>
          <w:rtl/>
        </w:rPr>
      </w:pPr>
      <w:r w:rsidRPr="006722B0">
        <w:rPr>
          <w:rFonts w:ascii="Calibri" w:hAnsi="Calibri" w:cs="Calibri"/>
          <w:b/>
          <w:bCs/>
          <w:rtl/>
        </w:rPr>
        <w:t>د. جولان بنيتا، مدير دائرة الأسواق في بنك إسرائيل</w:t>
      </w:r>
      <w:r w:rsidRPr="006722B0">
        <w:rPr>
          <w:rFonts w:ascii="Calibri" w:hAnsi="Calibri" w:cs="Calibri"/>
          <w:rtl/>
        </w:rPr>
        <w:t>: "يسرّنا أن نعلن عن استكمال مشروع الانتقال من فائدة التلبور إلى فائدة الشير. لقد شمل هذا الانتقال مراح</w:t>
      </w:r>
      <w:r w:rsidRPr="006722B0">
        <w:rPr>
          <w:rFonts w:ascii="Calibri" w:hAnsi="Calibri" w:cs="Calibri"/>
          <w:rtl/>
        </w:rPr>
        <w:t>ل متعددة، وتطلّب تعاونًا وثيقًا مع العديد من الجهات في إسرائيل وخارجها، وأود أن أعرب عن شكري العميق لها جميعًا. من المتوقع أن يسهم استبدال فائدة التلبور بفائدة شير في تعزيز وتطوير سوق المشتقات المالية القائمة على الشيكل."</w:t>
      </w:r>
    </w:p>
    <w:p w:rsidR="006722B0" w:rsidRPr="006722B0" w:rsidRDefault="00EB060E" w:rsidP="006722B0">
      <w:pPr>
        <w:pStyle w:val="p1"/>
        <w:bidi/>
        <w:rPr>
          <w:rFonts w:ascii="Calibri" w:hAnsi="Calibri" w:cs="Calibri"/>
        </w:rPr>
      </w:pPr>
      <w:r w:rsidRPr="006722B0">
        <w:rPr>
          <w:rFonts w:ascii="Calibri" w:hAnsi="Calibri" w:cs="Calibri"/>
          <w:rtl/>
        </w:rPr>
        <w:t xml:space="preserve">يمكن العثور على مزيد من المعلومات </w:t>
      </w:r>
      <w:r w:rsidRPr="006722B0">
        <w:rPr>
          <w:rFonts w:ascii="Calibri" w:hAnsi="Calibri" w:cs="Calibri"/>
          <w:rtl/>
        </w:rPr>
        <w:t>حول التلبور و</w:t>
      </w:r>
      <w:hyperlink r:id="rId8" w:history="1">
        <w:r w:rsidRPr="006722B0">
          <w:rPr>
            <w:rStyle w:val="Hyperlink"/>
            <w:rFonts w:ascii="Calibri" w:hAnsi="Calibri" w:cs="Calibri"/>
            <w:rtl/>
          </w:rPr>
          <w:t>فائدة شير</w:t>
        </w:r>
      </w:hyperlink>
      <w:r w:rsidRPr="006722B0">
        <w:rPr>
          <w:rFonts w:ascii="Calibri" w:hAnsi="Calibri" w:cs="Calibri"/>
          <w:rtl/>
        </w:rPr>
        <w:t xml:space="preserve"> في موقع بنك إسرائيل الإلكتروني.</w:t>
      </w:r>
    </w:p>
    <w:p w:rsidR="00AE0BCF" w:rsidRPr="006722B0" w:rsidRDefault="00AE0BCF" w:rsidP="00AE0BCF">
      <w:pPr>
        <w:shd w:val="clear" w:color="auto" w:fill="FFFFFF" w:themeFill="background1"/>
        <w:bidi/>
        <w:spacing w:line="360" w:lineRule="auto"/>
        <w:jc w:val="both"/>
        <w:rPr>
          <w:rFonts w:asciiTheme="minorHAnsi" w:hAnsiTheme="minorHAnsi" w:cstheme="minorHAnsi"/>
          <w:rtl/>
          <w:lang w:val=""/>
        </w:rPr>
      </w:pPr>
    </w:p>
    <w:bookmarkEnd w:id="0"/>
    <w:p w:rsidR="00AE0BCF" w:rsidRPr="00AE0BCF" w:rsidRDefault="00AE0BCF" w:rsidP="00AE0BCF">
      <w:pPr>
        <w:shd w:val="clear" w:color="auto" w:fill="FFFFFF" w:themeFill="background1"/>
        <w:bidi/>
        <w:spacing w:line="360" w:lineRule="auto"/>
        <w:jc w:val="both"/>
        <w:rPr>
          <w:rFonts w:asciiTheme="minorHAnsi" w:hAnsiTheme="minorHAnsi" w:cstheme="minorHAnsi"/>
          <w:color w:val="FF0000"/>
          <w:rtl/>
        </w:rPr>
      </w:pPr>
    </w:p>
    <w:p w:rsidR="00AE0BCF" w:rsidRPr="00AE0BCF" w:rsidRDefault="00AE0BCF" w:rsidP="00AE0BCF">
      <w:pPr>
        <w:shd w:val="clear" w:color="auto" w:fill="FFFFFF" w:themeFill="background1"/>
        <w:bidi/>
        <w:spacing w:line="360" w:lineRule="auto"/>
        <w:jc w:val="both"/>
        <w:rPr>
          <w:rFonts w:asciiTheme="minorHAnsi" w:hAnsiTheme="minorHAnsi" w:cstheme="minorHAnsi"/>
          <w:rtl/>
        </w:rPr>
      </w:pPr>
    </w:p>
    <w:p w:rsidR="00AE0BCF" w:rsidRPr="00AE0BCF" w:rsidRDefault="00AE0BCF" w:rsidP="00AE0BCF">
      <w:pPr>
        <w:shd w:val="clear" w:color="auto" w:fill="FFFFFF" w:themeFill="background1"/>
        <w:bidi/>
        <w:spacing w:line="360" w:lineRule="auto"/>
        <w:jc w:val="both"/>
        <w:rPr>
          <w:rFonts w:asciiTheme="minorHAnsi" w:hAnsiTheme="minorHAnsi" w:cstheme="minorHAnsi"/>
          <w:rtl/>
        </w:rPr>
      </w:pPr>
    </w:p>
    <w:p w:rsidR="00F25BB5" w:rsidRPr="00AE0BCF" w:rsidRDefault="00F25BB5" w:rsidP="00F25BB5">
      <w:pPr>
        <w:bidi/>
        <w:spacing w:line="360" w:lineRule="auto"/>
        <w:rPr>
          <w:rFonts w:asciiTheme="minorHAnsi" w:hAnsiTheme="minorHAnsi" w:cstheme="minorHAnsi"/>
          <w:rtl/>
        </w:rPr>
      </w:pPr>
    </w:p>
    <w:p w:rsidR="00F25BB5" w:rsidRPr="00AE0BCF" w:rsidRDefault="00F25BB5" w:rsidP="00F25BB5">
      <w:pPr>
        <w:bidi/>
        <w:spacing w:line="360" w:lineRule="auto"/>
        <w:rPr>
          <w:rFonts w:asciiTheme="minorHAnsi" w:hAnsiTheme="minorHAnsi" w:cstheme="minorHAnsi"/>
          <w:rtl/>
        </w:rPr>
      </w:pPr>
    </w:p>
    <w:p w:rsidR="003E7478" w:rsidRPr="00AE0BCF" w:rsidRDefault="003E7478" w:rsidP="005E28F6">
      <w:pPr>
        <w:bidi/>
        <w:spacing w:line="360" w:lineRule="auto"/>
        <w:jc w:val="both"/>
        <w:rPr>
          <w:rFonts w:asciiTheme="minorHAnsi" w:hAnsiTheme="minorHAnsi" w:cstheme="minorHAnsi"/>
        </w:rPr>
      </w:pPr>
    </w:p>
    <w:sectPr w:rsidR="003E7478" w:rsidRPr="00AE0BCF" w:rsidSect="00CC2499">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B060E">
      <w:pPr>
        <w:spacing w:after="0" w:line="240" w:lineRule="auto"/>
      </w:pPr>
      <w:r>
        <w:separator/>
      </w:r>
    </w:p>
  </w:endnote>
  <w:endnote w:type="continuationSeparator" w:id="0">
    <w:p w:rsidR="00000000" w:rsidRDefault="00EB0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EB060E" w:rsidP="00F20046">
    <w:pPr>
      <w:pStyle w:val="Footer"/>
      <w:rPr>
        <w:rtl/>
      </w:rPr>
    </w:pPr>
    <w:r>
      <w:rPr>
        <w:noProof/>
      </w:rPr>
      <mc:AlternateContent>
        <mc:Choice Requires="wps">
          <w:drawing>
            <wp:anchor distT="0" distB="0" distL="114300" distR="114300" simplePos="0" relativeHeight="251663360" behindDoc="0" locked="0" layoutInCell="1" allowOverlap="1">
              <wp:simplePos x="0" y="0"/>
              <wp:positionH relativeFrom="margin">
                <wp:posOffset>1590675</wp:posOffset>
              </wp:positionH>
              <wp:positionV relativeFrom="paragraph">
                <wp:posOffset>111760</wp:posOffset>
              </wp:positionV>
              <wp:extent cx="2009775" cy="361950"/>
              <wp:effectExtent l="0" t="0" r="0" b="0"/>
              <wp:wrapNone/>
              <wp:docPr id="13" name="תיבת טקסט 13"/>
              <wp:cNvGraphicFramePr/>
              <a:graphic xmlns:a="http://schemas.openxmlformats.org/drawingml/2006/main">
                <a:graphicData uri="http://schemas.microsoft.com/office/word/2010/wordprocessingShape">
                  <wps:wsp>
                    <wps:cNvSpPr txBox="1"/>
                    <wps:spPr>
                      <a:xfrm>
                        <a:off x="0" y="0"/>
                        <a:ext cx="2009775" cy="361950"/>
                      </a:xfrm>
                      <a:prstGeom prst="rect">
                        <a:avLst/>
                      </a:prstGeom>
                      <a:noFill/>
                      <a:ln w="6350">
                        <a:noFill/>
                      </a:ln>
                    </wps:spPr>
                    <wps:txbx>
                      <w:txbxContent>
                        <w:p w:rsidR="00972198" w:rsidRPr="00031A9D" w:rsidRDefault="00EB060E" w:rsidP="00F25BB5">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1"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תיבת טקסט 13" o:spid="_x0000_s2049" type="#_x0000_t202" style="width:158.25pt;height:28.5pt;margin-top:8.8pt;margin-left:125.25pt;mso-height-percent:0;mso-height-relative:margin;mso-position-horizontal-relative:margin;mso-width-percent:0;mso-width-relative:margin;mso-wrap-distance-bottom:0;mso-wrap-distance-left:9pt;mso-wrap-distance-right:9pt;mso-wrap-distance-top:0;mso-wrap-style:square;position:absolute;v-text-anchor:top;visibility:visible;z-index:251664384" filled="f" stroked="f" strokeweight="0.5pt">
              <v:textbox>
                <w:txbxContent>
                  <w:p w:rsidR="00972198" w:rsidRPr="00031A9D" w:rsidP="00F25BB5" w14:paraId="75F33E9D" w14:textId="77777777">
                    <w:pPr>
                      <w:jc w:val="center"/>
                      <w:rPr>
                        <w:rFonts w:ascii="Calibri" w:hAnsi="Calibri" w:cs="Calibri"/>
                        <w:sz w:val="16"/>
                        <w:szCs w:val="16"/>
                        <w:rtl/>
                      </w:rPr>
                    </w:pPr>
                    <w:r w:rsidRPr="00031A9D">
                      <w:rPr>
                        <w:rFonts w:ascii="Calibri" w:hAnsi="Calibri" w:cs="Calibri"/>
                        <w:noProof/>
                        <w:sz w:val="16"/>
                        <w:szCs w:val="16"/>
                        <w:rtl/>
                      </w:rPr>
                      <w:t xml:space="preserve">פודקאסט </w:t>
                    </w:r>
                    <w:r w:rsidRPr="00031A9D">
                      <w:rPr>
                        <w:rFonts w:ascii="Calibri" w:hAnsi="Calibri" w:cs="Calibri"/>
                        <w:noProof/>
                        <w:sz w:val="16"/>
                        <w:szCs w:val="16"/>
                        <w:rtl/>
                      </w:rPr>
                      <w:t xml:space="preserve"> בנק ישראל</w:t>
                    </w:r>
                    <w:r w:rsidRPr="00031A9D">
                      <w:rPr>
                        <w:rFonts w:ascii="Calibri" w:hAnsi="Calibri" w:cs="Calibri"/>
                        <w:noProof/>
                        <w:sz w:val="16"/>
                        <w:szCs w:val="16"/>
                        <w:rtl/>
                      </w:rPr>
                      <w:br/>
                    </w:r>
                    <w:hyperlink r:id="rId2" w:history="1">
                      <w:r w:rsidRPr="00F25BB5" w:rsid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v:textbox>
              <w10:wrap anchorx="margin"/>
            </v:shape>
          </w:pict>
        </mc:Fallback>
      </mc:AlternateContent>
    </w:r>
    <w:r w:rsidR="00C10172"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F20046">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תמונה 7"/>
                  <pic:cNvPicPr>
                    <a:picLocks noChangeAspect="1"/>
                  </pic:cNvPicPr>
                </pic:nvPicPr>
                <pic:blipFill>
                  <a:blip r:embed="rId5" cstate="print">
                    <a:duotone>
                      <a:schemeClr val="accent5">
                        <a:shade val="45000"/>
                        <a:satMod val="135000"/>
                      </a:schemeClr>
                      <a:prstClr val="white"/>
                    </a:duotone>
                    <a:extLst>
                      <a:ext uri="{BEBA8EAE-BF5A-486C-A8C5-ECC9F3942E4B}">
                        <a14:imgProps xmlns:a14="http://schemas.microsoft.com/office/drawing/2010/main">
                          <a14:imgLayer>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00F20046">
      <w:rPr>
        <w:noProof/>
      </w:rPr>
      <mc:AlternateContent>
        <mc:Choice Requires="wps">
          <w:drawing>
            <wp:anchor distT="0" distB="0" distL="114300" distR="114300" simplePos="0" relativeHeight="251670528" behindDoc="0" locked="0" layoutInCell="1" allowOverlap="1">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F20046" w:rsidRPr="00031A9D" w:rsidRDefault="00EB060E" w:rsidP="00031A9D">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7"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22" o:spid="_x0000_s2050" type="#_x0000_t202" style="width:167.75pt;height:48.9pt;margin-top:6pt;margin-left:-23.05pt;mso-height-percent:0;mso-height-relative:margin;mso-position-horizontal-relative:margin;mso-width-percent:0;mso-width-relative:margin;mso-wrap-distance-bottom:0;mso-wrap-distance-left:9pt;mso-wrap-distance-right:9pt;mso-wrap-distance-top:0;mso-wrap-style:square;position:absolute;v-text-anchor:top;visibility:visible;z-index:251671552" filled="f" stroked="f" strokeweight="0.5pt">
              <v:textbox>
                <w:txbxContent>
                  <w:p w:rsidR="00F20046" w:rsidRPr="00031A9D" w:rsidP="00031A9D" w14:paraId="55B0D422" w14:textId="77777777">
                    <w:pPr>
                      <w:jc w:val="center"/>
                      <w:rPr>
                        <w:rFonts w:ascii="Calibri" w:hAnsi="Calibri" w:cs="Calibri"/>
                        <w:noProof/>
                        <w:sz w:val="16"/>
                        <w:szCs w:val="16"/>
                        <w:rtl/>
                      </w:rPr>
                    </w:pPr>
                    <w:r w:rsidRPr="00031A9D">
                      <w:rPr>
                        <w:rFonts w:ascii="Calibri" w:hAnsi="Calibri" w:cs="Calibri"/>
                        <w:noProof/>
                        <w:sz w:val="16"/>
                        <w:szCs w:val="16"/>
                        <w:rtl/>
                      </w:rPr>
                      <w:t>יוטיוב -</w:t>
                    </w:r>
                    <w:r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571971" w:rsidRPr="00031A9D" w:rsidRDefault="00EB060E"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פייסבוק - בנק ישראל</w:t>
                          </w:r>
                          <w:r w:rsidRPr="00031A9D">
                            <w:rPr>
                              <w:rFonts w:asciiTheme="minorHAnsi" w:hAnsiTheme="minorHAnsi" w:cstheme="minorHAnsi"/>
                              <w:sz w:val="16"/>
                              <w:szCs w:val="16"/>
                              <w:rtl/>
                            </w:rPr>
                            <w:br/>
                          </w:r>
                          <w:hyperlink r:id="rId12" w:history="1">
                            <w:r w:rsidRPr="00031A9D">
                              <w:rPr>
                                <w:rStyle w:val="Hyperlink"/>
                                <w:rFonts w:asciiTheme="minorHAnsi" w:hAnsiTheme="minorHAnsi"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9" o:spid="_x0000_s2051" type="#_x0000_t202" style="width:171.8pt;height:36pt;margin-top:7.05pt;margin-left:256.5pt;mso-width-percent:0;mso-width-relative:margin;mso-wrap-distance-bottom:0;mso-wrap-distance-left:9pt;mso-wrap-distance-right:9pt;mso-wrap-distance-top:0;mso-wrap-style:square;position:absolute;v-text-anchor:top;visibility:visible;z-index:251661312" filled="f" stroked="f" strokeweight="0.5pt">
              <v:textbox>
                <w:txbxContent>
                  <w:p w:rsidR="00571971" w:rsidRPr="00031A9D" w:rsidP="00031A9D" w14:paraId="1D214D7B" w14:textId="77777777">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Pr="00031A9D">
                      <w:rPr>
                        <w:rFonts w:asciiTheme="minorHAnsi" w:hAnsiTheme="minorHAnsi" w:cstheme="minorHAnsi"/>
                        <w:noProof/>
                        <w:sz w:val="16"/>
                        <w:szCs w:val="16"/>
                        <w:rtl/>
                      </w:rPr>
                      <w:t>בנק ישראל</w:t>
                    </w:r>
                    <w:r w:rsidRPr="00031A9D">
                      <w:rPr>
                        <w:rFonts w:asciiTheme="minorHAnsi" w:hAnsiTheme="minorHAnsi" w:cstheme="minorHAnsi"/>
                        <w:sz w:val="16"/>
                        <w:szCs w:val="16"/>
                        <w:rtl/>
                      </w:rPr>
                      <w:br/>
                    </w:r>
                    <w:hyperlink r:id="rId13" w:history="1">
                      <w:r w:rsidRPr="00031A9D">
                        <w:rPr>
                          <w:rStyle w:val="Hyperlink"/>
                          <w:rFonts w:asciiTheme="minorHAnsi" w:hAnsiTheme="minorHAnsi" w:cstheme="minorHAnsi"/>
                          <w:sz w:val="14"/>
                          <w:szCs w:val="14"/>
                        </w:rPr>
                        <w:t>https://www.facebook.com/bankisraelvc</w:t>
                      </w:r>
                    </w:hyperlink>
                  </w:p>
                </w:txbxContent>
              </v:textbox>
            </v:shape>
          </w:pict>
        </mc:Fallback>
      </mc:AlternateContent>
    </w:r>
    <w:r w:rsidR="00F20046">
      <w:rPr>
        <w:noProof/>
      </w:rPr>
      <mc:AlternateContent>
        <mc:Choice Requires="wps">
          <w:drawing>
            <wp:anchor distT="0" distB="0" distL="114300" distR="114300" simplePos="0" relativeHeight="251658240"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571971" w:rsidRPr="00031A9D" w:rsidRDefault="00EB060E"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7" o:spid="_x0000_s2052" type="#_x0000_t202" style="width:120.9pt;height:36pt;margin-top:7pt;margin-left:394.85pt;mso-width-percent:0;mso-width-relative:margin;mso-wrap-distance-bottom:0;mso-wrap-distance-left:9pt;mso-wrap-distance-right:9pt;mso-wrap-distance-top:0;mso-wrap-style:square;position:absolute;v-text-anchor:top;visibility:visible;z-index:251659264" filled="f" stroked="f" strokeweight="0.5pt">
              <v:textbox>
                <w:txbxContent>
                  <w:p w:rsidR="00571971" w:rsidRPr="00031A9D" w:rsidP="00F20046" w14:paraId="7EB72B2E" w14:textId="77777777">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sidR="00B677DC">
      <w:rPr>
        <w:noProof/>
      </w:rPr>
      <mc:AlternateContent>
        <mc:Choice Requires="wps">
          <w:drawing>
            <wp:anchor distT="0" distB="0" distL="114300" distR="114300" simplePos="0" relativeHeight="251665408"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line id="מחבר ישר 15" o:spid="_x0000_s2053" style="flip:x;mso-wrap-distance-bottom:0;mso-wrap-distance-left:9pt;mso-wrap-distance-right:9pt;mso-wrap-distance-top:0;mso-wrap-style:square;position:absolute;visibility:visible;z-index:251666432" from="-6.45pt,-17.55pt" to="483.95pt,-17.55pt" strokecolor="black"/>
          </w:pict>
        </mc:Fallback>
      </mc:AlternateContent>
    </w:r>
    <w:r w:rsidR="00972198" w:rsidRPr="00571971">
      <w:rPr>
        <w:rFonts w:cs="Calibri"/>
        <w:noProof/>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B060E">
      <w:pPr>
        <w:spacing w:after="0" w:line="240" w:lineRule="auto"/>
      </w:pPr>
      <w:r>
        <w:separator/>
      </w:r>
    </w:p>
  </w:footnote>
  <w:footnote w:type="continuationSeparator" w:id="0">
    <w:p w:rsidR="00000000" w:rsidRDefault="00EB0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6049"/>
    <w:multiLevelType w:val="hybridMultilevel"/>
    <w:tmpl w:val="3A4AADEA"/>
    <w:lvl w:ilvl="0" w:tplc="73388DDA">
      <w:numFmt w:val="bullet"/>
      <w:lvlText w:val=""/>
      <w:lvlJc w:val="left"/>
      <w:pPr>
        <w:ind w:left="720" w:hanging="360"/>
      </w:pPr>
      <w:rPr>
        <w:rFonts w:ascii="Symbol" w:eastAsia="David" w:hAnsi="Symbol" w:cstheme="minorHAnsi" w:hint="default"/>
      </w:rPr>
    </w:lvl>
    <w:lvl w:ilvl="1" w:tplc="5E6849F8" w:tentative="1">
      <w:start w:val="1"/>
      <w:numFmt w:val="bullet"/>
      <w:lvlText w:val="o"/>
      <w:lvlJc w:val="left"/>
      <w:pPr>
        <w:ind w:left="1440" w:hanging="360"/>
      </w:pPr>
      <w:rPr>
        <w:rFonts w:ascii="Courier New" w:hAnsi="Courier New" w:cs="Courier New" w:hint="default"/>
      </w:rPr>
    </w:lvl>
    <w:lvl w:ilvl="2" w:tplc="3DBCAA00" w:tentative="1">
      <w:start w:val="1"/>
      <w:numFmt w:val="bullet"/>
      <w:lvlText w:val=""/>
      <w:lvlJc w:val="left"/>
      <w:pPr>
        <w:ind w:left="2160" w:hanging="360"/>
      </w:pPr>
      <w:rPr>
        <w:rFonts w:ascii="Wingdings" w:hAnsi="Wingdings" w:hint="default"/>
      </w:rPr>
    </w:lvl>
    <w:lvl w:ilvl="3" w:tplc="2F4CE7F8" w:tentative="1">
      <w:start w:val="1"/>
      <w:numFmt w:val="bullet"/>
      <w:lvlText w:val=""/>
      <w:lvlJc w:val="left"/>
      <w:pPr>
        <w:ind w:left="2880" w:hanging="360"/>
      </w:pPr>
      <w:rPr>
        <w:rFonts w:ascii="Symbol" w:hAnsi="Symbol" w:hint="default"/>
      </w:rPr>
    </w:lvl>
    <w:lvl w:ilvl="4" w:tplc="B4828420" w:tentative="1">
      <w:start w:val="1"/>
      <w:numFmt w:val="bullet"/>
      <w:lvlText w:val="o"/>
      <w:lvlJc w:val="left"/>
      <w:pPr>
        <w:ind w:left="3600" w:hanging="360"/>
      </w:pPr>
      <w:rPr>
        <w:rFonts w:ascii="Courier New" w:hAnsi="Courier New" w:cs="Courier New" w:hint="default"/>
      </w:rPr>
    </w:lvl>
    <w:lvl w:ilvl="5" w:tplc="2BB8A7D2" w:tentative="1">
      <w:start w:val="1"/>
      <w:numFmt w:val="bullet"/>
      <w:lvlText w:val=""/>
      <w:lvlJc w:val="left"/>
      <w:pPr>
        <w:ind w:left="4320" w:hanging="360"/>
      </w:pPr>
      <w:rPr>
        <w:rFonts w:ascii="Wingdings" w:hAnsi="Wingdings" w:hint="default"/>
      </w:rPr>
    </w:lvl>
    <w:lvl w:ilvl="6" w:tplc="A20E9B86" w:tentative="1">
      <w:start w:val="1"/>
      <w:numFmt w:val="bullet"/>
      <w:lvlText w:val=""/>
      <w:lvlJc w:val="left"/>
      <w:pPr>
        <w:ind w:left="5040" w:hanging="360"/>
      </w:pPr>
      <w:rPr>
        <w:rFonts w:ascii="Symbol" w:hAnsi="Symbol" w:hint="default"/>
      </w:rPr>
    </w:lvl>
    <w:lvl w:ilvl="7" w:tplc="07BE494C" w:tentative="1">
      <w:start w:val="1"/>
      <w:numFmt w:val="bullet"/>
      <w:lvlText w:val="o"/>
      <w:lvlJc w:val="left"/>
      <w:pPr>
        <w:ind w:left="5760" w:hanging="360"/>
      </w:pPr>
      <w:rPr>
        <w:rFonts w:ascii="Courier New" w:hAnsi="Courier New" w:cs="Courier New" w:hint="default"/>
      </w:rPr>
    </w:lvl>
    <w:lvl w:ilvl="8" w:tplc="4606B7F8" w:tentative="1">
      <w:start w:val="1"/>
      <w:numFmt w:val="bullet"/>
      <w:lvlText w:val=""/>
      <w:lvlJc w:val="left"/>
      <w:pPr>
        <w:ind w:left="6480" w:hanging="360"/>
      </w:pPr>
      <w:rPr>
        <w:rFonts w:ascii="Wingdings" w:hAnsi="Wingdings" w:hint="default"/>
      </w:rPr>
    </w:lvl>
  </w:abstractNum>
  <w:abstractNum w:abstractNumId="1" w15:restartNumberingAfterBreak="0">
    <w:nsid w:val="30654D7F"/>
    <w:multiLevelType w:val="hybridMultilevel"/>
    <w:tmpl w:val="7ECE0DC4"/>
    <w:lvl w:ilvl="0" w:tplc="B94E73A4">
      <w:start w:val="1"/>
      <w:numFmt w:val="bullet"/>
      <w:lvlText w:val=""/>
      <w:lvlJc w:val="left"/>
      <w:pPr>
        <w:ind w:left="1513" w:hanging="360"/>
      </w:pPr>
      <w:rPr>
        <w:rFonts w:ascii="Symbol" w:hAnsi="Symbol" w:hint="default"/>
      </w:rPr>
    </w:lvl>
    <w:lvl w:ilvl="1" w:tplc="E496E394" w:tentative="1">
      <w:start w:val="1"/>
      <w:numFmt w:val="bullet"/>
      <w:lvlText w:val="o"/>
      <w:lvlJc w:val="left"/>
      <w:pPr>
        <w:ind w:left="2233" w:hanging="360"/>
      </w:pPr>
      <w:rPr>
        <w:rFonts w:ascii="Courier New" w:hAnsi="Courier New" w:cs="Courier New" w:hint="default"/>
      </w:rPr>
    </w:lvl>
    <w:lvl w:ilvl="2" w:tplc="20CA2628" w:tentative="1">
      <w:start w:val="1"/>
      <w:numFmt w:val="bullet"/>
      <w:lvlText w:val=""/>
      <w:lvlJc w:val="left"/>
      <w:pPr>
        <w:ind w:left="2953" w:hanging="360"/>
      </w:pPr>
      <w:rPr>
        <w:rFonts w:ascii="Wingdings" w:hAnsi="Wingdings" w:hint="default"/>
      </w:rPr>
    </w:lvl>
    <w:lvl w:ilvl="3" w:tplc="4CA84AEE" w:tentative="1">
      <w:start w:val="1"/>
      <w:numFmt w:val="bullet"/>
      <w:lvlText w:val=""/>
      <w:lvlJc w:val="left"/>
      <w:pPr>
        <w:ind w:left="3673" w:hanging="360"/>
      </w:pPr>
      <w:rPr>
        <w:rFonts w:ascii="Symbol" w:hAnsi="Symbol" w:hint="default"/>
      </w:rPr>
    </w:lvl>
    <w:lvl w:ilvl="4" w:tplc="E728A0BE" w:tentative="1">
      <w:start w:val="1"/>
      <w:numFmt w:val="bullet"/>
      <w:lvlText w:val="o"/>
      <w:lvlJc w:val="left"/>
      <w:pPr>
        <w:ind w:left="4393" w:hanging="360"/>
      </w:pPr>
      <w:rPr>
        <w:rFonts w:ascii="Courier New" w:hAnsi="Courier New" w:cs="Courier New" w:hint="default"/>
      </w:rPr>
    </w:lvl>
    <w:lvl w:ilvl="5" w:tplc="30A815EA" w:tentative="1">
      <w:start w:val="1"/>
      <w:numFmt w:val="bullet"/>
      <w:lvlText w:val=""/>
      <w:lvlJc w:val="left"/>
      <w:pPr>
        <w:ind w:left="5113" w:hanging="360"/>
      </w:pPr>
      <w:rPr>
        <w:rFonts w:ascii="Wingdings" w:hAnsi="Wingdings" w:hint="default"/>
      </w:rPr>
    </w:lvl>
    <w:lvl w:ilvl="6" w:tplc="1128754E" w:tentative="1">
      <w:start w:val="1"/>
      <w:numFmt w:val="bullet"/>
      <w:lvlText w:val=""/>
      <w:lvlJc w:val="left"/>
      <w:pPr>
        <w:ind w:left="5833" w:hanging="360"/>
      </w:pPr>
      <w:rPr>
        <w:rFonts w:ascii="Symbol" w:hAnsi="Symbol" w:hint="default"/>
      </w:rPr>
    </w:lvl>
    <w:lvl w:ilvl="7" w:tplc="CA76B682" w:tentative="1">
      <w:start w:val="1"/>
      <w:numFmt w:val="bullet"/>
      <w:lvlText w:val="o"/>
      <w:lvlJc w:val="left"/>
      <w:pPr>
        <w:ind w:left="6553" w:hanging="360"/>
      </w:pPr>
      <w:rPr>
        <w:rFonts w:ascii="Courier New" w:hAnsi="Courier New" w:cs="Courier New" w:hint="default"/>
      </w:rPr>
    </w:lvl>
    <w:lvl w:ilvl="8" w:tplc="37E4B05A" w:tentative="1">
      <w:start w:val="1"/>
      <w:numFmt w:val="bullet"/>
      <w:lvlText w:val=""/>
      <w:lvlJc w:val="left"/>
      <w:pPr>
        <w:ind w:left="7273" w:hanging="360"/>
      </w:pPr>
      <w:rPr>
        <w:rFonts w:ascii="Wingdings" w:hAnsi="Wingdings" w:hint="default"/>
      </w:rPr>
    </w:lvl>
  </w:abstractNum>
  <w:abstractNum w:abstractNumId="2" w15:restartNumberingAfterBreak="0">
    <w:nsid w:val="52210C5A"/>
    <w:multiLevelType w:val="hybridMultilevel"/>
    <w:tmpl w:val="1F0214CA"/>
    <w:lvl w:ilvl="0" w:tplc="B1C097E4">
      <w:numFmt w:val="bullet"/>
      <w:lvlText w:val=""/>
      <w:lvlJc w:val="left"/>
      <w:pPr>
        <w:ind w:left="668" w:hanging="360"/>
      </w:pPr>
      <w:rPr>
        <w:rFonts w:ascii="Symbol" w:eastAsiaTheme="minorHAnsi" w:hAnsi="Symbol" w:cs="Assistant" w:hint="default"/>
      </w:rPr>
    </w:lvl>
    <w:lvl w:ilvl="1" w:tplc="AB7C5076">
      <w:start w:val="1"/>
      <w:numFmt w:val="bullet"/>
      <w:lvlText w:val="o"/>
      <w:lvlJc w:val="left"/>
      <w:pPr>
        <w:ind w:left="1388" w:hanging="360"/>
      </w:pPr>
      <w:rPr>
        <w:rFonts w:ascii="Courier New" w:hAnsi="Courier New" w:cs="Courier New" w:hint="default"/>
      </w:rPr>
    </w:lvl>
    <w:lvl w:ilvl="2" w:tplc="475E63EE" w:tentative="1">
      <w:start w:val="1"/>
      <w:numFmt w:val="bullet"/>
      <w:lvlText w:val=""/>
      <w:lvlJc w:val="left"/>
      <w:pPr>
        <w:ind w:left="2108" w:hanging="360"/>
      </w:pPr>
      <w:rPr>
        <w:rFonts w:ascii="Wingdings" w:hAnsi="Wingdings" w:hint="default"/>
      </w:rPr>
    </w:lvl>
    <w:lvl w:ilvl="3" w:tplc="161C749A" w:tentative="1">
      <w:start w:val="1"/>
      <w:numFmt w:val="bullet"/>
      <w:lvlText w:val=""/>
      <w:lvlJc w:val="left"/>
      <w:pPr>
        <w:ind w:left="2828" w:hanging="360"/>
      </w:pPr>
      <w:rPr>
        <w:rFonts w:ascii="Symbol" w:hAnsi="Symbol" w:hint="default"/>
      </w:rPr>
    </w:lvl>
    <w:lvl w:ilvl="4" w:tplc="A56E043A" w:tentative="1">
      <w:start w:val="1"/>
      <w:numFmt w:val="bullet"/>
      <w:lvlText w:val="o"/>
      <w:lvlJc w:val="left"/>
      <w:pPr>
        <w:ind w:left="3548" w:hanging="360"/>
      </w:pPr>
      <w:rPr>
        <w:rFonts w:ascii="Courier New" w:hAnsi="Courier New" w:cs="Courier New" w:hint="default"/>
      </w:rPr>
    </w:lvl>
    <w:lvl w:ilvl="5" w:tplc="75BC2B3E" w:tentative="1">
      <w:start w:val="1"/>
      <w:numFmt w:val="bullet"/>
      <w:lvlText w:val=""/>
      <w:lvlJc w:val="left"/>
      <w:pPr>
        <w:ind w:left="4268" w:hanging="360"/>
      </w:pPr>
      <w:rPr>
        <w:rFonts w:ascii="Wingdings" w:hAnsi="Wingdings" w:hint="default"/>
      </w:rPr>
    </w:lvl>
    <w:lvl w:ilvl="6" w:tplc="61CC455C" w:tentative="1">
      <w:start w:val="1"/>
      <w:numFmt w:val="bullet"/>
      <w:lvlText w:val=""/>
      <w:lvlJc w:val="left"/>
      <w:pPr>
        <w:ind w:left="4988" w:hanging="360"/>
      </w:pPr>
      <w:rPr>
        <w:rFonts w:ascii="Symbol" w:hAnsi="Symbol" w:hint="default"/>
      </w:rPr>
    </w:lvl>
    <w:lvl w:ilvl="7" w:tplc="3FA89EBC" w:tentative="1">
      <w:start w:val="1"/>
      <w:numFmt w:val="bullet"/>
      <w:lvlText w:val="o"/>
      <w:lvlJc w:val="left"/>
      <w:pPr>
        <w:ind w:left="5708" w:hanging="360"/>
      </w:pPr>
      <w:rPr>
        <w:rFonts w:ascii="Courier New" w:hAnsi="Courier New" w:cs="Courier New" w:hint="default"/>
      </w:rPr>
    </w:lvl>
    <w:lvl w:ilvl="8" w:tplc="1A187B4A" w:tentative="1">
      <w:start w:val="1"/>
      <w:numFmt w:val="bullet"/>
      <w:lvlText w:val=""/>
      <w:lvlJc w:val="left"/>
      <w:pPr>
        <w:ind w:left="6428" w:hanging="360"/>
      </w:pPr>
      <w:rPr>
        <w:rFonts w:ascii="Wingdings" w:hAnsi="Wingdings" w:hint="default"/>
      </w:rPr>
    </w:lvl>
  </w:abstractNum>
  <w:abstractNum w:abstractNumId="3" w15:restartNumberingAfterBreak="0">
    <w:nsid w:val="577F64B2"/>
    <w:multiLevelType w:val="hybridMultilevel"/>
    <w:tmpl w:val="A3EC1298"/>
    <w:lvl w:ilvl="0" w:tplc="68A4D300">
      <w:start w:val="1"/>
      <w:numFmt w:val="bullet"/>
      <w:lvlText w:val=""/>
      <w:lvlJc w:val="left"/>
      <w:pPr>
        <w:ind w:left="720" w:hanging="360"/>
      </w:pPr>
      <w:rPr>
        <w:rFonts w:ascii="Symbol" w:hAnsi="Symbol" w:hint="default"/>
      </w:rPr>
    </w:lvl>
    <w:lvl w:ilvl="1" w:tplc="68E482CA" w:tentative="1">
      <w:start w:val="1"/>
      <w:numFmt w:val="bullet"/>
      <w:lvlText w:val="o"/>
      <w:lvlJc w:val="left"/>
      <w:pPr>
        <w:ind w:left="1440" w:hanging="360"/>
      </w:pPr>
      <w:rPr>
        <w:rFonts w:ascii="Courier New" w:hAnsi="Courier New" w:cs="Courier New" w:hint="default"/>
      </w:rPr>
    </w:lvl>
    <w:lvl w:ilvl="2" w:tplc="EDA69EBC" w:tentative="1">
      <w:start w:val="1"/>
      <w:numFmt w:val="bullet"/>
      <w:lvlText w:val=""/>
      <w:lvlJc w:val="left"/>
      <w:pPr>
        <w:ind w:left="2160" w:hanging="360"/>
      </w:pPr>
      <w:rPr>
        <w:rFonts w:ascii="Wingdings" w:hAnsi="Wingdings" w:hint="default"/>
      </w:rPr>
    </w:lvl>
    <w:lvl w:ilvl="3" w:tplc="1930AB86" w:tentative="1">
      <w:start w:val="1"/>
      <w:numFmt w:val="bullet"/>
      <w:lvlText w:val=""/>
      <w:lvlJc w:val="left"/>
      <w:pPr>
        <w:ind w:left="2880" w:hanging="360"/>
      </w:pPr>
      <w:rPr>
        <w:rFonts w:ascii="Symbol" w:hAnsi="Symbol" w:hint="default"/>
      </w:rPr>
    </w:lvl>
    <w:lvl w:ilvl="4" w:tplc="A6408DC8" w:tentative="1">
      <w:start w:val="1"/>
      <w:numFmt w:val="bullet"/>
      <w:lvlText w:val="o"/>
      <w:lvlJc w:val="left"/>
      <w:pPr>
        <w:ind w:left="3600" w:hanging="360"/>
      </w:pPr>
      <w:rPr>
        <w:rFonts w:ascii="Courier New" w:hAnsi="Courier New" w:cs="Courier New" w:hint="default"/>
      </w:rPr>
    </w:lvl>
    <w:lvl w:ilvl="5" w:tplc="CE289340" w:tentative="1">
      <w:start w:val="1"/>
      <w:numFmt w:val="bullet"/>
      <w:lvlText w:val=""/>
      <w:lvlJc w:val="left"/>
      <w:pPr>
        <w:ind w:left="4320" w:hanging="360"/>
      </w:pPr>
      <w:rPr>
        <w:rFonts w:ascii="Wingdings" w:hAnsi="Wingdings" w:hint="default"/>
      </w:rPr>
    </w:lvl>
    <w:lvl w:ilvl="6" w:tplc="8E06FE42" w:tentative="1">
      <w:start w:val="1"/>
      <w:numFmt w:val="bullet"/>
      <w:lvlText w:val=""/>
      <w:lvlJc w:val="left"/>
      <w:pPr>
        <w:ind w:left="5040" w:hanging="360"/>
      </w:pPr>
      <w:rPr>
        <w:rFonts w:ascii="Symbol" w:hAnsi="Symbol" w:hint="default"/>
      </w:rPr>
    </w:lvl>
    <w:lvl w:ilvl="7" w:tplc="F416A120" w:tentative="1">
      <w:start w:val="1"/>
      <w:numFmt w:val="bullet"/>
      <w:lvlText w:val="o"/>
      <w:lvlJc w:val="left"/>
      <w:pPr>
        <w:ind w:left="5760" w:hanging="360"/>
      </w:pPr>
      <w:rPr>
        <w:rFonts w:ascii="Courier New" w:hAnsi="Courier New" w:cs="Courier New" w:hint="default"/>
      </w:rPr>
    </w:lvl>
    <w:lvl w:ilvl="8" w:tplc="FA8EA452"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0680E"/>
    <w:rsid w:val="00012503"/>
    <w:rsid w:val="00031A9D"/>
    <w:rsid w:val="00040A7F"/>
    <w:rsid w:val="00045C65"/>
    <w:rsid w:val="00055CC5"/>
    <w:rsid w:val="00065B9B"/>
    <w:rsid w:val="000727FD"/>
    <w:rsid w:val="00084B5A"/>
    <w:rsid w:val="000857B7"/>
    <w:rsid w:val="00087BB3"/>
    <w:rsid w:val="00095555"/>
    <w:rsid w:val="00096238"/>
    <w:rsid w:val="000A5329"/>
    <w:rsid w:val="000C1E4D"/>
    <w:rsid w:val="000D2157"/>
    <w:rsid w:val="000D5445"/>
    <w:rsid w:val="000E7ED2"/>
    <w:rsid w:val="00100012"/>
    <w:rsid w:val="00113BC9"/>
    <w:rsid w:val="00115277"/>
    <w:rsid w:val="00115FEF"/>
    <w:rsid w:val="00127DAC"/>
    <w:rsid w:val="001315A0"/>
    <w:rsid w:val="00151A07"/>
    <w:rsid w:val="00156135"/>
    <w:rsid w:val="00162DCC"/>
    <w:rsid w:val="00166DBC"/>
    <w:rsid w:val="001705B9"/>
    <w:rsid w:val="00170DDB"/>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2CC1"/>
    <w:rsid w:val="00245BA3"/>
    <w:rsid w:val="00256095"/>
    <w:rsid w:val="00256D97"/>
    <w:rsid w:val="00265657"/>
    <w:rsid w:val="00274912"/>
    <w:rsid w:val="00275FE8"/>
    <w:rsid w:val="002834B6"/>
    <w:rsid w:val="00290B54"/>
    <w:rsid w:val="00297F94"/>
    <w:rsid w:val="002A2E4C"/>
    <w:rsid w:val="002A3CC4"/>
    <w:rsid w:val="002B564E"/>
    <w:rsid w:val="002B7877"/>
    <w:rsid w:val="002C05A5"/>
    <w:rsid w:val="002C754F"/>
    <w:rsid w:val="002D7AA8"/>
    <w:rsid w:val="002E330F"/>
    <w:rsid w:val="002E5F96"/>
    <w:rsid w:val="002F62A1"/>
    <w:rsid w:val="002F6EDD"/>
    <w:rsid w:val="00301F96"/>
    <w:rsid w:val="003144E6"/>
    <w:rsid w:val="00315D7C"/>
    <w:rsid w:val="00316C9F"/>
    <w:rsid w:val="0031701E"/>
    <w:rsid w:val="0032792A"/>
    <w:rsid w:val="003353C9"/>
    <w:rsid w:val="00341083"/>
    <w:rsid w:val="00352E3C"/>
    <w:rsid w:val="003552BD"/>
    <w:rsid w:val="0036030B"/>
    <w:rsid w:val="003641E2"/>
    <w:rsid w:val="00370E6F"/>
    <w:rsid w:val="0037101B"/>
    <w:rsid w:val="003730B8"/>
    <w:rsid w:val="00375149"/>
    <w:rsid w:val="003A1561"/>
    <w:rsid w:val="003C2931"/>
    <w:rsid w:val="003E7478"/>
    <w:rsid w:val="003F01E4"/>
    <w:rsid w:val="003F57B2"/>
    <w:rsid w:val="00407D90"/>
    <w:rsid w:val="00431BB6"/>
    <w:rsid w:val="00440E7F"/>
    <w:rsid w:val="004537A7"/>
    <w:rsid w:val="004561A3"/>
    <w:rsid w:val="00460DDF"/>
    <w:rsid w:val="00461C90"/>
    <w:rsid w:val="00471092"/>
    <w:rsid w:val="004A120F"/>
    <w:rsid w:val="004A32D7"/>
    <w:rsid w:val="004A6295"/>
    <w:rsid w:val="004C6182"/>
    <w:rsid w:val="004C7925"/>
    <w:rsid w:val="004F26A1"/>
    <w:rsid w:val="004F5E3C"/>
    <w:rsid w:val="00567B1A"/>
    <w:rsid w:val="00571971"/>
    <w:rsid w:val="0057422C"/>
    <w:rsid w:val="00575141"/>
    <w:rsid w:val="0059782C"/>
    <w:rsid w:val="005A52A2"/>
    <w:rsid w:val="005C5BF9"/>
    <w:rsid w:val="005D5F2B"/>
    <w:rsid w:val="005E28F6"/>
    <w:rsid w:val="00614024"/>
    <w:rsid w:val="00632CD2"/>
    <w:rsid w:val="006344CC"/>
    <w:rsid w:val="0063559D"/>
    <w:rsid w:val="0063690B"/>
    <w:rsid w:val="00640309"/>
    <w:rsid w:val="00660075"/>
    <w:rsid w:val="00660F46"/>
    <w:rsid w:val="006722B0"/>
    <w:rsid w:val="006811C3"/>
    <w:rsid w:val="006907D5"/>
    <w:rsid w:val="0069557C"/>
    <w:rsid w:val="006C5099"/>
    <w:rsid w:val="006F0964"/>
    <w:rsid w:val="00701240"/>
    <w:rsid w:val="00715D7F"/>
    <w:rsid w:val="007172E4"/>
    <w:rsid w:val="00737090"/>
    <w:rsid w:val="00780795"/>
    <w:rsid w:val="00783F55"/>
    <w:rsid w:val="007916D5"/>
    <w:rsid w:val="0079406F"/>
    <w:rsid w:val="00797111"/>
    <w:rsid w:val="007A0330"/>
    <w:rsid w:val="007A25C0"/>
    <w:rsid w:val="007A2A08"/>
    <w:rsid w:val="007B2299"/>
    <w:rsid w:val="007B2E35"/>
    <w:rsid w:val="007B64D4"/>
    <w:rsid w:val="007C41CE"/>
    <w:rsid w:val="007E3CCC"/>
    <w:rsid w:val="00803D2A"/>
    <w:rsid w:val="008058DF"/>
    <w:rsid w:val="00810049"/>
    <w:rsid w:val="008137A5"/>
    <w:rsid w:val="00832597"/>
    <w:rsid w:val="008371BA"/>
    <w:rsid w:val="00844664"/>
    <w:rsid w:val="008466F0"/>
    <w:rsid w:val="008473FB"/>
    <w:rsid w:val="00850CC4"/>
    <w:rsid w:val="00886388"/>
    <w:rsid w:val="008B3199"/>
    <w:rsid w:val="008C47FB"/>
    <w:rsid w:val="008C4A46"/>
    <w:rsid w:val="008C706D"/>
    <w:rsid w:val="008D5488"/>
    <w:rsid w:val="008E2484"/>
    <w:rsid w:val="008F0B52"/>
    <w:rsid w:val="008F617A"/>
    <w:rsid w:val="00912A5D"/>
    <w:rsid w:val="00914AC1"/>
    <w:rsid w:val="00921F03"/>
    <w:rsid w:val="0095375C"/>
    <w:rsid w:val="00965C79"/>
    <w:rsid w:val="00972198"/>
    <w:rsid w:val="00984B1A"/>
    <w:rsid w:val="009851B0"/>
    <w:rsid w:val="00996DA6"/>
    <w:rsid w:val="009A089E"/>
    <w:rsid w:val="009A50FF"/>
    <w:rsid w:val="009B0FA7"/>
    <w:rsid w:val="009B2E19"/>
    <w:rsid w:val="009C6D0D"/>
    <w:rsid w:val="009E2FD2"/>
    <w:rsid w:val="00A076E6"/>
    <w:rsid w:val="00A13844"/>
    <w:rsid w:val="00A27085"/>
    <w:rsid w:val="00A344EF"/>
    <w:rsid w:val="00A41BD0"/>
    <w:rsid w:val="00A47944"/>
    <w:rsid w:val="00A61A41"/>
    <w:rsid w:val="00A6309F"/>
    <w:rsid w:val="00A678C6"/>
    <w:rsid w:val="00A71B93"/>
    <w:rsid w:val="00A730E0"/>
    <w:rsid w:val="00A8460D"/>
    <w:rsid w:val="00A92A3D"/>
    <w:rsid w:val="00AA00A5"/>
    <w:rsid w:val="00AB01E0"/>
    <w:rsid w:val="00AB37A4"/>
    <w:rsid w:val="00AC35CD"/>
    <w:rsid w:val="00AE0BCF"/>
    <w:rsid w:val="00AE7479"/>
    <w:rsid w:val="00AF1FA7"/>
    <w:rsid w:val="00B071B6"/>
    <w:rsid w:val="00B13490"/>
    <w:rsid w:val="00B161CC"/>
    <w:rsid w:val="00B35876"/>
    <w:rsid w:val="00B569FD"/>
    <w:rsid w:val="00B63A33"/>
    <w:rsid w:val="00B677DC"/>
    <w:rsid w:val="00B70E6F"/>
    <w:rsid w:val="00B91BF0"/>
    <w:rsid w:val="00B955C2"/>
    <w:rsid w:val="00BA0282"/>
    <w:rsid w:val="00BB6985"/>
    <w:rsid w:val="00BD0783"/>
    <w:rsid w:val="00BD17EF"/>
    <w:rsid w:val="00BD7743"/>
    <w:rsid w:val="00BF4F97"/>
    <w:rsid w:val="00BF5589"/>
    <w:rsid w:val="00C0095C"/>
    <w:rsid w:val="00C02512"/>
    <w:rsid w:val="00C10172"/>
    <w:rsid w:val="00C25C86"/>
    <w:rsid w:val="00C36D00"/>
    <w:rsid w:val="00C42A4B"/>
    <w:rsid w:val="00C463C1"/>
    <w:rsid w:val="00C46931"/>
    <w:rsid w:val="00C47A89"/>
    <w:rsid w:val="00C73E6B"/>
    <w:rsid w:val="00C85D4E"/>
    <w:rsid w:val="00C9088B"/>
    <w:rsid w:val="00C91BA8"/>
    <w:rsid w:val="00C94FDB"/>
    <w:rsid w:val="00CA2ACF"/>
    <w:rsid w:val="00CB5C9F"/>
    <w:rsid w:val="00CB5CD9"/>
    <w:rsid w:val="00CB74C6"/>
    <w:rsid w:val="00CC2499"/>
    <w:rsid w:val="00CC73CB"/>
    <w:rsid w:val="00CD11DB"/>
    <w:rsid w:val="00CD2037"/>
    <w:rsid w:val="00CD2A65"/>
    <w:rsid w:val="00CE2F8B"/>
    <w:rsid w:val="00D004D1"/>
    <w:rsid w:val="00D02324"/>
    <w:rsid w:val="00D06884"/>
    <w:rsid w:val="00D15579"/>
    <w:rsid w:val="00D45541"/>
    <w:rsid w:val="00D53BFE"/>
    <w:rsid w:val="00D747A1"/>
    <w:rsid w:val="00D85F94"/>
    <w:rsid w:val="00D878DF"/>
    <w:rsid w:val="00DB09F3"/>
    <w:rsid w:val="00DC23E1"/>
    <w:rsid w:val="00DC727C"/>
    <w:rsid w:val="00DD2E1F"/>
    <w:rsid w:val="00DE140A"/>
    <w:rsid w:val="00DF4B57"/>
    <w:rsid w:val="00E04682"/>
    <w:rsid w:val="00E20D4C"/>
    <w:rsid w:val="00E22BAA"/>
    <w:rsid w:val="00E44A34"/>
    <w:rsid w:val="00E52D98"/>
    <w:rsid w:val="00E52DAA"/>
    <w:rsid w:val="00E566ED"/>
    <w:rsid w:val="00E728E5"/>
    <w:rsid w:val="00E731F0"/>
    <w:rsid w:val="00E80E0F"/>
    <w:rsid w:val="00E84228"/>
    <w:rsid w:val="00EB060E"/>
    <w:rsid w:val="00EB3163"/>
    <w:rsid w:val="00EC51AC"/>
    <w:rsid w:val="00ED67BE"/>
    <w:rsid w:val="00EE07B1"/>
    <w:rsid w:val="00EF41BE"/>
    <w:rsid w:val="00F11065"/>
    <w:rsid w:val="00F20046"/>
    <w:rsid w:val="00F25BB5"/>
    <w:rsid w:val="00F40307"/>
    <w:rsid w:val="00F571F9"/>
    <w:rsid w:val="00F655AC"/>
    <w:rsid w:val="00F8256F"/>
    <w:rsid w:val="00F95970"/>
    <w:rsid w:val="00FB1B10"/>
    <w:rsid w:val="00FB278F"/>
    <w:rsid w:val="00FB3D7B"/>
    <w:rsid w:val="00FB6F6A"/>
    <w:rsid w:val="00FC67CB"/>
    <w:rsid w:val="00FD61EB"/>
    <w:rsid w:val="00FE245D"/>
    <w:rsid w:val="00FE3344"/>
    <w:rsid w:val="00FF5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8C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9D"/>
    <w:pPr>
      <w:spacing w:after="160" w:line="259" w:lineRule="auto"/>
    </w:pPr>
    <w:rPr>
      <w:rFonts w:ascii="David" w:eastAsia="David" w:hAnsi="David" w:cs="David"/>
      <w:sz w:val="24"/>
      <w:szCs w:val="24"/>
    </w:rPr>
  </w:style>
  <w:style w:type="paragraph" w:styleId="Heading3">
    <w:name w:val="heading 3"/>
    <w:basedOn w:val="Normal"/>
    <w:link w:val="Heading3Char"/>
    <w:uiPriority w:val="9"/>
    <w:qFormat/>
    <w:rsid w:val="006722B0"/>
    <w:pPr>
      <w:spacing w:before="100" w:beforeAutospacing="1" w:after="100" w:afterAutospacing="1" w:line="240" w:lineRule="auto"/>
      <w:outlineLvl w:val="2"/>
    </w:pPr>
    <w:rPr>
      <w:rFonts w:ascii="Times New Roman" w:eastAsia="Times New Roman" w:hAnsi="Times New Roman" w:cs="Times New Roman"/>
      <w:b/>
      <w:bCs/>
      <w:sz w:val="27"/>
      <w:szCs w:val="27"/>
      <w:lang w:va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141"/>
    <w:rPr>
      <w:color w:val="0000FF"/>
      <w:u w:val="single"/>
    </w:rPr>
  </w:style>
  <w:style w:type="paragraph" w:styleId="BalloonText">
    <w:name w:val="Balloon Text"/>
    <w:basedOn w:val="Normal"/>
    <w:link w:val="BalloonTextChar"/>
    <w:uiPriority w:val="99"/>
    <w:semiHidden/>
    <w:unhideWhenUsed/>
    <w:rsid w:val="007B64D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B64D4"/>
    <w:rPr>
      <w:rFonts w:ascii="Tahoma" w:hAnsi="Tahoma" w:cs="Tahoma"/>
      <w:sz w:val="18"/>
      <w:szCs w:val="18"/>
    </w:rPr>
  </w:style>
  <w:style w:type="paragraph" w:styleId="Header">
    <w:name w:val="header"/>
    <w:basedOn w:val="Normal"/>
    <w:link w:val="HeaderChar"/>
    <w:uiPriority w:val="99"/>
    <w:unhideWhenUsed/>
    <w:rsid w:val="00E046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4682"/>
  </w:style>
  <w:style w:type="paragraph" w:styleId="Footer">
    <w:name w:val="footer"/>
    <w:basedOn w:val="Normal"/>
    <w:link w:val="FooterChar"/>
    <w:uiPriority w:val="99"/>
    <w:unhideWhenUsed/>
    <w:rsid w:val="00E046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4682"/>
  </w:style>
  <w:style w:type="paragraph" w:styleId="ListParagraph">
    <w:name w:val="List Paragraph"/>
    <w:aliases w:val="פיסקת רשימה12,פיסקת רשימה121,פיסקת רשימה2,פיסקת רשימה11"/>
    <w:basedOn w:val="Normal"/>
    <w:link w:val="ListParagraphChar"/>
    <w:uiPriority w:val="34"/>
    <w:qFormat/>
    <w:rsid w:val="00CD2A65"/>
    <w:pPr>
      <w:ind w:left="720"/>
      <w:contextualSpacing/>
    </w:pPr>
  </w:style>
  <w:style w:type="character" w:styleId="CommentReference">
    <w:name w:val="annotation reference"/>
    <w:basedOn w:val="DefaultParagraphFont"/>
    <w:uiPriority w:val="99"/>
    <w:semiHidden/>
    <w:unhideWhenUsed/>
    <w:rsid w:val="004F26A1"/>
    <w:rPr>
      <w:sz w:val="16"/>
      <w:szCs w:val="16"/>
    </w:rPr>
  </w:style>
  <w:style w:type="paragraph" w:styleId="CommentText">
    <w:name w:val="annotation text"/>
    <w:basedOn w:val="Normal"/>
    <w:link w:val="CommentTextChar"/>
    <w:uiPriority w:val="99"/>
    <w:semiHidden/>
    <w:unhideWhenUsed/>
    <w:rsid w:val="004F26A1"/>
    <w:pPr>
      <w:spacing w:line="240" w:lineRule="auto"/>
    </w:pPr>
    <w:rPr>
      <w:sz w:val="20"/>
      <w:szCs w:val="20"/>
    </w:rPr>
  </w:style>
  <w:style w:type="character" w:customStyle="1" w:styleId="CommentTextChar">
    <w:name w:val="Comment Text Char"/>
    <w:basedOn w:val="DefaultParagraphFont"/>
    <w:link w:val="CommentText"/>
    <w:uiPriority w:val="99"/>
    <w:semiHidden/>
    <w:rsid w:val="004F26A1"/>
    <w:rPr>
      <w:sz w:val="20"/>
      <w:szCs w:val="20"/>
    </w:rPr>
  </w:style>
  <w:style w:type="paragraph" w:styleId="CommentSubject">
    <w:name w:val="annotation subject"/>
    <w:basedOn w:val="CommentText"/>
    <w:next w:val="CommentText"/>
    <w:link w:val="CommentSubjectChar"/>
    <w:uiPriority w:val="99"/>
    <w:semiHidden/>
    <w:unhideWhenUsed/>
    <w:rsid w:val="004F26A1"/>
    <w:rPr>
      <w:b/>
      <w:bCs/>
    </w:rPr>
  </w:style>
  <w:style w:type="character" w:customStyle="1" w:styleId="CommentSubjectChar">
    <w:name w:val="Comment Subject Char"/>
    <w:basedOn w:val="CommentTextChar"/>
    <w:link w:val="CommentSubject"/>
    <w:uiPriority w:val="99"/>
    <w:semiHidden/>
    <w:rsid w:val="004F26A1"/>
    <w:rPr>
      <w:b/>
      <w:bCs/>
      <w:sz w:val="20"/>
      <w:szCs w:val="20"/>
    </w:rPr>
  </w:style>
  <w:style w:type="character" w:styleId="FollowedHyperlink">
    <w:name w:val="FollowedHyperlink"/>
    <w:basedOn w:val="DefaultParagraphFont"/>
    <w:uiPriority w:val="99"/>
    <w:semiHidden/>
    <w:unhideWhenUsed/>
    <w:rsid w:val="00B569FD"/>
    <w:rPr>
      <w:color w:val="800080" w:themeColor="followedHyperlink"/>
      <w:u w:val="single"/>
    </w:rPr>
  </w:style>
  <w:style w:type="character" w:customStyle="1" w:styleId="ListParagraphChar">
    <w:name w:val="List Paragraph Char"/>
    <w:aliases w:val="פיסקת רשימה12 Char,פיסקת רשימה121 Char,פיסקת רשימה2 Char,פיסקת רשימה11 Char"/>
    <w:basedOn w:val="DefaultParagraphFont"/>
    <w:link w:val="ListParagraph"/>
    <w:uiPriority w:val="34"/>
    <w:rsid w:val="00031A9D"/>
  </w:style>
  <w:style w:type="paragraph" w:styleId="NormalWeb">
    <w:name w:val="Normal (Web)"/>
    <w:basedOn w:val="Normal"/>
    <w:uiPriority w:val="99"/>
    <w:semiHidden/>
    <w:unhideWhenUsed/>
    <w:rsid w:val="00AE0BCF"/>
    <w:pPr>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6722B0"/>
    <w:rPr>
      <w:rFonts w:ascii="Times New Roman" w:eastAsia="Times New Roman" w:hAnsi="Times New Roman" w:cs="Times New Roman"/>
      <w:b/>
      <w:bCs/>
      <w:sz w:val="27"/>
      <w:szCs w:val="27"/>
      <w:lang w:val="" w:bidi="ar-SA"/>
    </w:rPr>
  </w:style>
  <w:style w:type="paragraph" w:customStyle="1" w:styleId="p1">
    <w:name w:val="p1"/>
    <w:basedOn w:val="Normal"/>
    <w:rsid w:val="006722B0"/>
    <w:pPr>
      <w:spacing w:before="100" w:beforeAutospacing="1" w:after="100" w:afterAutospacing="1" w:line="240" w:lineRule="auto"/>
    </w:pPr>
    <w:rPr>
      <w:rFonts w:ascii="Times New Roman" w:eastAsia="Times New Roman" w:hAnsi="Times New Roman" w:cs="Times New Roman"/>
      <w:lang w:val="" w:bidi="ar-SA"/>
    </w:rPr>
  </w:style>
  <w:style w:type="character" w:customStyle="1" w:styleId="UnresolvedMention">
    <w:name w:val="Unresolved Mention"/>
    <w:basedOn w:val="DefaultParagraphFont"/>
    <w:uiPriority w:val="99"/>
    <w:semiHidden/>
    <w:unhideWhenUsed/>
    <w:rsid w:val="00672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i.org.il/ar/roles-ar/%D8%A7%D9%84%D8%A3%D8%B3%D9%88%D8%A7%D9%82/%D9%81%D8%A7%D8%A6%D8%AF%D8%A9-shi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3" Type="http://schemas.openxmlformats.org/officeDocument/2006/relationships/hyperlink" Target="https://www.facebook.com/bankisraelvc" TargetMode="External"/><Relationship Id="rId3" Type="http://schemas.openxmlformats.org/officeDocument/2006/relationships/image" Target="media/image2.png"/><Relationship Id="rId7" Type="http://schemas.openxmlformats.org/officeDocument/2006/relationships/hyperlink" Target="https://www.youtube.com/user/thebankofisrael" TargetMode="External"/><Relationship Id="rId12" Type="http://schemas.openxmlformats.org/officeDocument/2006/relationships/hyperlink" Target="https://www.facebook.com/bankisraelvc" TargetMode="External"/><Relationship Id="rId2" Type="http://schemas.openxmlformats.org/officeDocument/2006/relationships/hyperlink" Target="https://www.boi.org.il/bank-of-israel/boi-podcast/" TargetMode="External"/><Relationship Id="rId1" Type="http://schemas.openxmlformats.org/officeDocument/2006/relationships/hyperlink" Target="https://www.boi.org.il/bank-of-israel/boi-podcast/" TargetMode="External"/><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openxmlformats.org/officeDocument/2006/relationships/image" Target="media/image4.png"/><Relationship Id="rId15" Type="http://schemas.openxmlformats.org/officeDocument/2006/relationships/hyperlink" Target="https://www.boi.org.il/" TargetMode="External"/><Relationship Id="rId4" Type="http://schemas.openxmlformats.org/officeDocument/2006/relationships/image" Target="media/image3.png"/><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1222</Characters>
  <Application>Microsoft Office Word</Application>
  <DocSecurity>4</DocSecurity>
  <Lines>10</Lines>
  <Paragraphs>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2025-07-10T12:01:00Z</dcterms:created>
  <dcterms:modified xsi:type="dcterms:W3CDTF">2025-07-10T12:01:00Z</dcterms:modified>
</cp:coreProperties>
</file>