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B307B4" w:rsidTr="009244D5">
        <w:tc>
          <w:tcPr>
            <w:tcW w:w="3343" w:type="dxa"/>
            <w:tcBorders>
              <w:top w:val="nil"/>
              <w:left w:val="nil"/>
              <w:bottom w:val="nil"/>
              <w:right w:val="nil"/>
            </w:tcBorders>
            <w:vAlign w:val="center"/>
          </w:tcPr>
          <w:p w:rsidR="000411FB" w:rsidRPr="002120E9" w:rsidRDefault="004C5BF6" w:rsidP="009244D5">
            <w:pPr>
              <w:jc w:val="center"/>
              <w:rPr>
                <w:b/>
                <w:bCs/>
                <w:rtl/>
              </w:rPr>
            </w:pPr>
            <w:r w:rsidRPr="002120E9">
              <w:rPr>
                <w:b/>
                <w:bCs/>
                <w:rtl/>
              </w:rPr>
              <w:t>בנק ישראל</w:t>
            </w:r>
          </w:p>
          <w:p w:rsidR="000411FB" w:rsidRPr="002120E9" w:rsidRDefault="004C5BF6" w:rsidP="009244D5">
            <w:pPr>
              <w:jc w:val="center"/>
              <w:rPr>
                <w:b/>
                <w:bCs/>
              </w:rPr>
            </w:pPr>
            <w:r w:rsidRPr="002120E9">
              <w:rPr>
                <w:rtl/>
              </w:rPr>
              <w:t>דוברות והסברה כלכלית</w:t>
            </w:r>
          </w:p>
        </w:tc>
        <w:tc>
          <w:tcPr>
            <w:tcW w:w="2596" w:type="dxa"/>
            <w:tcBorders>
              <w:top w:val="nil"/>
              <w:left w:val="nil"/>
              <w:bottom w:val="nil"/>
              <w:right w:val="nil"/>
            </w:tcBorders>
            <w:shd w:val="clear" w:color="auto" w:fill="FFFFFF"/>
          </w:tcPr>
          <w:p w:rsidR="000411FB" w:rsidRPr="002120E9" w:rsidRDefault="004C5BF6" w:rsidP="009244D5">
            <w:pPr>
              <w:jc w:val="center"/>
            </w:pPr>
            <w:r w:rsidRPr="002120E9">
              <w:rPr>
                <w:noProof/>
              </w:rPr>
              <w:drawing>
                <wp:inline distT="0" distB="0" distL="0" distR="0">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411FB" w:rsidRPr="002120E9" w:rsidRDefault="004C5BF6" w:rsidP="009244D5">
            <w:pPr>
              <w:jc w:val="center"/>
              <w:rPr>
                <w:rtl/>
              </w:rPr>
            </w:pPr>
            <w:r w:rsidRPr="002120E9">
              <w:rPr>
                <w:highlight w:val="green"/>
                <w:rtl/>
              </w:rPr>
              <w:t>‏</w:t>
            </w:r>
            <w:r w:rsidRPr="002120E9">
              <w:rPr>
                <w:rtl/>
              </w:rPr>
              <w:t xml:space="preserve">ירושלים, </w:t>
            </w:r>
            <w:r w:rsidRPr="002120E9">
              <w:rPr>
                <w:rtl/>
              </w:rPr>
              <w:fldChar w:fldCharType="begin"/>
            </w:r>
            <w:r w:rsidRPr="002120E9">
              <w:rPr>
                <w:rtl/>
              </w:rPr>
              <w:instrText xml:space="preserve"> </w:instrText>
            </w:r>
            <w:r w:rsidRPr="002120E9">
              <w:instrText>DATE</w:instrText>
            </w:r>
            <w:r w:rsidRPr="002120E9">
              <w:rPr>
                <w:rtl/>
              </w:rPr>
              <w:instrText xml:space="preserve"> \@ "</w:instrText>
            </w:r>
            <w:r w:rsidRPr="002120E9">
              <w:instrText>d MMMM, yyyy" \h</w:instrText>
            </w:r>
            <w:r w:rsidRPr="002120E9">
              <w:rPr>
                <w:rtl/>
              </w:rPr>
              <w:instrText xml:space="preserve"> </w:instrText>
            </w:r>
            <w:r w:rsidRPr="002120E9">
              <w:rPr>
                <w:rtl/>
              </w:rPr>
              <w:fldChar w:fldCharType="separate"/>
            </w:r>
            <w:r>
              <w:rPr>
                <w:noProof/>
                <w:rtl/>
              </w:rPr>
              <w:t>‏כ"ג טבת, תשפ"ו</w:t>
            </w:r>
            <w:r w:rsidRPr="002120E9">
              <w:rPr>
                <w:rtl/>
              </w:rPr>
              <w:fldChar w:fldCharType="end"/>
            </w:r>
          </w:p>
          <w:p w:rsidR="000411FB" w:rsidRPr="002120E9" w:rsidRDefault="004C5BF6" w:rsidP="009244D5">
            <w:pPr>
              <w:jc w:val="center"/>
              <w:rPr>
                <w:highlight w:val="green"/>
              </w:rPr>
            </w:pPr>
            <w:r w:rsidRPr="002120E9">
              <w:rPr>
                <w:rtl/>
              </w:rPr>
              <w:fldChar w:fldCharType="begin"/>
            </w:r>
            <w:r w:rsidRPr="002120E9">
              <w:rPr>
                <w:rtl/>
              </w:rPr>
              <w:instrText xml:space="preserve"> </w:instrText>
            </w:r>
            <w:r w:rsidRPr="002120E9">
              <w:instrText>DATE</w:instrText>
            </w:r>
            <w:r w:rsidRPr="002120E9">
              <w:rPr>
                <w:rtl/>
              </w:rPr>
              <w:instrText xml:space="preserve"> \@ "</w:instrText>
            </w:r>
            <w:r w:rsidRPr="002120E9">
              <w:instrText>d MMMM, yyyy</w:instrText>
            </w:r>
            <w:r w:rsidRPr="002120E9">
              <w:rPr>
                <w:rtl/>
              </w:rPr>
              <w:instrText xml:space="preserve">" </w:instrText>
            </w:r>
            <w:r w:rsidRPr="002120E9">
              <w:rPr>
                <w:rtl/>
              </w:rPr>
              <w:fldChar w:fldCharType="separate"/>
            </w:r>
            <w:r>
              <w:rPr>
                <w:noProof/>
                <w:rtl/>
              </w:rPr>
              <w:t>‏12 ינואר, 2026</w:t>
            </w:r>
            <w:r w:rsidRPr="002120E9">
              <w:rPr>
                <w:rtl/>
              </w:rPr>
              <w:fldChar w:fldCharType="end"/>
            </w:r>
          </w:p>
        </w:tc>
      </w:tr>
    </w:tbl>
    <w:p w:rsidR="0096452E" w:rsidRPr="002120E9" w:rsidRDefault="004C5BF6" w:rsidP="0096452E">
      <w:pPr>
        <w:rPr>
          <w:rtl/>
          <w:lang w:bidi="ar-SA"/>
        </w:rPr>
      </w:pPr>
      <w:r w:rsidRPr="002120E9">
        <w:rPr>
          <w:rtl/>
          <w:lang w:bidi="ar-SA"/>
        </w:rPr>
        <w:t>بيان صحفي:</w:t>
      </w:r>
    </w:p>
    <w:p w:rsidR="002120E9" w:rsidRPr="002120E9" w:rsidRDefault="004C5BF6" w:rsidP="002120E9">
      <w:pPr>
        <w:pStyle w:val="p1"/>
        <w:bidi/>
        <w:jc w:val="center"/>
        <w:rPr>
          <w:rFonts w:ascii="Calibri" w:hAnsi="Calibri" w:cs="Calibri"/>
          <w:b/>
          <w:bCs/>
          <w:sz w:val="36"/>
          <w:szCs w:val="36"/>
        </w:rPr>
      </w:pPr>
      <w:r w:rsidRPr="002120E9">
        <w:rPr>
          <w:rFonts w:ascii="Calibri" w:hAnsi="Calibri" w:cs="Calibri"/>
          <w:b/>
          <w:bCs/>
          <w:sz w:val="36"/>
          <w:szCs w:val="36"/>
          <w:rtl/>
        </w:rPr>
        <w:t>توقعات شعبة الأبحاث للاقتصاد الكلي – كانون الثاني 2026</w:t>
      </w:r>
    </w:p>
    <w:p w:rsidR="002120E9" w:rsidRPr="002120E9" w:rsidRDefault="004C5BF6" w:rsidP="002120E9">
      <w:pPr>
        <w:pStyle w:val="p1"/>
        <w:bidi/>
        <w:jc w:val="both"/>
        <w:rPr>
          <w:rFonts w:ascii="Calibri" w:hAnsi="Calibri" w:cs="Calibri"/>
          <w:rtl/>
        </w:rPr>
      </w:pPr>
      <w:r w:rsidRPr="002120E9">
        <w:rPr>
          <w:rFonts w:ascii="Calibri" w:hAnsi="Calibri" w:cs="Calibri"/>
          <w:b/>
          <w:bCs/>
          <w:rtl/>
        </w:rPr>
        <w:t>ملخص</w:t>
      </w:r>
    </w:p>
    <w:p w:rsidR="002120E9" w:rsidRPr="002120E9" w:rsidRDefault="004C5BF6" w:rsidP="002120E9">
      <w:pPr>
        <w:pStyle w:val="p3"/>
        <w:bidi/>
        <w:jc w:val="both"/>
        <w:rPr>
          <w:rFonts w:ascii="Calibri" w:hAnsi="Calibri" w:cs="Calibri"/>
        </w:rPr>
      </w:pPr>
      <w:r w:rsidRPr="002120E9">
        <w:rPr>
          <w:rFonts w:ascii="Calibri" w:hAnsi="Calibri" w:cs="Calibri"/>
          <w:rtl/>
        </w:rPr>
        <w:t xml:space="preserve">يعرض هذا المستند التوقعات الكلية التي صاغتها شعبة </w:t>
      </w:r>
      <w:r w:rsidRPr="002120E9">
        <w:rPr>
          <w:rFonts w:ascii="Calibri" w:hAnsi="Calibri" w:cs="Calibri"/>
          <w:rtl/>
        </w:rPr>
        <w:t>الأبحاث في بنك إسرائيل في كانون الثاني 2026 بشأن المتغيرات الاقتصادية الكلية الرئيسية، بما في ذلك الناتج المحلي الإجمالي، والتضخم، وسعر الفائدة</w:t>
      </w:r>
      <w:r w:rsidR="001C161C" w:rsidRPr="002120E9">
        <w:rPr>
          <w:rFonts w:ascii="Calibri" w:eastAsia="Calibri" w:hAnsi="Calibri" w:cs="Calibri"/>
          <w:rtl/>
        </w:rPr>
        <w:t>.</w:t>
      </w:r>
      <w:r>
        <w:rPr>
          <w:rFonts w:ascii="Calibri" w:eastAsia="Calibri" w:hAnsi="Calibri" w:cs="Calibri"/>
          <w:vertAlign w:val="superscript"/>
          <w:rtl/>
        </w:rPr>
        <w:footnoteReference w:id="1"/>
      </w:r>
      <w:r w:rsidR="001C161C" w:rsidRPr="002120E9">
        <w:rPr>
          <w:rFonts w:ascii="Calibri" w:eastAsia="Calibri" w:hAnsi="Calibri" w:cs="Calibri"/>
          <w:rtl/>
        </w:rPr>
        <w:t xml:space="preserve"> </w:t>
      </w:r>
      <w:r w:rsidRPr="002120E9">
        <w:rPr>
          <w:rFonts w:ascii="Calibri" w:hAnsi="Calibri" w:cs="Calibri"/>
          <w:rtl/>
        </w:rPr>
        <w:t xml:space="preserve">وبحسب تقديراتنا، نما الناتج بنسبة 2.8% في عام 2025، ومن المتوقع أن ينمو بنسبة 5.2% في عام 2026 وبنسبة 4.3% في </w:t>
      </w:r>
      <w:r w:rsidRPr="002120E9">
        <w:rPr>
          <w:rFonts w:ascii="Calibri" w:hAnsi="Calibri" w:cs="Calibri"/>
          <w:rtl/>
        </w:rPr>
        <w:t>عام 2027. ومن المتوقع أن يبلغ معدل التضخم خلال الأرباع الأربعة المقبلة (المنتهية في الربع الرابع من عام 2026) نحو 1.7%، وأن يبلغ خلال عام 2027 نحو 2.0%. ومن المتوقع أن يبلغ متوسط سعر الفائدة في الربع الرابع من عام 2026 نحو 3.5%. وفي عام 2027، يُتوقع أن ينخ</w:t>
      </w:r>
      <w:r w:rsidRPr="002120E9">
        <w:rPr>
          <w:rFonts w:ascii="Calibri" w:hAnsi="Calibri" w:cs="Calibri"/>
          <w:rtl/>
        </w:rPr>
        <w:t>فض العجز إلى 3.6% من الناتج المحلي الإجمالي، وأن تبلغ نسبة الدين إلى الناتج المحلي الإجمالي 68.5%.</w:t>
      </w:r>
    </w:p>
    <w:p w:rsidR="002120E9" w:rsidRPr="002120E9" w:rsidRDefault="004C5BF6" w:rsidP="002120E9">
      <w:pPr>
        <w:pStyle w:val="p3"/>
        <w:bidi/>
        <w:jc w:val="both"/>
        <w:rPr>
          <w:rFonts w:ascii="Calibri" w:hAnsi="Calibri" w:cs="Calibri"/>
        </w:rPr>
      </w:pPr>
      <w:r w:rsidRPr="002120E9">
        <w:rPr>
          <w:rFonts w:ascii="Calibri" w:hAnsi="Calibri" w:cs="Calibri"/>
          <w:rtl/>
        </w:rPr>
        <w:t>جرت صياغة التوقعات بعد وقف إطلاق النار في تشرين الأول 2025، في ظل اقتصاد يتسم بفوائض طلب وبسوق عمل مشدودة. وقد أدت الإتاحة المبكرة لوقف إطلاق النار، مقارنة ب</w:t>
      </w:r>
      <w:r w:rsidRPr="002120E9">
        <w:rPr>
          <w:rFonts w:ascii="Calibri" w:hAnsi="Calibri" w:cs="Calibri"/>
          <w:rtl/>
        </w:rPr>
        <w:t>الافتراض الوارد في التوقعات المنشورة في أيلول 2025، إلى تقديم موعد التخفيف من قيود العرض، ولا سيما بفضل تسريح أفراد الاحتياط وعودتهم إلى العمل في القطاع الخاص. وتستند التوقعات إلى افتراض استمرار الهدوء النسبي على مختلف الجبهات. ومع ذلك، نُقدّر أن قيود العر</w:t>
      </w:r>
      <w:r w:rsidRPr="002120E9">
        <w:rPr>
          <w:rFonts w:ascii="Calibri" w:hAnsi="Calibri" w:cs="Calibri"/>
          <w:rtl/>
        </w:rPr>
        <w:t>ض لا تزال قائمة، وأن تخفيفها سيتم بشكل تدريجي فقط، وذلك بفضل استمرار الارتفاع التدريجي في معدل مشاركة الشباب بعد الخدمة العسكرية، واستمرار الزيادة في عدد العمال الأجانب. ومع ذلك، وحتى عند نهاية أفق التوقعات في نهاية عام 2027، يُتوقع أن يبقى عدد العاملين من</w:t>
      </w:r>
      <w:r w:rsidRPr="002120E9">
        <w:rPr>
          <w:rFonts w:ascii="Calibri" w:hAnsi="Calibri" w:cs="Calibri"/>
          <w:rtl/>
        </w:rPr>
        <w:t>خفضًا مقارنة بالمستوى المستمد من اتجاه ما قبل الحرب، وذلك بسبب حجم خدمة الاحتياط الأعلى مما كان عليه في السابق، وبقاء جزء من مصابي الحرب خارج سوق العمل، وميزان هجرة سلبي. إن وقف إطلاق النار وتراجع حالة عدم اليقين الجيوسياسي يدعمان توسع النشاط الاقتصادي، دو</w:t>
      </w:r>
      <w:r w:rsidRPr="002120E9">
        <w:rPr>
          <w:rFonts w:ascii="Calibri" w:hAnsi="Calibri" w:cs="Calibri"/>
          <w:rtl/>
        </w:rPr>
        <w:t>ن مؤشرات على فوائض طلب استثنائية. ومن المتوقع أن تنمو الاستثمارات بوتيرة سريعة استجابةً لنقص اليد العاملة، مع تعويض جزئي عن السنوات التي شهدت تباطؤًا في الاستثمار. كما يُتوقع أن يتوسع كل من الواردات والصادرات بوتيرة أسرع نسبيًا من وتيرة نمو الناتج، ونُقدّر</w:t>
      </w:r>
      <w:r w:rsidRPr="002120E9">
        <w:rPr>
          <w:rFonts w:ascii="Calibri" w:hAnsi="Calibri" w:cs="Calibri"/>
          <w:rtl/>
        </w:rPr>
        <w:t xml:space="preserve"> أن التراجع في فائض الصادرات الذي لوحظ خلال عام 2025 سيتباطأ بفضل التخفيف من قيود العرض. يسهم تخفيف قيود العرض، وانخفاض نفقات الأمن، وتراجع علاوة المخاطر لإسرائيل، وارتفاع قيمة الشيكل، في اعتدال بيئة التضخم، التي يُتوقع أن تستقر حول مركز نطاق الهدف، كما تد</w:t>
      </w:r>
      <w:r w:rsidRPr="002120E9">
        <w:rPr>
          <w:rFonts w:ascii="Calibri" w:hAnsi="Calibri" w:cs="Calibri"/>
          <w:rtl/>
        </w:rPr>
        <w:t>عم هذه العوامل مسار خفض سعر الفائدة الذي بدأ في تشرين الثاني 2025.</w:t>
      </w:r>
    </w:p>
    <w:p w:rsidR="002120E9" w:rsidRPr="002120E9" w:rsidRDefault="004C5BF6" w:rsidP="002120E9">
      <w:pPr>
        <w:pStyle w:val="p1"/>
        <w:bidi/>
        <w:jc w:val="both"/>
        <w:rPr>
          <w:rFonts w:ascii="Calibri" w:hAnsi="Calibri" w:cs="Calibri"/>
          <w:rtl/>
        </w:rPr>
      </w:pPr>
      <w:r w:rsidRPr="002120E9">
        <w:rPr>
          <w:rFonts w:ascii="Calibri" w:hAnsi="Calibri" w:cs="Calibri"/>
          <w:b/>
          <w:bCs/>
          <w:rtl/>
        </w:rPr>
        <w:t>التوقعات</w:t>
      </w:r>
    </w:p>
    <w:p w:rsidR="002120E9" w:rsidRPr="002120E9" w:rsidRDefault="004C5BF6" w:rsidP="002120E9">
      <w:pPr>
        <w:pStyle w:val="p3"/>
        <w:bidi/>
        <w:jc w:val="both"/>
        <w:rPr>
          <w:rFonts w:ascii="Calibri" w:hAnsi="Calibri" w:cs="Calibri"/>
        </w:rPr>
      </w:pPr>
      <w:r w:rsidRPr="002120E9">
        <w:rPr>
          <w:rFonts w:ascii="Calibri" w:hAnsi="Calibri" w:cs="Calibri"/>
          <w:rtl/>
        </w:rPr>
        <w:t>تُعدّ شعبة الأبحاث في بنك إسرائيل، في كل ربع سنة، توقعاتٍ كليةً تعتمد على عدد من النماذج، وعلى مصادر معلومات متنوعة، وعلى تقديرات حكمية. وفي هذا الإطار، يحتل نموذج الـ</w:t>
      </w:r>
      <w:r w:rsidRPr="002120E9">
        <w:rPr>
          <w:rFonts w:ascii="Calibri" w:hAnsi="Calibri" w:cs="Calibri"/>
        </w:rPr>
        <w:t>DSGE</w:t>
      </w:r>
      <w:r w:rsidRPr="002120E9">
        <w:rPr>
          <w:rFonts w:ascii="Calibri" w:hAnsi="Calibri" w:cs="Calibri"/>
          <w:rtl/>
        </w:rPr>
        <w:t xml:space="preserve"> (التوازن العام العشوائي الديناميكي) الذي طُوِّر في شعبة الأبحاث دورًا محوريًا؛ وهو نموذج هيكلي يستند إلى أسس اقتصادية جزئية. يوفّر هذا النموذج إطارًا لتحليل القوى المؤثرة في الاقتصاد، ويتيح دمج المعلومات الواردة من مختلف المصادر في توقعات كلية للمتغيرات ا</w:t>
      </w:r>
      <w:r w:rsidRPr="002120E9">
        <w:rPr>
          <w:rFonts w:ascii="Calibri" w:hAnsi="Calibri" w:cs="Calibri"/>
          <w:rtl/>
        </w:rPr>
        <w:t>لحقيقية والاسمية، تتسم باتساق داخلي وبسرد اقتصادي متكامل.</w:t>
      </w:r>
    </w:p>
    <w:p w:rsidR="002120E9" w:rsidRPr="002120E9" w:rsidRDefault="004C5BF6" w:rsidP="002120E9">
      <w:pPr>
        <w:pStyle w:val="p1"/>
        <w:bidi/>
        <w:rPr>
          <w:rFonts w:ascii="Calibri" w:hAnsi="Calibri" w:cs="Calibri"/>
        </w:rPr>
      </w:pPr>
      <w:bookmarkStart w:id="0" w:name="_Hlk202427660"/>
      <w:r w:rsidRPr="002120E9">
        <w:rPr>
          <w:rFonts w:ascii="Calibri" w:hAnsi="Calibri" w:cs="Calibri"/>
          <w:b/>
          <w:bCs/>
          <w:rtl/>
        </w:rPr>
        <w:lastRenderedPageBreak/>
        <w:t>أ. البيئة العالمية</w:t>
      </w:r>
    </w:p>
    <w:p w:rsidR="002120E9" w:rsidRPr="002120E9" w:rsidRDefault="004C5BF6" w:rsidP="002120E9">
      <w:pPr>
        <w:pStyle w:val="p3"/>
        <w:bidi/>
        <w:rPr>
          <w:rFonts w:ascii="Calibri" w:hAnsi="Calibri" w:cs="Calibri"/>
        </w:rPr>
      </w:pPr>
      <w:r w:rsidRPr="002120E9">
        <w:rPr>
          <w:rFonts w:ascii="Calibri" w:hAnsi="Calibri" w:cs="Calibri"/>
          <w:rtl/>
        </w:rPr>
        <w:t xml:space="preserve">تستند تقديراتنا بشأن التطورات في البيئة العالمية إلى التوقعات التي تُعدّها المؤسسات الدولية وبيوت الاستثمار الأجنبية. ووفقًا لذلك، نفترض أن ينمو ناتج الدول المتقدمة بنسبة 1.5% في </w:t>
      </w:r>
      <w:r w:rsidRPr="002120E9">
        <w:rPr>
          <w:rFonts w:ascii="Calibri" w:hAnsi="Calibri" w:cs="Calibri"/>
          <w:rtl/>
        </w:rPr>
        <w:t>عام 2026 وبنسبة 1.6% في عام 2027 (مقارنة بنسبة 1.4% لعام 2026 في توقعات أيلول). ومن المتوقع أن يبلغ معدل التضخم في هذه الدول 2.3% و2.2% في هذين العامين، على التوالي (من دون تغيير مقارنة بتوقعات أيلول)، وأن يبلغ سعر الفائدة 2.6% في هذين العامين (من دون تغيي</w:t>
      </w:r>
      <w:r w:rsidRPr="002120E9">
        <w:rPr>
          <w:rFonts w:ascii="Calibri" w:hAnsi="Calibri" w:cs="Calibri"/>
          <w:rtl/>
        </w:rPr>
        <w:t>ر مقارنة بتوقعات أيلول). أما بالنسبة لواردات الدول المتقدمة، فنفترض أن تنمو بنسبة 1.3% في عام 2026 (مقارنة بنسبة 1.2% في توقعات أيلول). ويبلغ سعر برميل نفط من نوع "برنت" حاليًا نحو 61 دولارًا، مقارنة بـ68 دولارًا في توقعات أيلول.</w:t>
      </w:r>
    </w:p>
    <w:p w:rsidR="002120E9" w:rsidRPr="002120E9" w:rsidRDefault="002120E9" w:rsidP="00382A08">
      <w:pPr>
        <w:tabs>
          <w:tab w:val="num" w:pos="720"/>
        </w:tabs>
        <w:spacing w:after="360"/>
        <w:jc w:val="both"/>
        <w:rPr>
          <w:rFonts w:eastAsia="Calibri"/>
          <w:color w:val="000000" w:themeColor="text1"/>
          <w:rtl/>
          <w:lang w:val="" w:bidi="ar-SA"/>
        </w:rPr>
      </w:pPr>
    </w:p>
    <w:bookmarkEnd w:id="0"/>
    <w:tbl>
      <w:tblPr>
        <w:bidiVisual/>
        <w:tblW w:w="5069" w:type="pct"/>
        <w:jc w:val="center"/>
        <w:shd w:val="clear" w:color="auto" w:fill="FFFFFF" w:themeFill="background1"/>
        <w:tblLook w:val="04A0" w:firstRow="1" w:lastRow="0" w:firstColumn="1" w:lastColumn="0" w:noHBand="0" w:noVBand="1"/>
      </w:tblPr>
      <w:tblGrid>
        <w:gridCol w:w="390"/>
        <w:gridCol w:w="3558"/>
        <w:gridCol w:w="769"/>
        <w:gridCol w:w="950"/>
        <w:gridCol w:w="978"/>
        <w:gridCol w:w="870"/>
        <w:gridCol w:w="913"/>
        <w:gridCol w:w="966"/>
        <w:gridCol w:w="486"/>
      </w:tblGrid>
      <w:tr w:rsidR="00B307B4" w:rsidTr="002120E9">
        <w:trPr>
          <w:trHeight w:val="375"/>
          <w:jc w:val="center"/>
        </w:trPr>
        <w:tc>
          <w:tcPr>
            <w:tcW w:w="201" w:type="pct"/>
            <w:tcBorders>
              <w:top w:val="nil"/>
              <w:left w:val="nil"/>
              <w:bottom w:val="nil"/>
              <w:right w:val="nil"/>
            </w:tcBorders>
            <w:shd w:val="clear" w:color="auto" w:fill="FFFFFF" w:themeFill="background1"/>
          </w:tcPr>
          <w:p w:rsidR="00792210" w:rsidRPr="002120E9" w:rsidRDefault="00792210" w:rsidP="0096452E">
            <w:pPr>
              <w:spacing w:after="0"/>
              <w:rPr>
                <w:rtl/>
              </w:rPr>
            </w:pPr>
          </w:p>
        </w:tc>
        <w:tc>
          <w:tcPr>
            <w:tcW w:w="4799" w:type="pct"/>
            <w:gridSpan w:val="8"/>
            <w:tcBorders>
              <w:top w:val="nil"/>
              <w:left w:val="nil"/>
              <w:bottom w:val="nil"/>
              <w:right w:val="nil"/>
            </w:tcBorders>
            <w:shd w:val="clear" w:color="auto" w:fill="FFFFFF" w:themeFill="background1"/>
            <w:noWrap/>
            <w:vAlign w:val="bottom"/>
            <w:hideMark/>
          </w:tcPr>
          <w:p w:rsidR="00792210" w:rsidRPr="002120E9" w:rsidRDefault="004C5BF6" w:rsidP="00792210">
            <w:pPr>
              <w:spacing w:after="0"/>
              <w:jc w:val="center"/>
              <w:rPr>
                <w:rFonts w:eastAsia="Times New Roman"/>
                <w:b/>
                <w:bCs/>
                <w:color w:val="000000"/>
                <w:sz w:val="24"/>
                <w:szCs w:val="24"/>
              </w:rPr>
            </w:pPr>
            <w:r w:rsidRPr="002120E9">
              <w:rPr>
                <w:rFonts w:eastAsia="Times New Roman"/>
                <w:b/>
                <w:bCs/>
                <w:color w:val="000000"/>
                <w:sz w:val="24"/>
                <w:szCs w:val="24"/>
                <w:rtl/>
              </w:rPr>
              <w:br w:type="page"/>
            </w:r>
            <w:r w:rsidR="002120E9" w:rsidRPr="002120E9">
              <w:rPr>
                <w:rFonts w:eastAsia="Times New Roman"/>
                <w:b/>
                <w:bCs/>
                <w:color w:val="000000"/>
                <w:sz w:val="24"/>
                <w:szCs w:val="24"/>
                <w:rtl/>
                <w:lang w:bidi="ar-SA"/>
              </w:rPr>
              <w:t>الجدول</w:t>
            </w:r>
            <w:r w:rsidRPr="002120E9">
              <w:rPr>
                <w:rFonts w:eastAsia="Times New Roman"/>
                <w:b/>
                <w:bCs/>
                <w:color w:val="000000"/>
                <w:sz w:val="24"/>
                <w:szCs w:val="24"/>
                <w:rtl/>
              </w:rPr>
              <w:t xml:space="preserve"> 1 | </w:t>
            </w:r>
            <w:r w:rsidR="002120E9" w:rsidRPr="002120E9">
              <w:rPr>
                <w:rFonts w:eastAsia="Times New Roman"/>
                <w:b/>
                <w:bCs/>
                <w:color w:val="000000"/>
                <w:sz w:val="24"/>
                <w:szCs w:val="24"/>
                <w:rtl/>
                <w:lang w:bidi="ar-SA"/>
              </w:rPr>
              <w:t>توقعات قسم الأبحاث للسنوات</w:t>
            </w:r>
            <w:r w:rsidR="002120E9" w:rsidRPr="002120E9">
              <w:rPr>
                <w:rFonts w:eastAsia="Times New Roman"/>
                <w:b/>
                <w:bCs/>
                <w:color w:val="000000"/>
                <w:sz w:val="24"/>
                <w:szCs w:val="24"/>
                <w:rtl/>
              </w:rPr>
              <w:t xml:space="preserve"> </w:t>
            </w:r>
            <w:r w:rsidRPr="002120E9">
              <w:rPr>
                <w:rFonts w:eastAsia="Times New Roman"/>
                <w:b/>
                <w:bCs/>
                <w:color w:val="000000"/>
                <w:sz w:val="24"/>
                <w:szCs w:val="24"/>
                <w:rtl/>
              </w:rPr>
              <w:t xml:space="preserve">לשנים 2025—2027 </w:t>
            </w:r>
          </w:p>
        </w:tc>
      </w:tr>
      <w:tr w:rsidR="00B307B4" w:rsidTr="002120E9">
        <w:trPr>
          <w:trHeight w:val="360"/>
          <w:jc w:val="center"/>
        </w:trPr>
        <w:tc>
          <w:tcPr>
            <w:tcW w:w="201" w:type="pct"/>
            <w:tcBorders>
              <w:top w:val="nil"/>
              <w:left w:val="nil"/>
              <w:bottom w:val="nil"/>
              <w:right w:val="nil"/>
            </w:tcBorders>
            <w:shd w:val="clear" w:color="auto" w:fill="FFFFFF" w:themeFill="background1"/>
          </w:tcPr>
          <w:p w:rsidR="00792210" w:rsidRPr="002120E9" w:rsidRDefault="00792210" w:rsidP="0096452E">
            <w:pPr>
              <w:spacing w:after="0"/>
              <w:rPr>
                <w:rFonts w:eastAsia="Times New Roman"/>
                <w:color w:val="000000"/>
                <w:rtl/>
              </w:rPr>
            </w:pPr>
          </w:p>
        </w:tc>
        <w:tc>
          <w:tcPr>
            <w:tcW w:w="4799" w:type="pct"/>
            <w:gridSpan w:val="8"/>
            <w:tcBorders>
              <w:top w:val="nil"/>
              <w:left w:val="nil"/>
              <w:bottom w:val="nil"/>
              <w:right w:val="nil"/>
            </w:tcBorders>
            <w:shd w:val="clear" w:color="auto" w:fill="FFFFFF" w:themeFill="background1"/>
            <w:noWrap/>
            <w:vAlign w:val="bottom"/>
            <w:hideMark/>
          </w:tcPr>
          <w:p w:rsidR="00792210" w:rsidRPr="002120E9" w:rsidRDefault="004C5BF6" w:rsidP="0096452E">
            <w:pPr>
              <w:spacing w:after="0"/>
              <w:jc w:val="center"/>
              <w:rPr>
                <w:rFonts w:eastAsia="Times New Roman"/>
                <w:color w:val="000000"/>
                <w:sz w:val="24"/>
                <w:szCs w:val="24"/>
                <w:rtl/>
              </w:rPr>
            </w:pPr>
            <w:r w:rsidRPr="002120E9">
              <w:rPr>
                <w:rFonts w:eastAsia="Times New Roman"/>
                <w:color w:val="000000"/>
                <w:rtl/>
              </w:rPr>
              <w:t>(</w:t>
            </w:r>
            <w:r w:rsidR="002120E9" w:rsidRPr="002120E9">
              <w:rPr>
                <w:rFonts w:eastAsia="Times New Roman"/>
                <w:color w:val="000000"/>
                <w:rtl/>
                <w:lang w:bidi="ar-SA"/>
              </w:rPr>
              <w:t>معدلات التغير السنوية بنسب مئوية</w:t>
            </w:r>
            <w:r w:rsidR="002120E9" w:rsidRPr="002120E9">
              <w:rPr>
                <w:rFonts w:eastAsia="Times New Roman"/>
                <w:color w:val="000000"/>
                <w:vertAlign w:val="superscript"/>
                <w:rtl/>
              </w:rPr>
              <w:t xml:space="preserve"> </w:t>
            </w:r>
            <w:r w:rsidRPr="002120E9">
              <w:rPr>
                <w:rFonts w:eastAsia="Times New Roman"/>
                <w:color w:val="000000"/>
                <w:vertAlign w:val="superscript"/>
                <w:rtl/>
              </w:rPr>
              <w:t>1</w:t>
            </w:r>
            <w:r w:rsidRPr="002120E9">
              <w:rPr>
                <w:rFonts w:eastAsia="Times New Roman"/>
                <w:color w:val="000000"/>
                <w:rtl/>
              </w:rPr>
              <w:t xml:space="preserve">, </w:t>
            </w:r>
            <w:r w:rsidR="002120E9" w:rsidRPr="002120E9">
              <w:rPr>
                <w:rFonts w:eastAsia="Times New Roman"/>
                <w:color w:val="000000"/>
                <w:rtl/>
                <w:lang w:bidi="ar-SA"/>
              </w:rPr>
              <w:t>ما لم يُذكر غير ذلك</w:t>
            </w:r>
            <w:r w:rsidRPr="002120E9">
              <w:rPr>
                <w:rFonts w:eastAsia="Times New Roman"/>
                <w:color w:val="000000"/>
                <w:rtl/>
              </w:rPr>
              <w:t>)</w:t>
            </w:r>
          </w:p>
        </w:tc>
      </w:tr>
      <w:tr w:rsidR="00B307B4" w:rsidTr="002120E9">
        <w:trPr>
          <w:gridAfter w:val="1"/>
          <w:wAfter w:w="249" w:type="pct"/>
          <w:trHeight w:val="315"/>
          <w:jc w:val="center"/>
        </w:trPr>
        <w:tc>
          <w:tcPr>
            <w:tcW w:w="2005" w:type="pct"/>
            <w:gridSpan w:val="2"/>
            <w:tcBorders>
              <w:top w:val="single" w:sz="4" w:space="0" w:color="1F497D"/>
              <w:left w:val="nil"/>
              <w:bottom w:val="nil"/>
              <w:right w:val="nil"/>
            </w:tcBorders>
            <w:shd w:val="clear" w:color="auto" w:fill="FFFFFF" w:themeFill="background1"/>
            <w:noWrap/>
            <w:vAlign w:val="bottom"/>
            <w:hideMark/>
          </w:tcPr>
          <w:p w:rsidR="00C3149B" w:rsidRPr="002120E9" w:rsidRDefault="004C5BF6" w:rsidP="0096452E">
            <w:pPr>
              <w:spacing w:after="0"/>
              <w:rPr>
                <w:rFonts w:eastAsia="Times New Roman"/>
                <w:color w:val="000000"/>
                <w:sz w:val="24"/>
                <w:szCs w:val="24"/>
                <w:rtl/>
              </w:rPr>
            </w:pPr>
            <w:bookmarkStart w:id="1" w:name="_Hlk202427682"/>
            <w:r w:rsidRPr="002120E9">
              <w:rPr>
                <w:rFonts w:eastAsia="Times New Roman"/>
                <w:color w:val="000000"/>
                <w:sz w:val="24"/>
                <w:szCs w:val="24"/>
                <w:rtl/>
              </w:rPr>
              <w:t> </w:t>
            </w:r>
          </w:p>
        </w:tc>
        <w:tc>
          <w:tcPr>
            <w:tcW w:w="376" w:type="pct"/>
            <w:tcBorders>
              <w:top w:val="single" w:sz="4" w:space="0" w:color="1F497D"/>
              <w:left w:val="nil"/>
              <w:bottom w:val="nil"/>
              <w:right w:val="nil"/>
            </w:tcBorders>
            <w:shd w:val="clear" w:color="auto" w:fill="FFFFFF" w:themeFill="background1"/>
          </w:tcPr>
          <w:p w:rsidR="00C3149B" w:rsidRPr="002120E9" w:rsidRDefault="004C5BF6" w:rsidP="0096452E">
            <w:pPr>
              <w:spacing w:after="0"/>
              <w:rPr>
                <w:rFonts w:eastAsia="Times New Roman"/>
                <w:b/>
                <w:bCs/>
                <w:color w:val="1F497D"/>
                <w:sz w:val="24"/>
                <w:szCs w:val="24"/>
                <w:rtl/>
              </w:rPr>
            </w:pPr>
            <w:r w:rsidRPr="002120E9">
              <w:rPr>
                <w:rFonts w:eastAsia="Times New Roman"/>
                <w:b/>
                <w:bCs/>
                <w:color w:val="1F497D"/>
                <w:sz w:val="24"/>
                <w:szCs w:val="24"/>
                <w:rtl/>
              </w:rPr>
              <w:t>2024</w:t>
            </w:r>
          </w:p>
        </w:tc>
        <w:tc>
          <w:tcPr>
            <w:tcW w:w="982" w:type="pct"/>
            <w:gridSpan w:val="2"/>
            <w:tcBorders>
              <w:top w:val="single" w:sz="4" w:space="0" w:color="1F497D"/>
              <w:left w:val="nil"/>
              <w:bottom w:val="nil"/>
              <w:right w:val="nil"/>
            </w:tcBorders>
            <w:shd w:val="clear" w:color="auto" w:fill="FFFFFF" w:themeFill="background1"/>
            <w:noWrap/>
            <w:vAlign w:val="bottom"/>
            <w:hideMark/>
          </w:tcPr>
          <w:p w:rsidR="00C3149B" w:rsidRPr="002120E9" w:rsidRDefault="004C5BF6" w:rsidP="0096452E">
            <w:pPr>
              <w:spacing w:after="0"/>
              <w:rPr>
                <w:rFonts w:eastAsia="Times New Roman"/>
                <w:b/>
                <w:bCs/>
                <w:color w:val="1F497D"/>
                <w:sz w:val="24"/>
                <w:szCs w:val="24"/>
                <w:rtl/>
              </w:rPr>
            </w:pPr>
            <w:r w:rsidRPr="002120E9">
              <w:rPr>
                <w:rFonts w:eastAsia="Times New Roman"/>
                <w:b/>
                <w:bCs/>
                <w:color w:val="1F497D"/>
                <w:sz w:val="24"/>
                <w:szCs w:val="24"/>
                <w:rtl/>
              </w:rPr>
              <w:t>2025</w:t>
            </w:r>
          </w:p>
        </w:tc>
        <w:tc>
          <w:tcPr>
            <w:tcW w:w="896" w:type="pct"/>
            <w:gridSpan w:val="2"/>
            <w:tcBorders>
              <w:top w:val="single" w:sz="4" w:space="0" w:color="1F497D"/>
              <w:left w:val="nil"/>
              <w:bottom w:val="nil"/>
              <w:right w:val="nil"/>
            </w:tcBorders>
            <w:shd w:val="clear" w:color="auto" w:fill="FFFFFF" w:themeFill="background1"/>
            <w:noWrap/>
            <w:vAlign w:val="bottom"/>
            <w:hideMark/>
          </w:tcPr>
          <w:p w:rsidR="00C3149B" w:rsidRPr="002120E9" w:rsidRDefault="004C5BF6" w:rsidP="0096452E">
            <w:pPr>
              <w:spacing w:after="0"/>
              <w:rPr>
                <w:rFonts w:eastAsia="Times New Roman"/>
                <w:b/>
                <w:bCs/>
                <w:color w:val="1F497D"/>
                <w:sz w:val="24"/>
                <w:szCs w:val="24"/>
                <w:rtl/>
              </w:rPr>
            </w:pPr>
            <w:r w:rsidRPr="002120E9">
              <w:rPr>
                <w:rFonts w:eastAsia="Times New Roman"/>
                <w:b/>
                <w:bCs/>
                <w:color w:val="1F497D"/>
                <w:sz w:val="24"/>
                <w:szCs w:val="24"/>
                <w:rtl/>
              </w:rPr>
              <w:t>2026</w:t>
            </w:r>
          </w:p>
        </w:tc>
        <w:tc>
          <w:tcPr>
            <w:tcW w:w="492" w:type="pct"/>
            <w:tcBorders>
              <w:top w:val="single" w:sz="4" w:space="0" w:color="1F497D"/>
              <w:left w:val="nil"/>
              <w:bottom w:val="nil"/>
              <w:right w:val="nil"/>
            </w:tcBorders>
            <w:shd w:val="clear" w:color="auto" w:fill="FFFFFF" w:themeFill="background1"/>
          </w:tcPr>
          <w:p w:rsidR="00C3149B" w:rsidRPr="002120E9" w:rsidRDefault="004C5BF6" w:rsidP="0096452E">
            <w:pPr>
              <w:spacing w:after="0"/>
              <w:rPr>
                <w:rFonts w:eastAsia="Times New Roman"/>
                <w:b/>
                <w:bCs/>
                <w:color w:val="1F497D"/>
                <w:sz w:val="24"/>
                <w:szCs w:val="24"/>
                <w:rtl/>
              </w:rPr>
            </w:pPr>
            <w:r w:rsidRPr="002120E9">
              <w:rPr>
                <w:rFonts w:eastAsia="Times New Roman"/>
                <w:b/>
                <w:bCs/>
                <w:color w:val="1F497D"/>
                <w:sz w:val="24"/>
                <w:szCs w:val="24"/>
                <w:rtl/>
              </w:rPr>
              <w:t>2027</w:t>
            </w:r>
          </w:p>
        </w:tc>
      </w:tr>
      <w:bookmarkEnd w:id="1"/>
      <w:tr w:rsidR="00B307B4" w:rsidTr="002120E9">
        <w:trPr>
          <w:gridAfter w:val="1"/>
          <w:wAfter w:w="249" w:type="pct"/>
          <w:trHeight w:val="494"/>
          <w:jc w:val="center"/>
        </w:trPr>
        <w:tc>
          <w:tcPr>
            <w:tcW w:w="2005" w:type="pct"/>
            <w:gridSpan w:val="2"/>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spacing w:after="0"/>
              <w:rPr>
                <w:rFonts w:eastAsia="Times New Roman"/>
                <w:color w:val="000000"/>
                <w:sz w:val="20"/>
                <w:szCs w:val="20"/>
              </w:rPr>
            </w:pPr>
            <w:r w:rsidRPr="002120E9">
              <w:rPr>
                <w:rFonts w:eastAsia="Times New Roman"/>
                <w:color w:val="000000"/>
                <w:sz w:val="20"/>
                <w:szCs w:val="20"/>
              </w:rPr>
              <w:t> </w:t>
            </w:r>
          </w:p>
        </w:tc>
        <w:tc>
          <w:tcPr>
            <w:tcW w:w="376" w:type="pct"/>
            <w:tcBorders>
              <w:top w:val="nil"/>
              <w:left w:val="nil"/>
              <w:bottom w:val="single" w:sz="4" w:space="0" w:color="1F497D"/>
              <w:right w:val="nil"/>
            </w:tcBorders>
            <w:shd w:val="clear" w:color="auto" w:fill="FFFFFF" w:themeFill="background1"/>
          </w:tcPr>
          <w:p w:rsidR="002120E9" w:rsidRPr="002120E9" w:rsidRDefault="004C5BF6" w:rsidP="002120E9">
            <w:pPr>
              <w:spacing w:after="0"/>
              <w:rPr>
                <w:rFonts w:eastAsia="Times New Roman"/>
                <w:color w:val="1F497D"/>
                <w:rtl/>
              </w:rPr>
            </w:pPr>
            <w:r w:rsidRPr="002120E9">
              <w:rPr>
                <w:rFonts w:eastAsia="Times New Roman"/>
                <w:color w:val="1F497D"/>
                <w:rtl/>
                <w:lang w:bidi="ar-SA"/>
              </w:rPr>
              <w:t>البيانات الفعلية</w:t>
            </w:r>
          </w:p>
        </w:tc>
        <w:tc>
          <w:tcPr>
            <w:tcW w:w="484" w:type="pct"/>
            <w:tcBorders>
              <w:top w:val="nil"/>
              <w:left w:val="nil"/>
              <w:bottom w:val="single" w:sz="4" w:space="0" w:color="1F497D"/>
              <w:right w:val="nil"/>
            </w:tcBorders>
            <w:shd w:val="clear" w:color="auto" w:fill="FFFFFF" w:themeFill="background1"/>
            <w:hideMark/>
          </w:tcPr>
          <w:p w:rsidR="002120E9" w:rsidRPr="002120E9" w:rsidRDefault="004C5BF6" w:rsidP="002120E9">
            <w:pPr>
              <w:spacing w:after="0"/>
              <w:rPr>
                <w:rFonts w:eastAsia="Times New Roman"/>
                <w:color w:val="1F497D"/>
                <w:rtl/>
              </w:rPr>
            </w:pPr>
            <w:r w:rsidRPr="002120E9">
              <w:rPr>
                <w:rFonts w:eastAsia="Times New Roman"/>
                <w:color w:val="1F497D"/>
                <w:rtl/>
                <w:lang w:bidi="ar-SA"/>
              </w:rPr>
              <w:t xml:space="preserve">التوقعات لعام </w:t>
            </w:r>
            <w:r w:rsidRPr="002120E9">
              <w:rPr>
                <w:rFonts w:eastAsia="Times New Roman"/>
                <w:color w:val="1F497D"/>
                <w:rtl/>
              </w:rPr>
              <w:t>2025</w:t>
            </w:r>
          </w:p>
        </w:tc>
        <w:tc>
          <w:tcPr>
            <w:tcW w:w="498" w:type="pct"/>
            <w:tcBorders>
              <w:top w:val="nil"/>
              <w:left w:val="nil"/>
              <w:bottom w:val="single" w:sz="4" w:space="0" w:color="1F497D"/>
              <w:right w:val="nil"/>
            </w:tcBorders>
            <w:shd w:val="clear" w:color="auto" w:fill="FFFFFF" w:themeFill="background1"/>
            <w:hideMark/>
          </w:tcPr>
          <w:p w:rsidR="002120E9" w:rsidRPr="002120E9" w:rsidRDefault="004C5BF6" w:rsidP="002120E9">
            <w:pPr>
              <w:spacing w:after="0"/>
              <w:rPr>
                <w:rFonts w:eastAsia="Times New Roman"/>
                <w:color w:val="1F497D"/>
                <w:rtl/>
              </w:rPr>
            </w:pPr>
            <w:r w:rsidRPr="002120E9">
              <w:rPr>
                <w:rFonts w:eastAsia="Times New Roman"/>
                <w:color w:val="1F497D"/>
                <w:rtl/>
                <w:lang w:bidi="ar-SA"/>
              </w:rPr>
              <w:t>الانحراف عن توقعات أيلول</w:t>
            </w:r>
          </w:p>
        </w:tc>
        <w:tc>
          <w:tcPr>
            <w:tcW w:w="431" w:type="pct"/>
            <w:tcBorders>
              <w:top w:val="nil"/>
              <w:left w:val="nil"/>
              <w:bottom w:val="single" w:sz="4" w:space="0" w:color="1F497D"/>
              <w:right w:val="nil"/>
            </w:tcBorders>
            <w:shd w:val="clear" w:color="auto" w:fill="FFFFFF" w:themeFill="background1"/>
            <w:hideMark/>
          </w:tcPr>
          <w:p w:rsidR="002120E9" w:rsidRPr="002120E9" w:rsidRDefault="004C5BF6" w:rsidP="002120E9">
            <w:pPr>
              <w:spacing w:after="0"/>
              <w:rPr>
                <w:rFonts w:eastAsia="Times New Roman"/>
                <w:color w:val="1F497D"/>
                <w:rtl/>
              </w:rPr>
            </w:pPr>
            <w:r w:rsidRPr="002120E9">
              <w:rPr>
                <w:rFonts w:eastAsia="Times New Roman"/>
                <w:color w:val="1F497D"/>
                <w:rtl/>
                <w:lang w:bidi="ar-SA"/>
              </w:rPr>
              <w:t xml:space="preserve">التوقعات لعام </w:t>
            </w:r>
            <w:r w:rsidRPr="002120E9">
              <w:rPr>
                <w:rFonts w:eastAsia="Times New Roman"/>
                <w:color w:val="1F497D"/>
                <w:rtl/>
              </w:rPr>
              <w:t>2026</w:t>
            </w:r>
          </w:p>
        </w:tc>
        <w:tc>
          <w:tcPr>
            <w:tcW w:w="465" w:type="pct"/>
            <w:tcBorders>
              <w:top w:val="nil"/>
              <w:left w:val="nil"/>
              <w:bottom w:val="single" w:sz="4" w:space="0" w:color="1F497D"/>
              <w:right w:val="nil"/>
            </w:tcBorders>
            <w:shd w:val="clear" w:color="auto" w:fill="FFFFFF" w:themeFill="background1"/>
            <w:hideMark/>
          </w:tcPr>
          <w:p w:rsidR="002120E9" w:rsidRPr="002120E9" w:rsidRDefault="004C5BF6" w:rsidP="002120E9">
            <w:pPr>
              <w:spacing w:after="0"/>
              <w:rPr>
                <w:rFonts w:eastAsia="Times New Roman"/>
                <w:color w:val="1F497D"/>
                <w:rtl/>
              </w:rPr>
            </w:pPr>
            <w:r w:rsidRPr="002120E9">
              <w:rPr>
                <w:rFonts w:eastAsia="Times New Roman"/>
                <w:color w:val="1F497D"/>
                <w:rtl/>
                <w:lang w:bidi="ar-SA"/>
              </w:rPr>
              <w:t>الانحراف عن توقعات أيلول</w:t>
            </w:r>
          </w:p>
        </w:tc>
        <w:tc>
          <w:tcPr>
            <w:tcW w:w="492" w:type="pct"/>
            <w:tcBorders>
              <w:top w:val="nil"/>
              <w:left w:val="nil"/>
              <w:bottom w:val="single" w:sz="4" w:space="0" w:color="1F497D"/>
              <w:right w:val="nil"/>
            </w:tcBorders>
            <w:shd w:val="clear" w:color="auto" w:fill="FFFFFF" w:themeFill="background1"/>
          </w:tcPr>
          <w:p w:rsidR="002120E9" w:rsidRPr="002120E9" w:rsidRDefault="004C5BF6" w:rsidP="002120E9">
            <w:pPr>
              <w:spacing w:after="0"/>
              <w:rPr>
                <w:rFonts w:eastAsia="Times New Roman"/>
                <w:color w:val="1F497D"/>
                <w:rtl/>
              </w:rPr>
            </w:pPr>
            <w:r w:rsidRPr="002120E9">
              <w:rPr>
                <w:rFonts w:eastAsia="Times New Roman"/>
                <w:color w:val="1F497D"/>
                <w:rtl/>
                <w:lang w:bidi="ar-SA"/>
              </w:rPr>
              <w:t xml:space="preserve">التوقعات لعام </w:t>
            </w:r>
            <w:r w:rsidRPr="002120E9">
              <w:rPr>
                <w:rFonts w:eastAsia="Times New Roman"/>
                <w:color w:val="1F497D"/>
                <w:rtl/>
              </w:rPr>
              <w:t>202</w:t>
            </w:r>
            <w:r w:rsidRPr="002120E9">
              <w:rPr>
                <w:rFonts w:eastAsia="Times New Roman"/>
                <w:color w:val="1F497D"/>
                <w:rtl/>
                <w:lang w:bidi="ar-SA"/>
              </w:rPr>
              <w:t>7</w:t>
            </w:r>
          </w:p>
        </w:tc>
      </w:tr>
      <w:tr w:rsidR="00B307B4" w:rsidTr="002120E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rsidR="00DE7759" w:rsidRPr="002120E9" w:rsidRDefault="004C5BF6" w:rsidP="00DE7759">
            <w:pPr>
              <w:spacing w:after="0"/>
              <w:rPr>
                <w:rFonts w:eastAsia="Times New Roman"/>
                <w:rtl/>
              </w:rPr>
            </w:pPr>
            <w:r w:rsidRPr="002120E9">
              <w:rPr>
                <w:rFonts w:eastAsia="Times New Roman"/>
                <w:rtl/>
                <w:lang w:bidi="ar-SA"/>
              </w:rPr>
              <w:t>الناتج المحلي</w:t>
            </w:r>
            <w:r w:rsidRPr="002120E9">
              <w:rPr>
                <w:rFonts w:eastAsia="Times New Roman"/>
                <w:rtl/>
                <w:lang w:bidi="ar-SA"/>
              </w:rPr>
              <w:t xml:space="preserve"> الإجمالي</w:t>
            </w:r>
          </w:p>
        </w:tc>
        <w:tc>
          <w:tcPr>
            <w:tcW w:w="376" w:type="pct"/>
            <w:tcBorders>
              <w:top w:val="nil"/>
              <w:left w:val="nil"/>
              <w:bottom w:val="nil"/>
              <w:right w:val="nil"/>
            </w:tcBorders>
            <w:shd w:val="clear" w:color="auto" w:fill="FFFFFF" w:themeFill="background1"/>
          </w:tcPr>
          <w:p w:rsidR="00DE7759" w:rsidRPr="002120E9" w:rsidRDefault="004C5BF6" w:rsidP="00DE7759">
            <w:pPr>
              <w:spacing w:after="0"/>
              <w:rPr>
                <w:rFonts w:eastAsia="Times New Roman"/>
                <w:b/>
                <w:bCs/>
                <w:color w:val="000000"/>
                <w:rtl/>
              </w:rPr>
            </w:pPr>
            <w:r w:rsidRPr="002120E9">
              <w:rPr>
                <w:rFonts w:eastAsia="Times New Roman"/>
                <w:b/>
                <w:bCs/>
                <w:color w:val="000000"/>
                <w:rtl/>
              </w:rPr>
              <w:t>1.0</w:t>
            </w:r>
          </w:p>
        </w:tc>
        <w:tc>
          <w:tcPr>
            <w:tcW w:w="484" w:type="pct"/>
            <w:tcBorders>
              <w:top w:val="nil"/>
              <w:left w:val="nil"/>
              <w:bottom w:val="nil"/>
              <w:right w:val="nil"/>
            </w:tcBorders>
            <w:shd w:val="clear" w:color="auto" w:fill="FFFFFF" w:themeFill="background1"/>
            <w:noWrap/>
            <w:vAlign w:val="bottom"/>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Pr>
            </w:pPr>
            <w:r w:rsidRPr="002120E9">
              <w:rPr>
                <w:rFonts w:ascii="Calibri" w:hAnsi="Calibri" w:cs="Calibri"/>
                <w:b/>
                <w:bCs/>
                <w:color w:val="000000"/>
                <w:kern w:val="24"/>
                <w:sz w:val="22"/>
                <w:szCs w:val="22"/>
              </w:rPr>
              <w:t>2.8</w:t>
            </w:r>
          </w:p>
        </w:tc>
        <w:tc>
          <w:tcPr>
            <w:tcW w:w="498" w:type="pct"/>
            <w:tcBorders>
              <w:top w:val="nil"/>
              <w:left w:val="nil"/>
              <w:bottom w:val="nil"/>
              <w:right w:val="nil"/>
            </w:tcBorders>
            <w:shd w:val="clear" w:color="auto" w:fill="FFFFFF" w:themeFill="background1"/>
            <w:noWrap/>
            <w:vAlign w:val="bottom"/>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Pr>
              <w:t>0.3</w:t>
            </w:r>
          </w:p>
        </w:tc>
        <w:tc>
          <w:tcPr>
            <w:tcW w:w="431" w:type="pct"/>
            <w:tcBorders>
              <w:top w:val="nil"/>
              <w:left w:val="nil"/>
              <w:bottom w:val="nil"/>
              <w:right w:val="nil"/>
            </w:tcBorders>
            <w:shd w:val="clear" w:color="auto" w:fill="FFFFFF" w:themeFill="background1"/>
            <w:noWrap/>
            <w:vAlign w:val="bottom"/>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Pr>
              <w:t>5.2</w:t>
            </w:r>
          </w:p>
        </w:tc>
        <w:tc>
          <w:tcPr>
            <w:tcW w:w="465" w:type="pct"/>
            <w:tcBorders>
              <w:top w:val="nil"/>
              <w:left w:val="nil"/>
              <w:bottom w:val="nil"/>
              <w:right w:val="nil"/>
            </w:tcBorders>
            <w:shd w:val="clear" w:color="auto" w:fill="FFFFFF" w:themeFill="background1"/>
            <w:noWrap/>
            <w:vAlign w:val="bottom"/>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0.5</w:t>
            </w:r>
          </w:p>
        </w:tc>
        <w:tc>
          <w:tcPr>
            <w:tcW w:w="492" w:type="pct"/>
            <w:tcBorders>
              <w:top w:val="nil"/>
              <w:left w:val="nil"/>
              <w:bottom w:val="nil"/>
              <w:right w:val="nil"/>
            </w:tcBorders>
            <w:shd w:val="clear" w:color="auto" w:fill="FFFFFF" w:themeFill="background1"/>
            <w:vAlign w:val="bottom"/>
          </w:tcPr>
          <w:p w:rsidR="00DE7759" w:rsidRPr="002120E9" w:rsidRDefault="004C5BF6" w:rsidP="007C14EC">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4.</w:t>
            </w:r>
            <w:r w:rsidR="007C14EC" w:rsidRPr="002120E9">
              <w:rPr>
                <w:rFonts w:ascii="Calibri" w:hAnsi="Calibri" w:cs="Calibri"/>
                <w:b/>
                <w:bCs/>
                <w:color w:val="000000"/>
                <w:kern w:val="24"/>
                <w:sz w:val="22"/>
                <w:szCs w:val="22"/>
                <w:rtl/>
              </w:rPr>
              <w:t>3</w:t>
            </w:r>
          </w:p>
        </w:tc>
      </w:tr>
      <w:tr w:rsidR="00B307B4" w:rsidTr="002120E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rsidR="002120E9" w:rsidRPr="002120E9" w:rsidRDefault="004C5BF6" w:rsidP="002120E9">
            <w:pPr>
              <w:spacing w:after="0"/>
              <w:rPr>
                <w:rFonts w:eastAsia="Times New Roman"/>
              </w:rPr>
            </w:pPr>
            <w:r w:rsidRPr="002120E9">
              <w:rPr>
                <w:rFonts w:eastAsia="Times New Roman"/>
                <w:rtl/>
                <w:lang w:bidi="ar-SA"/>
              </w:rPr>
              <w:t>الاستهلاك الخاص</w:t>
            </w:r>
          </w:p>
        </w:tc>
        <w:tc>
          <w:tcPr>
            <w:tcW w:w="376" w:type="pct"/>
            <w:tcBorders>
              <w:top w:val="nil"/>
              <w:left w:val="nil"/>
              <w:bottom w:val="nil"/>
              <w:right w:val="nil"/>
            </w:tcBorders>
            <w:shd w:val="clear" w:color="auto" w:fill="FFFFFF" w:themeFill="background1"/>
          </w:tcPr>
          <w:p w:rsidR="002120E9" w:rsidRPr="002120E9" w:rsidRDefault="004C5BF6" w:rsidP="002120E9">
            <w:pPr>
              <w:spacing w:after="0"/>
              <w:rPr>
                <w:rFonts w:eastAsia="Times New Roman"/>
                <w:b/>
                <w:bCs/>
                <w:color w:val="000000"/>
                <w:rtl/>
              </w:rPr>
            </w:pPr>
            <w:r w:rsidRPr="002120E9">
              <w:rPr>
                <w:rFonts w:eastAsia="Times New Roman"/>
                <w:b/>
                <w:bCs/>
                <w:color w:val="000000"/>
                <w:rtl/>
              </w:rPr>
              <w:t>3.3</w:t>
            </w:r>
          </w:p>
        </w:tc>
        <w:tc>
          <w:tcPr>
            <w:tcW w:w="484"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Pr>
              <w:t>4.0</w:t>
            </w:r>
          </w:p>
        </w:tc>
        <w:tc>
          <w:tcPr>
            <w:tcW w:w="498"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eastAsia="Calibri" w:hAnsi="Calibri" w:cs="Calibri"/>
                <w:color w:val="1F497D"/>
                <w:kern w:val="24"/>
                <w:sz w:val="22"/>
                <w:szCs w:val="22"/>
              </w:rPr>
              <w:t>1.0</w:t>
            </w:r>
          </w:p>
        </w:tc>
        <w:tc>
          <w:tcPr>
            <w:tcW w:w="431"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7.5</w:t>
            </w:r>
          </w:p>
        </w:tc>
        <w:tc>
          <w:tcPr>
            <w:tcW w:w="465"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eastAsia="Calibri" w:hAnsi="Calibri" w:cs="Calibri"/>
                <w:color w:val="1F497D"/>
                <w:kern w:val="24"/>
                <w:sz w:val="22"/>
                <w:szCs w:val="22"/>
                <w:rtl/>
              </w:rPr>
              <w:t>0.5</w:t>
            </w:r>
          </w:p>
        </w:tc>
        <w:tc>
          <w:tcPr>
            <w:tcW w:w="492" w:type="pct"/>
            <w:tcBorders>
              <w:top w:val="nil"/>
              <w:left w:val="nil"/>
              <w:bottom w:val="nil"/>
              <w:right w:val="nil"/>
            </w:tcBorders>
            <w:shd w:val="clear" w:color="auto" w:fill="FFFFFF" w:themeFill="background1"/>
            <w:vAlign w:val="bottom"/>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5.0</w:t>
            </w:r>
          </w:p>
        </w:tc>
      </w:tr>
      <w:tr w:rsidR="00B307B4" w:rsidTr="002120E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rsidR="002120E9" w:rsidRPr="002120E9" w:rsidRDefault="004C5BF6" w:rsidP="002120E9">
            <w:pPr>
              <w:spacing w:after="0"/>
              <w:rPr>
                <w:rFonts w:eastAsia="Times New Roman"/>
              </w:rPr>
            </w:pPr>
            <w:r w:rsidRPr="002120E9">
              <w:rPr>
                <w:rFonts w:eastAsia="Times New Roman"/>
                <w:rtl/>
                <w:lang w:bidi="ar-SA"/>
              </w:rPr>
              <w:t>الاستثمار في الأصول الثابتة (باستثناء السفن والطائرات)</w:t>
            </w:r>
          </w:p>
        </w:tc>
        <w:tc>
          <w:tcPr>
            <w:tcW w:w="376" w:type="pct"/>
            <w:tcBorders>
              <w:top w:val="nil"/>
              <w:left w:val="nil"/>
              <w:bottom w:val="nil"/>
              <w:right w:val="nil"/>
            </w:tcBorders>
            <w:shd w:val="clear" w:color="auto" w:fill="FFFFFF" w:themeFill="background1"/>
          </w:tcPr>
          <w:p w:rsidR="002120E9" w:rsidRPr="002120E9" w:rsidRDefault="004C5BF6" w:rsidP="002120E9">
            <w:pPr>
              <w:spacing w:after="0"/>
              <w:rPr>
                <w:rFonts w:eastAsia="Times New Roman"/>
                <w:b/>
                <w:bCs/>
                <w:color w:val="000000"/>
                <w:rtl/>
              </w:rPr>
            </w:pPr>
            <w:r w:rsidRPr="002120E9">
              <w:rPr>
                <w:rFonts w:eastAsia="Times New Roman"/>
                <w:b/>
                <w:bCs/>
                <w:color w:val="000000"/>
                <w:rtl/>
              </w:rPr>
              <w:t>5.5-</w:t>
            </w:r>
          </w:p>
        </w:tc>
        <w:tc>
          <w:tcPr>
            <w:tcW w:w="484"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10.0</w:t>
            </w:r>
          </w:p>
        </w:tc>
        <w:tc>
          <w:tcPr>
            <w:tcW w:w="498"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2.5</w:t>
            </w:r>
          </w:p>
        </w:tc>
        <w:tc>
          <w:tcPr>
            <w:tcW w:w="431"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13.0</w:t>
            </w:r>
          </w:p>
        </w:tc>
        <w:tc>
          <w:tcPr>
            <w:tcW w:w="465"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Pr>
            </w:pPr>
            <w:r w:rsidRPr="002120E9">
              <w:rPr>
                <w:rFonts w:ascii="Calibri" w:hAnsi="Calibri" w:cs="Calibri"/>
                <w:color w:val="1F497D"/>
                <w:kern w:val="24"/>
                <w:sz w:val="22"/>
                <w:szCs w:val="22"/>
              </w:rPr>
              <w:t>-</w:t>
            </w:r>
            <w:r w:rsidRPr="002120E9">
              <w:rPr>
                <w:rFonts w:ascii="Calibri" w:hAnsi="Calibri" w:cs="Calibri"/>
                <w:color w:val="1F497D"/>
                <w:kern w:val="24"/>
                <w:sz w:val="22"/>
                <w:szCs w:val="22"/>
                <w:rtl/>
              </w:rPr>
              <w:t>1.0</w:t>
            </w:r>
          </w:p>
        </w:tc>
        <w:tc>
          <w:tcPr>
            <w:tcW w:w="492" w:type="pct"/>
            <w:tcBorders>
              <w:top w:val="nil"/>
              <w:left w:val="nil"/>
              <w:bottom w:val="nil"/>
              <w:right w:val="nil"/>
            </w:tcBorders>
            <w:shd w:val="clear" w:color="auto" w:fill="FFFFFF" w:themeFill="background1"/>
            <w:vAlign w:val="bottom"/>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8.0</w:t>
            </w:r>
          </w:p>
        </w:tc>
      </w:tr>
      <w:tr w:rsidR="00B307B4" w:rsidTr="002120E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rsidR="002120E9" w:rsidRPr="002120E9" w:rsidRDefault="004C5BF6" w:rsidP="002120E9">
            <w:pPr>
              <w:spacing w:after="0"/>
              <w:rPr>
                <w:rFonts w:eastAsia="Times New Roman"/>
              </w:rPr>
            </w:pPr>
            <w:r w:rsidRPr="002120E9">
              <w:rPr>
                <w:rFonts w:eastAsia="Times New Roman"/>
                <w:rtl/>
                <w:lang w:bidi="ar-SA"/>
              </w:rPr>
              <w:t>الاستهلاك العام (باستثناء واردات الدفاع)</w:t>
            </w:r>
          </w:p>
        </w:tc>
        <w:tc>
          <w:tcPr>
            <w:tcW w:w="376" w:type="pct"/>
            <w:tcBorders>
              <w:top w:val="nil"/>
              <w:left w:val="nil"/>
              <w:bottom w:val="nil"/>
              <w:right w:val="nil"/>
            </w:tcBorders>
            <w:shd w:val="clear" w:color="auto" w:fill="FFFFFF" w:themeFill="background1"/>
          </w:tcPr>
          <w:p w:rsidR="002120E9" w:rsidRPr="002120E9" w:rsidRDefault="004C5BF6" w:rsidP="002120E9">
            <w:pPr>
              <w:spacing w:after="0"/>
              <w:rPr>
                <w:rFonts w:eastAsia="Times New Roman"/>
                <w:b/>
                <w:bCs/>
                <w:color w:val="000000"/>
                <w:rtl/>
              </w:rPr>
            </w:pPr>
            <w:r w:rsidRPr="002120E9">
              <w:rPr>
                <w:rFonts w:eastAsia="Times New Roman"/>
                <w:b/>
                <w:bCs/>
                <w:color w:val="000000"/>
                <w:rtl/>
              </w:rPr>
              <w:t>9.4</w:t>
            </w:r>
          </w:p>
        </w:tc>
        <w:tc>
          <w:tcPr>
            <w:tcW w:w="484"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2.0</w:t>
            </w:r>
          </w:p>
        </w:tc>
        <w:tc>
          <w:tcPr>
            <w:tcW w:w="498"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2.5</w:t>
            </w:r>
          </w:p>
        </w:tc>
        <w:tc>
          <w:tcPr>
            <w:tcW w:w="431"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eastAsia="Calibri" w:hAnsi="Calibri" w:cs="Calibri"/>
                <w:b/>
                <w:bCs/>
                <w:color w:val="000000"/>
                <w:kern w:val="24"/>
                <w:sz w:val="22"/>
                <w:szCs w:val="22"/>
                <w:rtl/>
              </w:rPr>
              <w:t>1.0</w:t>
            </w:r>
          </w:p>
        </w:tc>
        <w:tc>
          <w:tcPr>
            <w:tcW w:w="465"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2.0</w:t>
            </w:r>
          </w:p>
        </w:tc>
        <w:tc>
          <w:tcPr>
            <w:tcW w:w="492" w:type="pct"/>
            <w:tcBorders>
              <w:top w:val="nil"/>
              <w:left w:val="nil"/>
              <w:bottom w:val="nil"/>
              <w:right w:val="nil"/>
            </w:tcBorders>
            <w:shd w:val="clear" w:color="auto" w:fill="FFFFFF" w:themeFill="background1"/>
            <w:vAlign w:val="bottom"/>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3.5</w:t>
            </w:r>
          </w:p>
        </w:tc>
      </w:tr>
      <w:tr w:rsidR="00B307B4" w:rsidTr="002120E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rsidR="002120E9" w:rsidRPr="002120E9" w:rsidRDefault="004C5BF6" w:rsidP="002120E9">
            <w:pPr>
              <w:spacing w:after="0"/>
              <w:rPr>
                <w:rFonts w:eastAsia="Times New Roman"/>
              </w:rPr>
            </w:pPr>
            <w:r w:rsidRPr="002120E9">
              <w:rPr>
                <w:rFonts w:eastAsia="Times New Roman"/>
                <w:rtl/>
                <w:lang w:bidi="ar-SA"/>
              </w:rPr>
              <w:t xml:space="preserve">الصادرات (باستثناء الماس </w:t>
            </w:r>
            <w:r w:rsidRPr="002120E9">
              <w:rPr>
                <w:rFonts w:eastAsia="Times New Roman"/>
                <w:rtl/>
                <w:lang w:bidi="ar-SA"/>
              </w:rPr>
              <w:t>والشركات الناشئة)</w:t>
            </w:r>
          </w:p>
        </w:tc>
        <w:tc>
          <w:tcPr>
            <w:tcW w:w="376" w:type="pct"/>
            <w:tcBorders>
              <w:top w:val="nil"/>
              <w:left w:val="nil"/>
              <w:bottom w:val="nil"/>
              <w:right w:val="nil"/>
            </w:tcBorders>
            <w:shd w:val="clear" w:color="auto" w:fill="FFFFFF" w:themeFill="background1"/>
          </w:tcPr>
          <w:p w:rsidR="002120E9" w:rsidRPr="002120E9" w:rsidRDefault="004C5BF6" w:rsidP="002120E9">
            <w:pPr>
              <w:spacing w:after="0"/>
              <w:rPr>
                <w:rFonts w:eastAsia="Times New Roman"/>
                <w:b/>
                <w:bCs/>
                <w:color w:val="000000"/>
                <w:rtl/>
              </w:rPr>
            </w:pPr>
            <w:r w:rsidRPr="002120E9">
              <w:rPr>
                <w:rFonts w:eastAsia="Times New Roman"/>
                <w:b/>
                <w:bCs/>
                <w:color w:val="000000"/>
                <w:rtl/>
              </w:rPr>
              <w:t>4.4-</w:t>
            </w:r>
          </w:p>
        </w:tc>
        <w:tc>
          <w:tcPr>
            <w:tcW w:w="484"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4.5</w:t>
            </w:r>
          </w:p>
        </w:tc>
        <w:tc>
          <w:tcPr>
            <w:tcW w:w="498"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bidi/>
              <w:spacing w:before="0" w:beforeAutospacing="0" w:after="0" w:afterAutospacing="0" w:line="276" w:lineRule="auto"/>
              <w:rPr>
                <w:rFonts w:ascii="Calibri" w:hAnsi="Calibri" w:cs="Calibri"/>
                <w:sz w:val="22"/>
                <w:szCs w:val="22"/>
                <w:rtl/>
              </w:rPr>
            </w:pPr>
            <w:r w:rsidRPr="002120E9">
              <w:rPr>
                <w:rFonts w:ascii="Calibri" w:hAnsi="Calibri" w:cs="Calibri"/>
                <w:color w:val="1F497D"/>
                <w:kern w:val="24"/>
                <w:sz w:val="22"/>
                <w:szCs w:val="22"/>
                <w:rtl/>
              </w:rPr>
              <w:t>1.0</w:t>
            </w:r>
          </w:p>
        </w:tc>
        <w:tc>
          <w:tcPr>
            <w:tcW w:w="431"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bidi/>
              <w:spacing w:before="0" w:beforeAutospacing="0" w:after="0" w:afterAutospacing="0" w:line="276" w:lineRule="auto"/>
              <w:rPr>
                <w:rFonts w:ascii="Calibri" w:hAnsi="Calibri" w:cs="Calibri"/>
                <w:sz w:val="22"/>
                <w:szCs w:val="22"/>
                <w:rtl/>
              </w:rPr>
            </w:pPr>
            <w:r w:rsidRPr="002120E9">
              <w:rPr>
                <w:rFonts w:ascii="Calibri" w:eastAsia="Calibri" w:hAnsi="Calibri" w:cs="Calibri"/>
                <w:b/>
                <w:bCs/>
                <w:color w:val="000000"/>
                <w:kern w:val="24"/>
                <w:sz w:val="22"/>
                <w:szCs w:val="22"/>
                <w:rtl/>
              </w:rPr>
              <w:t>4.5</w:t>
            </w:r>
          </w:p>
        </w:tc>
        <w:tc>
          <w:tcPr>
            <w:tcW w:w="465"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bidi/>
              <w:spacing w:before="0" w:beforeAutospacing="0" w:after="0" w:afterAutospacing="0" w:line="276" w:lineRule="auto"/>
              <w:rPr>
                <w:rFonts w:ascii="Calibri" w:hAnsi="Calibri" w:cs="Calibri"/>
                <w:sz w:val="22"/>
                <w:szCs w:val="22"/>
                <w:rtl/>
              </w:rPr>
            </w:pPr>
            <w:r w:rsidRPr="002120E9">
              <w:rPr>
                <w:rFonts w:ascii="Calibri" w:hAnsi="Calibri" w:cs="Calibri"/>
                <w:color w:val="1F497D"/>
                <w:kern w:val="24"/>
                <w:sz w:val="22"/>
                <w:szCs w:val="22"/>
                <w:rtl/>
              </w:rPr>
              <w:t>1.0</w:t>
            </w:r>
          </w:p>
        </w:tc>
        <w:tc>
          <w:tcPr>
            <w:tcW w:w="492" w:type="pct"/>
            <w:tcBorders>
              <w:top w:val="nil"/>
              <w:left w:val="nil"/>
              <w:bottom w:val="nil"/>
              <w:right w:val="nil"/>
            </w:tcBorders>
            <w:shd w:val="clear" w:color="auto" w:fill="FFFFFF" w:themeFill="background1"/>
            <w:vAlign w:val="bottom"/>
          </w:tcPr>
          <w:p w:rsidR="002120E9" w:rsidRPr="002120E9" w:rsidRDefault="004C5BF6" w:rsidP="002120E9">
            <w:pPr>
              <w:pStyle w:val="NormalWeb"/>
              <w:bidi/>
              <w:spacing w:before="0" w:beforeAutospacing="0" w:after="0" w:afterAutospacing="0" w:line="276" w:lineRule="auto"/>
              <w:rPr>
                <w:rFonts w:ascii="Calibri" w:hAnsi="Calibri" w:cs="Calibri"/>
                <w:sz w:val="22"/>
                <w:szCs w:val="22"/>
                <w:rtl/>
              </w:rPr>
            </w:pPr>
            <w:r w:rsidRPr="002120E9">
              <w:rPr>
                <w:rFonts w:ascii="Calibri" w:hAnsi="Calibri" w:cs="Calibri"/>
                <w:b/>
                <w:bCs/>
                <w:color w:val="000000"/>
                <w:kern w:val="24"/>
                <w:sz w:val="22"/>
                <w:szCs w:val="22"/>
                <w:rtl/>
              </w:rPr>
              <w:t>5.0</w:t>
            </w:r>
          </w:p>
        </w:tc>
      </w:tr>
      <w:tr w:rsidR="00B307B4" w:rsidTr="002120E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rsidR="002120E9" w:rsidRPr="002120E9" w:rsidRDefault="004C5BF6" w:rsidP="002120E9">
            <w:pPr>
              <w:spacing w:after="0"/>
              <w:rPr>
                <w:rFonts w:eastAsia="Times New Roman"/>
              </w:rPr>
            </w:pPr>
            <w:r w:rsidRPr="002120E9">
              <w:rPr>
                <w:rFonts w:eastAsia="Times New Roman"/>
                <w:rtl/>
                <w:lang w:bidi="ar-SA"/>
              </w:rPr>
              <w:t>الواردات المدنية (باستثناء الماس والسفن والطائرات)</w:t>
            </w:r>
          </w:p>
        </w:tc>
        <w:tc>
          <w:tcPr>
            <w:tcW w:w="376" w:type="pct"/>
            <w:tcBorders>
              <w:top w:val="nil"/>
              <w:left w:val="nil"/>
              <w:bottom w:val="single" w:sz="4" w:space="0" w:color="1F497D"/>
              <w:right w:val="nil"/>
            </w:tcBorders>
            <w:shd w:val="clear" w:color="auto" w:fill="FFFFFF" w:themeFill="background1"/>
          </w:tcPr>
          <w:p w:rsidR="002120E9" w:rsidRPr="002120E9" w:rsidRDefault="004C5BF6" w:rsidP="002120E9">
            <w:pPr>
              <w:spacing w:after="0"/>
              <w:rPr>
                <w:rFonts w:eastAsia="Times New Roman"/>
                <w:b/>
                <w:bCs/>
                <w:color w:val="000000"/>
                <w:rtl/>
              </w:rPr>
            </w:pPr>
            <w:r w:rsidRPr="002120E9">
              <w:rPr>
                <w:rFonts w:eastAsia="Times New Roman"/>
                <w:b/>
                <w:bCs/>
                <w:color w:val="000000"/>
                <w:rtl/>
              </w:rPr>
              <w:t>6.9-</w:t>
            </w:r>
          </w:p>
        </w:tc>
        <w:tc>
          <w:tcPr>
            <w:tcW w:w="484"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10.0</w:t>
            </w:r>
          </w:p>
        </w:tc>
        <w:tc>
          <w:tcPr>
            <w:tcW w:w="498"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1.5</w:t>
            </w:r>
          </w:p>
        </w:tc>
        <w:tc>
          <w:tcPr>
            <w:tcW w:w="431"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8.0</w:t>
            </w:r>
          </w:p>
        </w:tc>
        <w:tc>
          <w:tcPr>
            <w:tcW w:w="465"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0.5-</w:t>
            </w:r>
          </w:p>
        </w:tc>
        <w:tc>
          <w:tcPr>
            <w:tcW w:w="492" w:type="pct"/>
            <w:tcBorders>
              <w:top w:val="nil"/>
              <w:left w:val="nil"/>
              <w:bottom w:val="single" w:sz="4" w:space="0" w:color="1F497D"/>
              <w:right w:val="nil"/>
            </w:tcBorders>
            <w:shd w:val="clear" w:color="auto" w:fill="FFFFFF" w:themeFill="background1"/>
            <w:vAlign w:val="bottom"/>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7.0</w:t>
            </w:r>
          </w:p>
        </w:tc>
      </w:tr>
      <w:tr w:rsidR="00B307B4" w:rsidTr="002120E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rsidR="00DE7759" w:rsidRPr="002120E9" w:rsidRDefault="004C5BF6" w:rsidP="00DE7759">
            <w:pPr>
              <w:spacing w:after="0"/>
              <w:rPr>
                <w:rFonts w:eastAsia="Times New Roman"/>
              </w:rPr>
            </w:pPr>
            <w:r w:rsidRPr="002120E9">
              <w:rPr>
                <w:rFonts w:eastAsia="Times New Roman"/>
                <w:rtl/>
                <w:lang w:bidi="ar-SA"/>
              </w:rPr>
              <w:t xml:space="preserve">معدل البطالة الواسع (للفئة العمرية </w:t>
            </w:r>
            <w:r w:rsidRPr="002120E9">
              <w:rPr>
                <w:rFonts w:eastAsia="Times New Roman"/>
                <w:rtl/>
              </w:rPr>
              <w:t>25–64)</w:t>
            </w:r>
            <w:r w:rsidR="001C161C" w:rsidRPr="002120E9">
              <w:rPr>
                <w:rFonts w:eastAsia="Times New Roman"/>
                <w:vertAlign w:val="superscript"/>
                <w:rtl/>
              </w:rPr>
              <w:t>2</w:t>
            </w:r>
          </w:p>
        </w:tc>
        <w:tc>
          <w:tcPr>
            <w:tcW w:w="376" w:type="pct"/>
            <w:tcBorders>
              <w:top w:val="nil"/>
              <w:left w:val="nil"/>
              <w:bottom w:val="nil"/>
              <w:right w:val="nil"/>
            </w:tcBorders>
            <w:shd w:val="clear" w:color="auto" w:fill="FFFFFF" w:themeFill="background1"/>
          </w:tcPr>
          <w:p w:rsidR="00DE7759" w:rsidRPr="002120E9" w:rsidRDefault="004C5BF6" w:rsidP="00DE7759">
            <w:pPr>
              <w:spacing w:after="0"/>
              <w:rPr>
                <w:rFonts w:eastAsia="Times New Roman"/>
                <w:b/>
                <w:bCs/>
                <w:color w:val="000000"/>
                <w:rtl/>
              </w:rPr>
            </w:pPr>
            <w:r w:rsidRPr="002120E9">
              <w:rPr>
                <w:rFonts w:eastAsia="Times New Roman"/>
                <w:b/>
                <w:bCs/>
                <w:color w:val="000000"/>
                <w:rtl/>
              </w:rPr>
              <w:t>3.5</w:t>
            </w:r>
          </w:p>
        </w:tc>
        <w:tc>
          <w:tcPr>
            <w:tcW w:w="484" w:type="pct"/>
            <w:tcBorders>
              <w:top w:val="nil"/>
              <w:left w:val="nil"/>
              <w:bottom w:val="nil"/>
              <w:right w:val="nil"/>
            </w:tcBorders>
            <w:shd w:val="clear" w:color="auto" w:fill="FFFFFF" w:themeFill="background1"/>
            <w:vAlign w:val="center"/>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Pr>
              <w:t>3.4</w:t>
            </w:r>
          </w:p>
        </w:tc>
        <w:tc>
          <w:tcPr>
            <w:tcW w:w="498" w:type="pct"/>
            <w:tcBorders>
              <w:top w:val="nil"/>
              <w:left w:val="nil"/>
              <w:bottom w:val="nil"/>
              <w:right w:val="nil"/>
            </w:tcBorders>
            <w:shd w:val="clear" w:color="auto" w:fill="FFFFFF" w:themeFill="background1"/>
            <w:vAlign w:val="center"/>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0.0</w:t>
            </w:r>
          </w:p>
        </w:tc>
        <w:tc>
          <w:tcPr>
            <w:tcW w:w="431" w:type="pct"/>
            <w:tcBorders>
              <w:top w:val="nil"/>
              <w:left w:val="nil"/>
              <w:bottom w:val="nil"/>
              <w:right w:val="nil"/>
            </w:tcBorders>
            <w:shd w:val="clear" w:color="auto" w:fill="FFFFFF" w:themeFill="background1"/>
            <w:vAlign w:val="center"/>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tl/>
              </w:rPr>
              <w:t>3.3</w:t>
            </w:r>
          </w:p>
        </w:tc>
        <w:tc>
          <w:tcPr>
            <w:tcW w:w="465" w:type="pct"/>
            <w:tcBorders>
              <w:top w:val="nil"/>
              <w:left w:val="nil"/>
              <w:bottom w:val="nil"/>
              <w:right w:val="nil"/>
            </w:tcBorders>
            <w:shd w:val="clear" w:color="auto" w:fill="FFFFFF" w:themeFill="background1"/>
            <w:vAlign w:val="center"/>
            <w:hideMark/>
          </w:tcPr>
          <w:p w:rsidR="00DE7759" w:rsidRPr="002120E9" w:rsidRDefault="004C5BF6" w:rsidP="00495403">
            <w:pPr>
              <w:pStyle w:val="NormalWeb"/>
              <w:bidi/>
              <w:spacing w:before="0" w:beforeAutospacing="0" w:after="0" w:afterAutospacing="0" w:line="276" w:lineRule="auto"/>
              <w:rPr>
                <w:rFonts w:ascii="Calibri" w:hAnsi="Calibri" w:cs="Calibri"/>
                <w:sz w:val="22"/>
                <w:szCs w:val="22"/>
                <w:rtl/>
              </w:rPr>
            </w:pPr>
            <w:r w:rsidRPr="002120E9">
              <w:rPr>
                <w:rFonts w:ascii="Calibri" w:hAnsi="Calibri" w:cs="Calibri"/>
                <w:color w:val="1F497D"/>
                <w:kern w:val="24"/>
                <w:sz w:val="22"/>
                <w:szCs w:val="22"/>
                <w:rtl/>
              </w:rPr>
              <w:t>0.1</w:t>
            </w:r>
            <w:r w:rsidR="00495403" w:rsidRPr="002120E9">
              <w:rPr>
                <w:rFonts w:ascii="Calibri" w:hAnsi="Calibri" w:cs="Calibri"/>
                <w:color w:val="1F497D"/>
                <w:kern w:val="24"/>
                <w:sz w:val="22"/>
                <w:szCs w:val="22"/>
                <w:rtl/>
              </w:rPr>
              <w:t>-</w:t>
            </w:r>
          </w:p>
        </w:tc>
        <w:tc>
          <w:tcPr>
            <w:tcW w:w="492" w:type="pct"/>
            <w:tcBorders>
              <w:top w:val="nil"/>
              <w:left w:val="nil"/>
              <w:bottom w:val="nil"/>
              <w:right w:val="nil"/>
            </w:tcBorders>
            <w:shd w:val="clear" w:color="auto" w:fill="FFFFFF" w:themeFill="background1"/>
            <w:vAlign w:val="center"/>
          </w:tcPr>
          <w:p w:rsidR="00DE7759" w:rsidRPr="002120E9" w:rsidRDefault="004C5BF6" w:rsidP="00C56980">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tl/>
              </w:rPr>
              <w:t>3.5</w:t>
            </w:r>
          </w:p>
        </w:tc>
      </w:tr>
      <w:tr w:rsidR="00B307B4" w:rsidTr="002120E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rsidR="00DE7759" w:rsidRPr="002120E9" w:rsidRDefault="004C5BF6" w:rsidP="00DE7759">
            <w:pPr>
              <w:spacing w:after="0"/>
              <w:rPr>
                <w:rFonts w:eastAsia="Times New Roman"/>
              </w:rPr>
            </w:pPr>
            <w:r w:rsidRPr="002120E9">
              <w:rPr>
                <w:rFonts w:eastAsia="Times New Roman"/>
                <w:rtl/>
                <w:lang w:bidi="ar-SA"/>
              </w:rPr>
              <w:t xml:space="preserve">معدل التوظيف المُعدَّل (للفئة العمرية </w:t>
            </w:r>
            <w:r w:rsidRPr="002120E9">
              <w:rPr>
                <w:rFonts w:eastAsia="Times New Roman"/>
                <w:rtl/>
              </w:rPr>
              <w:t>25–64)</w:t>
            </w:r>
            <w:r w:rsidR="001C161C" w:rsidRPr="002120E9">
              <w:rPr>
                <w:rFonts w:eastAsia="Times New Roman"/>
                <w:vertAlign w:val="superscript"/>
                <w:rtl/>
              </w:rPr>
              <w:t>2</w:t>
            </w:r>
          </w:p>
        </w:tc>
        <w:tc>
          <w:tcPr>
            <w:tcW w:w="376" w:type="pct"/>
            <w:tcBorders>
              <w:top w:val="nil"/>
              <w:left w:val="nil"/>
              <w:bottom w:val="single" w:sz="4" w:space="0" w:color="1F497D"/>
              <w:right w:val="nil"/>
            </w:tcBorders>
            <w:shd w:val="clear" w:color="auto" w:fill="FFFFFF" w:themeFill="background1"/>
          </w:tcPr>
          <w:p w:rsidR="00DE7759" w:rsidRPr="002120E9" w:rsidRDefault="004C5BF6" w:rsidP="00DE7759">
            <w:pPr>
              <w:spacing w:after="0"/>
              <w:rPr>
                <w:rFonts w:eastAsia="Times New Roman"/>
                <w:b/>
                <w:bCs/>
                <w:color w:val="000000"/>
              </w:rPr>
            </w:pPr>
            <w:r w:rsidRPr="002120E9">
              <w:rPr>
                <w:rFonts w:eastAsia="Times New Roman"/>
                <w:b/>
                <w:bCs/>
                <w:color w:val="000000"/>
                <w:rtl/>
              </w:rPr>
              <w:t>77.8</w:t>
            </w:r>
          </w:p>
        </w:tc>
        <w:tc>
          <w:tcPr>
            <w:tcW w:w="484" w:type="pct"/>
            <w:tcBorders>
              <w:top w:val="nil"/>
              <w:left w:val="nil"/>
              <w:bottom w:val="single" w:sz="4" w:space="0" w:color="1F497D"/>
              <w:right w:val="nil"/>
            </w:tcBorders>
            <w:shd w:val="clear" w:color="auto" w:fill="FFFFFF" w:themeFill="background1"/>
            <w:noWrap/>
            <w:vAlign w:val="bottom"/>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kern w:val="24"/>
                <w:sz w:val="22"/>
                <w:szCs w:val="22"/>
              </w:rPr>
              <w:t>78.2</w:t>
            </w:r>
          </w:p>
        </w:tc>
        <w:tc>
          <w:tcPr>
            <w:tcW w:w="498" w:type="pct"/>
            <w:tcBorders>
              <w:top w:val="nil"/>
              <w:left w:val="nil"/>
              <w:bottom w:val="single" w:sz="4" w:space="0" w:color="1F497D"/>
              <w:right w:val="nil"/>
            </w:tcBorders>
            <w:shd w:val="clear" w:color="auto" w:fill="FFFFFF" w:themeFill="background1"/>
            <w:noWrap/>
            <w:vAlign w:val="bottom"/>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Pr>
              <w:t>-0.2</w:t>
            </w:r>
          </w:p>
        </w:tc>
        <w:tc>
          <w:tcPr>
            <w:tcW w:w="431" w:type="pct"/>
            <w:tcBorders>
              <w:top w:val="nil"/>
              <w:left w:val="nil"/>
              <w:bottom w:val="single" w:sz="4" w:space="0" w:color="1F497D"/>
              <w:right w:val="nil"/>
            </w:tcBorders>
            <w:shd w:val="clear" w:color="auto" w:fill="FFFFFF" w:themeFill="background1"/>
            <w:noWrap/>
            <w:vAlign w:val="bottom"/>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tl/>
              </w:rPr>
              <w:t>80.1</w:t>
            </w:r>
          </w:p>
        </w:tc>
        <w:tc>
          <w:tcPr>
            <w:tcW w:w="465" w:type="pct"/>
            <w:tcBorders>
              <w:top w:val="nil"/>
              <w:left w:val="nil"/>
              <w:bottom w:val="single" w:sz="4" w:space="0" w:color="1F497D"/>
              <w:right w:val="nil"/>
            </w:tcBorders>
            <w:shd w:val="clear" w:color="auto" w:fill="FFFFFF" w:themeFill="background1"/>
            <w:noWrap/>
            <w:vAlign w:val="bottom"/>
            <w:hideMark/>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Pr>
              <w:t>1.1</w:t>
            </w:r>
          </w:p>
        </w:tc>
        <w:tc>
          <w:tcPr>
            <w:tcW w:w="492" w:type="pct"/>
            <w:tcBorders>
              <w:top w:val="nil"/>
              <w:left w:val="nil"/>
              <w:bottom w:val="single" w:sz="4" w:space="0" w:color="1F497D"/>
              <w:right w:val="nil"/>
            </w:tcBorders>
            <w:shd w:val="clear" w:color="auto" w:fill="FFFFFF" w:themeFill="background1"/>
            <w:vAlign w:val="bottom"/>
          </w:tcPr>
          <w:p w:rsidR="00DE7759" w:rsidRPr="002120E9" w:rsidRDefault="004C5BF6" w:rsidP="00DE775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Pr>
              <w:t>81.1</w:t>
            </w:r>
          </w:p>
        </w:tc>
      </w:tr>
      <w:tr w:rsidR="00B307B4" w:rsidTr="002120E9">
        <w:trPr>
          <w:gridAfter w:val="1"/>
          <w:wAfter w:w="249" w:type="pct"/>
          <w:trHeight w:val="300"/>
          <w:jc w:val="center"/>
        </w:trPr>
        <w:tc>
          <w:tcPr>
            <w:tcW w:w="2005" w:type="pct"/>
            <w:gridSpan w:val="2"/>
            <w:tcBorders>
              <w:top w:val="nil"/>
              <w:left w:val="nil"/>
              <w:bottom w:val="nil"/>
              <w:right w:val="nil"/>
            </w:tcBorders>
            <w:shd w:val="clear" w:color="auto" w:fill="FFFFFF" w:themeFill="background1"/>
            <w:vAlign w:val="center"/>
            <w:hideMark/>
          </w:tcPr>
          <w:p w:rsidR="002120E9" w:rsidRPr="002120E9" w:rsidRDefault="004C5BF6" w:rsidP="002120E9">
            <w:pPr>
              <w:spacing w:after="0"/>
              <w:rPr>
                <w:rFonts w:eastAsia="Times New Roman"/>
              </w:rPr>
            </w:pPr>
            <w:r w:rsidRPr="002120E9">
              <w:rPr>
                <w:rFonts w:eastAsia="Times New Roman"/>
                <w:rtl/>
                <w:lang w:bidi="ar-SA"/>
              </w:rPr>
              <w:t>العجز الحكومي (كنسبة مئوية من الناتج المحلي الإجمالي)</w:t>
            </w:r>
          </w:p>
        </w:tc>
        <w:tc>
          <w:tcPr>
            <w:tcW w:w="376" w:type="pct"/>
            <w:tcBorders>
              <w:top w:val="nil"/>
              <w:left w:val="nil"/>
              <w:bottom w:val="nil"/>
              <w:right w:val="nil"/>
            </w:tcBorders>
            <w:shd w:val="clear" w:color="auto" w:fill="FFFFFF" w:themeFill="background1"/>
          </w:tcPr>
          <w:p w:rsidR="002120E9" w:rsidRPr="002120E9" w:rsidRDefault="004C5BF6" w:rsidP="002120E9">
            <w:pPr>
              <w:spacing w:after="0"/>
              <w:rPr>
                <w:rFonts w:eastAsia="Times New Roman"/>
                <w:b/>
                <w:bCs/>
                <w:color w:val="000000" w:themeColor="text1"/>
                <w:rtl/>
              </w:rPr>
            </w:pPr>
            <w:r w:rsidRPr="002120E9">
              <w:rPr>
                <w:rFonts w:eastAsia="Times New Roman"/>
                <w:b/>
                <w:bCs/>
                <w:color w:val="000000" w:themeColor="text1"/>
                <w:rtl/>
              </w:rPr>
              <w:t>6.8</w:t>
            </w:r>
          </w:p>
        </w:tc>
        <w:tc>
          <w:tcPr>
            <w:tcW w:w="484"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tl/>
              </w:rPr>
              <w:t>4.8</w:t>
            </w:r>
          </w:p>
        </w:tc>
        <w:tc>
          <w:tcPr>
            <w:tcW w:w="498" w:type="pct"/>
            <w:tcBorders>
              <w:top w:val="nil"/>
              <w:left w:val="nil"/>
              <w:bottom w:val="nil"/>
              <w:right w:val="nil"/>
            </w:tcBorders>
            <w:shd w:val="clear" w:color="auto" w:fill="FFFFFF" w:themeFill="background1"/>
            <w:noWrap/>
            <w:vAlign w:val="center"/>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0.3-</w:t>
            </w:r>
          </w:p>
        </w:tc>
        <w:tc>
          <w:tcPr>
            <w:tcW w:w="431" w:type="pct"/>
            <w:tcBorders>
              <w:top w:val="nil"/>
              <w:left w:val="nil"/>
              <w:bottom w:val="nil"/>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tl/>
              </w:rPr>
              <w:t>3.9</w:t>
            </w:r>
          </w:p>
        </w:tc>
        <w:tc>
          <w:tcPr>
            <w:tcW w:w="465" w:type="pct"/>
            <w:tcBorders>
              <w:top w:val="nil"/>
              <w:left w:val="nil"/>
              <w:bottom w:val="nil"/>
              <w:right w:val="nil"/>
            </w:tcBorders>
            <w:shd w:val="clear" w:color="auto" w:fill="FFFFFF" w:themeFill="background1"/>
            <w:noWrap/>
            <w:vAlign w:val="center"/>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0.4-</w:t>
            </w:r>
          </w:p>
        </w:tc>
        <w:tc>
          <w:tcPr>
            <w:tcW w:w="492" w:type="pct"/>
            <w:tcBorders>
              <w:top w:val="nil"/>
              <w:left w:val="nil"/>
              <w:bottom w:val="nil"/>
              <w:right w:val="nil"/>
            </w:tcBorders>
            <w:shd w:val="clear" w:color="auto" w:fill="FFFFFF" w:themeFill="background1"/>
            <w:vAlign w:val="bottom"/>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tl/>
              </w:rPr>
              <w:t>3.6</w:t>
            </w:r>
          </w:p>
        </w:tc>
      </w:tr>
      <w:tr w:rsidR="00B307B4" w:rsidTr="002120E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rsidR="002120E9" w:rsidRPr="002120E9" w:rsidRDefault="004C5BF6" w:rsidP="002120E9">
            <w:pPr>
              <w:spacing w:after="0"/>
              <w:rPr>
                <w:rFonts w:eastAsia="Times New Roman"/>
              </w:rPr>
            </w:pPr>
            <w:r w:rsidRPr="002120E9">
              <w:rPr>
                <w:rFonts w:eastAsia="Times New Roman"/>
                <w:rtl/>
                <w:lang w:bidi="ar-SA"/>
              </w:rPr>
              <w:t>نسبة الدين إلى الناتج المحلي الإجمالي (كنسبة مئوية من الناتج المحلي الإجمالي)</w:t>
            </w:r>
          </w:p>
        </w:tc>
        <w:tc>
          <w:tcPr>
            <w:tcW w:w="376" w:type="pct"/>
            <w:tcBorders>
              <w:top w:val="nil"/>
              <w:left w:val="nil"/>
              <w:bottom w:val="single" w:sz="4" w:space="0" w:color="1F497D"/>
              <w:right w:val="nil"/>
            </w:tcBorders>
            <w:shd w:val="clear" w:color="auto" w:fill="FFFFFF" w:themeFill="background1"/>
          </w:tcPr>
          <w:p w:rsidR="002120E9" w:rsidRPr="002120E9" w:rsidRDefault="004C5BF6" w:rsidP="002120E9">
            <w:pPr>
              <w:spacing w:after="0"/>
              <w:rPr>
                <w:rFonts w:eastAsia="Times New Roman"/>
                <w:b/>
                <w:bCs/>
                <w:color w:val="000000" w:themeColor="text1"/>
                <w:rtl/>
              </w:rPr>
            </w:pPr>
            <w:r w:rsidRPr="002120E9">
              <w:rPr>
                <w:rFonts w:eastAsia="Times New Roman"/>
                <w:b/>
                <w:bCs/>
                <w:color w:val="000000" w:themeColor="text1"/>
                <w:rtl/>
              </w:rPr>
              <w:t>67.6</w:t>
            </w:r>
          </w:p>
        </w:tc>
        <w:tc>
          <w:tcPr>
            <w:tcW w:w="484"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tl/>
              </w:rPr>
              <w:t>68.5</w:t>
            </w:r>
          </w:p>
        </w:tc>
        <w:tc>
          <w:tcPr>
            <w:tcW w:w="498"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Pr>
            </w:pPr>
            <w:r w:rsidRPr="002120E9">
              <w:rPr>
                <w:rFonts w:ascii="Calibri" w:hAnsi="Calibri" w:cs="Calibri"/>
                <w:color w:val="1F497D"/>
                <w:kern w:val="24"/>
                <w:sz w:val="22"/>
                <w:szCs w:val="22"/>
                <w:rtl/>
              </w:rPr>
              <w:t>2.5-</w:t>
            </w:r>
          </w:p>
        </w:tc>
        <w:tc>
          <w:tcPr>
            <w:tcW w:w="431"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tl/>
              </w:rPr>
              <w:t>68.5</w:t>
            </w:r>
          </w:p>
        </w:tc>
        <w:tc>
          <w:tcPr>
            <w:tcW w:w="465"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2.5-</w:t>
            </w:r>
          </w:p>
        </w:tc>
        <w:tc>
          <w:tcPr>
            <w:tcW w:w="492" w:type="pct"/>
            <w:tcBorders>
              <w:top w:val="nil"/>
              <w:left w:val="nil"/>
              <w:bottom w:val="single" w:sz="4" w:space="0" w:color="1F497D"/>
              <w:right w:val="nil"/>
            </w:tcBorders>
            <w:shd w:val="clear" w:color="auto" w:fill="FFFFFF" w:themeFill="background1"/>
            <w:vAlign w:val="bottom"/>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Pr>
            </w:pPr>
            <w:r w:rsidRPr="002120E9">
              <w:rPr>
                <w:rFonts w:ascii="Calibri" w:hAnsi="Calibri" w:cs="Calibri"/>
                <w:b/>
                <w:bCs/>
                <w:color w:val="000000" w:themeColor="text1"/>
                <w:kern w:val="24"/>
                <w:sz w:val="22"/>
                <w:szCs w:val="22"/>
                <w:rtl/>
              </w:rPr>
              <w:t>68.5</w:t>
            </w:r>
          </w:p>
        </w:tc>
      </w:tr>
      <w:tr w:rsidR="00B307B4" w:rsidTr="002120E9">
        <w:trPr>
          <w:gridAfter w:val="1"/>
          <w:wAfter w:w="249" w:type="pct"/>
          <w:trHeight w:val="300"/>
          <w:jc w:val="center"/>
        </w:trPr>
        <w:tc>
          <w:tcPr>
            <w:tcW w:w="2005" w:type="pct"/>
            <w:gridSpan w:val="2"/>
            <w:tcBorders>
              <w:top w:val="nil"/>
              <w:left w:val="nil"/>
              <w:bottom w:val="single" w:sz="4" w:space="0" w:color="1F497D"/>
              <w:right w:val="nil"/>
            </w:tcBorders>
            <w:shd w:val="clear" w:color="auto" w:fill="FFFFFF" w:themeFill="background1"/>
            <w:vAlign w:val="center"/>
            <w:hideMark/>
          </w:tcPr>
          <w:p w:rsidR="002120E9" w:rsidRPr="002120E9" w:rsidRDefault="004C5BF6" w:rsidP="002120E9">
            <w:pPr>
              <w:spacing w:after="0"/>
              <w:rPr>
                <w:rFonts w:eastAsia="Times New Roman"/>
                <w:color w:val="000000"/>
              </w:rPr>
            </w:pPr>
            <w:r w:rsidRPr="002120E9">
              <w:rPr>
                <w:rFonts w:eastAsia="Times New Roman"/>
                <w:color w:val="000000"/>
                <w:rtl/>
                <w:lang w:bidi="ar-SA"/>
              </w:rPr>
              <w:t>التضخم المالي</w:t>
            </w:r>
            <w:r w:rsidRPr="002120E9">
              <w:rPr>
                <w:rFonts w:eastAsia="Times New Roman"/>
                <w:color w:val="000000"/>
                <w:vertAlign w:val="superscript"/>
                <w:rtl/>
              </w:rPr>
              <w:t xml:space="preserve"> 3</w:t>
            </w:r>
          </w:p>
        </w:tc>
        <w:tc>
          <w:tcPr>
            <w:tcW w:w="376" w:type="pct"/>
            <w:tcBorders>
              <w:top w:val="nil"/>
              <w:left w:val="nil"/>
              <w:bottom w:val="single" w:sz="4" w:space="0" w:color="1F497D"/>
              <w:right w:val="nil"/>
            </w:tcBorders>
            <w:shd w:val="clear" w:color="auto" w:fill="FFFFFF" w:themeFill="background1"/>
          </w:tcPr>
          <w:p w:rsidR="002120E9" w:rsidRPr="002120E9" w:rsidRDefault="004C5BF6" w:rsidP="002120E9">
            <w:pPr>
              <w:spacing w:after="0"/>
              <w:rPr>
                <w:rFonts w:eastAsia="Times New Roman"/>
                <w:b/>
                <w:bCs/>
                <w:color w:val="000000"/>
                <w:rtl/>
              </w:rPr>
            </w:pPr>
            <w:r w:rsidRPr="002120E9">
              <w:rPr>
                <w:rFonts w:eastAsia="Times New Roman"/>
                <w:b/>
                <w:bCs/>
                <w:color w:val="000000"/>
                <w:rtl/>
              </w:rPr>
              <w:t>3.3</w:t>
            </w:r>
          </w:p>
        </w:tc>
        <w:tc>
          <w:tcPr>
            <w:tcW w:w="484"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Pr>
              <w:t>2.5</w:t>
            </w:r>
          </w:p>
        </w:tc>
        <w:tc>
          <w:tcPr>
            <w:tcW w:w="498"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eastAsia="Calibri" w:hAnsi="Calibri" w:cs="Calibri"/>
                <w:color w:val="1F497D"/>
                <w:kern w:val="24"/>
                <w:sz w:val="22"/>
                <w:szCs w:val="22"/>
                <w:rtl/>
              </w:rPr>
              <w:t xml:space="preserve">0.5- </w:t>
            </w:r>
          </w:p>
        </w:tc>
        <w:tc>
          <w:tcPr>
            <w:tcW w:w="431"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Pr>
              <w:t>1.</w:t>
            </w:r>
            <w:r w:rsidRPr="002120E9">
              <w:rPr>
                <w:rFonts w:ascii="Calibri" w:hAnsi="Calibri" w:cs="Calibri"/>
                <w:b/>
                <w:bCs/>
                <w:color w:val="000000" w:themeColor="text1"/>
                <w:kern w:val="24"/>
                <w:sz w:val="22"/>
                <w:szCs w:val="22"/>
                <w:rtl/>
              </w:rPr>
              <w:t>7</w:t>
            </w:r>
          </w:p>
        </w:tc>
        <w:tc>
          <w:tcPr>
            <w:tcW w:w="465" w:type="pct"/>
            <w:tcBorders>
              <w:top w:val="nil"/>
              <w:left w:val="nil"/>
              <w:bottom w:val="single" w:sz="4" w:space="0" w:color="1F497D"/>
              <w:right w:val="nil"/>
            </w:tcBorders>
            <w:shd w:val="clear" w:color="auto" w:fill="FFFFFF" w:themeFill="background1"/>
            <w:noWrap/>
            <w:vAlign w:val="bottom"/>
            <w:hideMark/>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color w:val="1F497D"/>
                <w:kern w:val="24"/>
                <w:sz w:val="22"/>
                <w:szCs w:val="22"/>
                <w:rtl/>
              </w:rPr>
              <w:t>0.5-</w:t>
            </w:r>
          </w:p>
        </w:tc>
        <w:tc>
          <w:tcPr>
            <w:tcW w:w="492" w:type="pct"/>
            <w:tcBorders>
              <w:top w:val="nil"/>
              <w:left w:val="nil"/>
              <w:bottom w:val="single" w:sz="4" w:space="0" w:color="1F497D"/>
              <w:right w:val="nil"/>
            </w:tcBorders>
            <w:shd w:val="clear" w:color="auto" w:fill="FFFFFF" w:themeFill="background1"/>
            <w:vAlign w:val="bottom"/>
          </w:tcPr>
          <w:p w:rsidR="002120E9" w:rsidRPr="002120E9" w:rsidRDefault="004C5BF6" w:rsidP="002120E9">
            <w:pPr>
              <w:pStyle w:val="NormalWeb"/>
              <w:spacing w:before="0" w:beforeAutospacing="0" w:after="0" w:afterAutospacing="0" w:line="276" w:lineRule="auto"/>
              <w:jc w:val="right"/>
              <w:rPr>
                <w:rFonts w:ascii="Calibri" w:hAnsi="Calibri" w:cs="Calibri"/>
                <w:sz w:val="22"/>
                <w:szCs w:val="22"/>
                <w:rtl/>
              </w:rPr>
            </w:pPr>
            <w:r w:rsidRPr="002120E9">
              <w:rPr>
                <w:rFonts w:ascii="Calibri" w:hAnsi="Calibri" w:cs="Calibri"/>
                <w:b/>
                <w:bCs/>
                <w:color w:val="000000" w:themeColor="text1"/>
                <w:kern w:val="24"/>
                <w:sz w:val="22"/>
                <w:szCs w:val="22"/>
                <w:rtl/>
              </w:rPr>
              <w:t>2.0</w:t>
            </w:r>
          </w:p>
        </w:tc>
      </w:tr>
      <w:tr w:rsidR="00B307B4" w:rsidTr="002120E9">
        <w:trPr>
          <w:trHeight w:val="300"/>
          <w:jc w:val="center"/>
        </w:trPr>
        <w:tc>
          <w:tcPr>
            <w:tcW w:w="201" w:type="pct"/>
            <w:tcBorders>
              <w:top w:val="single" w:sz="4" w:space="0" w:color="1F497D"/>
              <w:left w:val="nil"/>
              <w:bottom w:val="nil"/>
              <w:right w:val="nil"/>
            </w:tcBorders>
            <w:shd w:val="clear" w:color="auto" w:fill="FFFFFF" w:themeFill="background1"/>
          </w:tcPr>
          <w:p w:rsidR="002120E9" w:rsidRPr="002120E9" w:rsidRDefault="002120E9" w:rsidP="002120E9">
            <w:pPr>
              <w:spacing w:after="0"/>
              <w:rPr>
                <w:rFonts w:eastAsia="Times New Roman"/>
                <w:color w:val="000000"/>
                <w:sz w:val="20"/>
                <w:szCs w:val="20"/>
                <w:vertAlign w:val="superscript"/>
                <w:rtl/>
              </w:rPr>
            </w:pPr>
          </w:p>
        </w:tc>
        <w:tc>
          <w:tcPr>
            <w:tcW w:w="4799" w:type="pct"/>
            <w:gridSpan w:val="8"/>
            <w:tcBorders>
              <w:top w:val="single" w:sz="4" w:space="0" w:color="1F497D"/>
              <w:left w:val="nil"/>
              <w:bottom w:val="nil"/>
              <w:right w:val="nil"/>
            </w:tcBorders>
            <w:shd w:val="clear" w:color="auto" w:fill="FFFFFF" w:themeFill="background1"/>
            <w:noWrap/>
            <w:vAlign w:val="center"/>
            <w:hideMark/>
          </w:tcPr>
          <w:p w:rsidR="002120E9" w:rsidRPr="002120E9" w:rsidRDefault="004C5BF6" w:rsidP="002120E9">
            <w:pPr>
              <w:pStyle w:val="p1"/>
              <w:bidi/>
              <w:rPr>
                <w:rFonts w:ascii="Calibri" w:hAnsi="Calibri" w:cs="Calibri"/>
                <w:sz w:val="20"/>
                <w:szCs w:val="20"/>
                <w:rtl/>
              </w:rPr>
            </w:pPr>
            <w:r w:rsidRPr="002120E9">
              <w:rPr>
                <w:rFonts w:ascii="Calibri" w:hAnsi="Calibri" w:cs="Calibri"/>
                <w:color w:val="000000"/>
                <w:sz w:val="20"/>
                <w:szCs w:val="20"/>
                <w:vertAlign w:val="superscript"/>
                <w:rtl/>
              </w:rPr>
              <w:t>1</w:t>
            </w:r>
            <w:r w:rsidRPr="002120E9">
              <w:rPr>
                <w:rFonts w:ascii="Calibri" w:hAnsi="Calibri" w:cs="Calibri"/>
                <w:color w:val="000000"/>
                <w:sz w:val="20"/>
                <w:szCs w:val="20"/>
                <w:rtl/>
              </w:rPr>
              <w:t xml:space="preserve"> </w:t>
            </w:r>
            <w:r w:rsidRPr="002120E9">
              <w:rPr>
                <w:rFonts w:ascii="Calibri" w:hAnsi="Calibri" w:cs="Calibri"/>
                <w:sz w:val="20"/>
                <w:szCs w:val="20"/>
                <w:rtl/>
              </w:rPr>
              <w:t xml:space="preserve">تم </w:t>
            </w:r>
            <w:r w:rsidRPr="002120E9">
              <w:rPr>
                <w:rFonts w:ascii="Calibri" w:hAnsi="Calibri" w:cs="Calibri"/>
                <w:sz w:val="20"/>
                <w:szCs w:val="20"/>
                <w:rtl/>
              </w:rPr>
              <w:t>تقريب التوقعات الخاصة بمكوّنات المحاسبة الوطنية وللدَّين العام إلى نصف نقطة مئوية.</w:t>
            </w:r>
          </w:p>
        </w:tc>
      </w:tr>
      <w:tr w:rsidR="00B307B4" w:rsidTr="002120E9">
        <w:trPr>
          <w:trHeight w:val="765"/>
          <w:jc w:val="center"/>
        </w:trPr>
        <w:tc>
          <w:tcPr>
            <w:tcW w:w="201" w:type="pct"/>
            <w:tcBorders>
              <w:top w:val="nil"/>
              <w:left w:val="nil"/>
              <w:bottom w:val="nil"/>
              <w:right w:val="nil"/>
            </w:tcBorders>
            <w:shd w:val="clear" w:color="auto" w:fill="FFFFFF" w:themeFill="background1"/>
          </w:tcPr>
          <w:p w:rsidR="002120E9" w:rsidRPr="002120E9" w:rsidRDefault="002120E9" w:rsidP="002120E9">
            <w:pPr>
              <w:spacing w:after="0"/>
              <w:rPr>
                <w:rFonts w:eastAsia="Times New Roman"/>
                <w:color w:val="000000"/>
                <w:sz w:val="20"/>
                <w:szCs w:val="20"/>
                <w:vertAlign w:val="superscript"/>
                <w:rtl/>
              </w:rPr>
            </w:pPr>
          </w:p>
        </w:tc>
        <w:tc>
          <w:tcPr>
            <w:tcW w:w="4799" w:type="pct"/>
            <w:gridSpan w:val="8"/>
            <w:tcBorders>
              <w:top w:val="nil"/>
              <w:left w:val="nil"/>
              <w:bottom w:val="nil"/>
              <w:right w:val="nil"/>
            </w:tcBorders>
            <w:shd w:val="clear" w:color="auto" w:fill="FFFFFF" w:themeFill="background1"/>
            <w:vAlign w:val="bottom"/>
            <w:hideMark/>
          </w:tcPr>
          <w:p w:rsidR="002120E9" w:rsidRPr="002120E9" w:rsidRDefault="004C5BF6" w:rsidP="002120E9">
            <w:pPr>
              <w:pStyle w:val="p1"/>
              <w:bidi/>
              <w:rPr>
                <w:rFonts w:ascii="Calibri" w:hAnsi="Calibri" w:cs="Calibri"/>
                <w:sz w:val="20"/>
                <w:szCs w:val="20"/>
                <w:rtl/>
                <w:lang w:bidi="he-IL"/>
              </w:rPr>
            </w:pPr>
            <w:r w:rsidRPr="002120E9">
              <w:rPr>
                <w:rFonts w:ascii="Calibri" w:hAnsi="Calibri" w:cs="Calibri"/>
                <w:color w:val="000000"/>
                <w:sz w:val="20"/>
                <w:szCs w:val="20"/>
                <w:vertAlign w:val="superscript"/>
                <w:rtl/>
              </w:rPr>
              <w:t>2</w:t>
            </w:r>
            <w:r w:rsidRPr="002120E9">
              <w:rPr>
                <w:rFonts w:ascii="Calibri" w:hAnsi="Calibri" w:cs="Calibri"/>
                <w:color w:val="000000"/>
                <w:sz w:val="20"/>
                <w:szCs w:val="20"/>
                <w:rtl/>
              </w:rPr>
              <w:t xml:space="preserve"> المتوسط ​​السنوي. وفقاً لتعريف دائرة الاحصاء المركزية، يشمل معدل البطالة الواسع العاطلين عن العمل وفق التعرف المعتاد (من لا يعمل، ويرغب في العمل، ومتاحاً للعمل، ويبحث عن</w:t>
            </w:r>
            <w:r w:rsidRPr="002120E9">
              <w:rPr>
                <w:rFonts w:ascii="Calibri" w:hAnsi="Calibri" w:cs="Calibri"/>
                <w:color w:val="000000"/>
                <w:sz w:val="20"/>
                <w:szCs w:val="20"/>
                <w:rtl/>
              </w:rPr>
              <w:t xml:space="preserve"> عمل) والعاملين المتغيبين مؤقتاً عن وظائفهم لأسباب اقتصادية (بما في ذلك العاملون في إجازة غير مدفوعة). بناء على ذلك، لا يشمل معدل البطالة المُعدّل المتغيبين مؤقتاً لأسباب اقتصادية. </w:t>
            </w:r>
            <w:r w:rsidRPr="002120E9">
              <w:rPr>
                <w:rFonts w:ascii="Calibri" w:hAnsi="Calibri" w:cs="Calibri"/>
                <w:sz w:val="20"/>
                <w:szCs w:val="20"/>
                <w:rtl/>
              </w:rPr>
              <w:t>يعكس معدل البطالة الموسّعة في عام 2025 ارتفاعًا ملحوظًا لكنه مؤقت في البطال</w:t>
            </w:r>
            <w:r w:rsidRPr="002120E9">
              <w:rPr>
                <w:rFonts w:ascii="Calibri" w:hAnsi="Calibri" w:cs="Calibri"/>
                <w:sz w:val="20"/>
                <w:szCs w:val="20"/>
                <w:rtl/>
              </w:rPr>
              <w:t xml:space="preserve">ة خلال أيام </w:t>
            </w:r>
            <w:r w:rsidRPr="002120E9">
              <w:rPr>
                <w:rStyle w:val="s1"/>
                <w:rFonts w:ascii="Calibri" w:hAnsi="Calibri" w:cs="Calibri"/>
                <w:sz w:val="20"/>
                <w:szCs w:val="20"/>
                <w:rtl/>
              </w:rPr>
              <w:t>عملية الأسد الصاعد</w:t>
            </w:r>
            <w:r w:rsidRPr="002120E9">
              <w:rPr>
                <w:rFonts w:ascii="Calibri" w:hAnsi="Calibri" w:cs="Calibri"/>
                <w:sz w:val="20"/>
                <w:szCs w:val="20"/>
                <w:rtl/>
              </w:rPr>
              <w:t xml:space="preserve">. وبالمقارنة مع مستوى البطالة الذي ميّز عام 2025 بعد استبعاد أيام </w:t>
            </w:r>
            <w:r w:rsidRPr="002120E9">
              <w:rPr>
                <w:rStyle w:val="s1"/>
                <w:rFonts w:ascii="Calibri" w:hAnsi="Calibri" w:cs="Calibri"/>
                <w:sz w:val="20"/>
                <w:szCs w:val="20"/>
                <w:rtl/>
              </w:rPr>
              <w:t>عملية الأسد الصاعد</w:t>
            </w:r>
            <w:r w:rsidRPr="002120E9">
              <w:rPr>
                <w:rFonts w:ascii="Calibri" w:hAnsi="Calibri" w:cs="Calibri"/>
                <w:sz w:val="20"/>
                <w:szCs w:val="20"/>
                <w:rtl/>
              </w:rPr>
              <w:t>، نتوقع ارتفاعًا طفيفًا في معدل البطالة على أفق التوقعات.</w:t>
            </w:r>
          </w:p>
          <w:p w:rsidR="002120E9" w:rsidRPr="002120E9" w:rsidRDefault="004C5BF6" w:rsidP="002120E9">
            <w:pPr>
              <w:pStyle w:val="p1"/>
              <w:bidi/>
              <w:rPr>
                <w:rFonts w:ascii="Calibri" w:hAnsi="Calibri" w:cs="Calibri"/>
                <w:sz w:val="20"/>
                <w:szCs w:val="20"/>
                <w:rtl/>
              </w:rPr>
            </w:pPr>
            <w:r w:rsidRPr="002120E9">
              <w:rPr>
                <w:rFonts w:ascii="Calibri" w:hAnsi="Calibri" w:cs="Calibri"/>
                <w:sz w:val="20"/>
                <w:szCs w:val="20"/>
                <w:rtl/>
                <w:lang w:bidi="he-IL"/>
              </w:rPr>
              <w:t xml:space="preserve">3 </w:t>
            </w:r>
            <w:r w:rsidRPr="002120E9">
              <w:rPr>
                <w:rFonts w:ascii="Calibri" w:hAnsi="Calibri" w:cs="Calibri"/>
                <w:color w:val="000000"/>
                <w:sz w:val="20"/>
                <w:szCs w:val="20"/>
                <w:rtl/>
              </w:rPr>
              <w:t>متوسط مؤشر الأسعار للمستهلك في الربع الأخير من العام مقارنة بمتوسطه في الربع الأخي</w:t>
            </w:r>
            <w:r w:rsidRPr="002120E9">
              <w:rPr>
                <w:rFonts w:ascii="Calibri" w:hAnsi="Calibri" w:cs="Calibri"/>
                <w:color w:val="000000"/>
                <w:sz w:val="20"/>
                <w:szCs w:val="20"/>
                <w:rtl/>
              </w:rPr>
              <w:t>ر من العام السابق.</w:t>
            </w:r>
          </w:p>
          <w:p w:rsidR="002120E9" w:rsidRPr="002120E9" w:rsidRDefault="002120E9" w:rsidP="002120E9">
            <w:pPr>
              <w:pStyle w:val="p1"/>
              <w:bidi/>
              <w:rPr>
                <w:rFonts w:ascii="Calibri" w:hAnsi="Calibri" w:cs="Calibri"/>
                <w:sz w:val="20"/>
                <w:szCs w:val="20"/>
              </w:rPr>
            </w:pPr>
          </w:p>
          <w:p w:rsidR="002120E9" w:rsidRPr="002120E9" w:rsidRDefault="002120E9" w:rsidP="002120E9">
            <w:pPr>
              <w:spacing w:after="0" w:line="240" w:lineRule="auto"/>
              <w:rPr>
                <w:rFonts w:eastAsia="Times New Roman"/>
                <w:color w:val="000000"/>
                <w:sz w:val="20"/>
                <w:szCs w:val="20"/>
                <w:rtl/>
                <w:lang w:val=""/>
              </w:rPr>
            </w:pPr>
          </w:p>
        </w:tc>
      </w:tr>
      <w:tr w:rsidR="00B307B4" w:rsidTr="002120E9">
        <w:trPr>
          <w:trHeight w:val="300"/>
          <w:jc w:val="center"/>
        </w:trPr>
        <w:tc>
          <w:tcPr>
            <w:tcW w:w="201" w:type="pct"/>
            <w:tcBorders>
              <w:top w:val="nil"/>
              <w:left w:val="nil"/>
              <w:bottom w:val="nil"/>
              <w:right w:val="nil"/>
            </w:tcBorders>
            <w:shd w:val="clear" w:color="auto" w:fill="FFFFFF" w:themeFill="background1"/>
          </w:tcPr>
          <w:p w:rsidR="002120E9" w:rsidRPr="002120E9" w:rsidRDefault="002120E9" w:rsidP="002120E9">
            <w:pPr>
              <w:spacing w:after="0"/>
              <w:rPr>
                <w:rFonts w:eastAsia="Times New Roman"/>
                <w:color w:val="000000"/>
                <w:sz w:val="20"/>
                <w:szCs w:val="20"/>
                <w:vertAlign w:val="superscript"/>
                <w:rtl/>
                <w:lang w:bidi="ar-SA"/>
              </w:rPr>
            </w:pPr>
          </w:p>
        </w:tc>
        <w:tc>
          <w:tcPr>
            <w:tcW w:w="4799" w:type="pct"/>
            <w:gridSpan w:val="8"/>
            <w:tcBorders>
              <w:top w:val="nil"/>
              <w:left w:val="nil"/>
              <w:bottom w:val="nil"/>
              <w:right w:val="nil"/>
            </w:tcBorders>
            <w:shd w:val="clear" w:color="auto" w:fill="FFFFFF" w:themeFill="background1"/>
            <w:noWrap/>
            <w:vAlign w:val="bottom"/>
            <w:hideMark/>
          </w:tcPr>
          <w:p w:rsidR="002120E9" w:rsidRPr="002120E9" w:rsidRDefault="002120E9" w:rsidP="002120E9">
            <w:pPr>
              <w:spacing w:after="0" w:line="240" w:lineRule="auto"/>
              <w:rPr>
                <w:rFonts w:eastAsia="Times New Roman"/>
                <w:color w:val="000000"/>
                <w:sz w:val="20"/>
                <w:szCs w:val="20"/>
                <w:rtl/>
                <w:lang w:bidi="ar-SA"/>
              </w:rPr>
            </w:pPr>
          </w:p>
        </w:tc>
      </w:tr>
    </w:tbl>
    <w:p w:rsidR="002120E9" w:rsidRPr="004C5BF6" w:rsidRDefault="002120E9" w:rsidP="004C5BF6">
      <w:pPr>
        <w:pStyle w:val="a"/>
        <w:numPr>
          <w:ilvl w:val="0"/>
          <w:numId w:val="0"/>
        </w:numPr>
        <w:spacing w:line="276" w:lineRule="auto"/>
        <w:ind w:left="720" w:hanging="360"/>
        <w:rPr>
          <w:rFonts w:ascii="Calibri" w:hAnsi="Calibri" w:cs="Calibri"/>
          <w:sz w:val="24"/>
        </w:rPr>
      </w:pPr>
      <w:bookmarkStart w:id="2" w:name="_GoBack"/>
      <w:bookmarkEnd w:id="2"/>
    </w:p>
    <w:p w:rsidR="002120E9" w:rsidRPr="002120E9" w:rsidRDefault="004C5BF6" w:rsidP="002120E9">
      <w:pPr>
        <w:pStyle w:val="p1"/>
        <w:bidi/>
        <w:rPr>
          <w:rFonts w:ascii="Calibri" w:hAnsi="Calibri" w:cs="Calibri"/>
        </w:rPr>
      </w:pPr>
      <w:r w:rsidRPr="002120E9">
        <w:rPr>
          <w:rFonts w:ascii="Calibri" w:hAnsi="Calibri" w:cs="Calibri"/>
          <w:b/>
          <w:bCs/>
          <w:rtl/>
        </w:rPr>
        <w:t>ب. النشاط الحقيقي في إسرائيل</w:t>
      </w:r>
    </w:p>
    <w:p w:rsidR="002120E9" w:rsidRPr="002120E9" w:rsidRDefault="004C5BF6" w:rsidP="002120E9">
      <w:pPr>
        <w:pStyle w:val="p3"/>
        <w:bidi/>
        <w:jc w:val="both"/>
        <w:rPr>
          <w:rFonts w:ascii="Calibri" w:hAnsi="Calibri" w:cs="Calibri"/>
        </w:rPr>
      </w:pPr>
      <w:r w:rsidRPr="002120E9">
        <w:rPr>
          <w:rFonts w:ascii="Calibri" w:hAnsi="Calibri" w:cs="Calibri"/>
          <w:b/>
          <w:bCs/>
          <w:rtl/>
        </w:rPr>
        <w:t>وبحسب تقديراتنا، نما الناتج المحلي الإجمالي بنسبة 2.8% في عام 2025، ومن المتوقع أن ينمو بنسبة 5.2% في عام 2026 وبنسبة 4.3% في عام 2027</w:t>
      </w:r>
      <w:r w:rsidRPr="002120E9">
        <w:rPr>
          <w:rFonts w:ascii="Calibri" w:hAnsi="Calibri" w:cs="Calibri"/>
          <w:rtl/>
        </w:rPr>
        <w:t xml:space="preserve"> (الجدول 1). إن تقديم موعد وقف إطلاق النار، مقارنة بالافتراض الوارد في التوقعات السابقة، قد عجّل بتخفيف قيود العرض، ولا سيما بفضل تسريح أفراد الاحتياط وعودتهم إلى العمل في القطاع الخاص. ونُقدّر أن يشهد الناتج ومكوّناته تقاربًا تدريجيًا نحو اتجاهها طويل الأ</w:t>
      </w:r>
      <w:r w:rsidRPr="002120E9">
        <w:rPr>
          <w:rFonts w:ascii="Calibri" w:hAnsi="Calibri" w:cs="Calibri"/>
          <w:rtl/>
        </w:rPr>
        <w:t xml:space="preserve">جل. ومن المتوقع أن تعود الاستهلاكات الخاصة إلى مسار نمو معتدل (بنسبة 4.3% في عام 2026 وفق مقياس </w:t>
      </w:r>
      <w:r w:rsidRPr="002120E9">
        <w:rPr>
          <w:rFonts w:ascii="Calibri" w:hAnsi="Calibri" w:cs="Calibri"/>
        </w:rPr>
        <w:t>Q4/Q4</w:t>
      </w:r>
      <w:r w:rsidRPr="002120E9">
        <w:rPr>
          <w:rFonts w:ascii="Calibri" w:hAnsi="Calibri" w:cs="Calibri"/>
          <w:rtl/>
        </w:rPr>
        <w:t xml:space="preserve">)، وبوتيرة مماثلة لنمو الناتج، وذلك بعد تضرر معتدل نسبيًا في بداية الحرب. من المتوقع أن تنمو الاستثمارات في الاقتصاد بوتيرة سريعة وأن تتجاوز مستوى الاتجاه </w:t>
      </w:r>
      <w:r w:rsidRPr="002120E9">
        <w:rPr>
          <w:rFonts w:ascii="Calibri" w:hAnsi="Calibri" w:cs="Calibri"/>
          <w:rtl/>
        </w:rPr>
        <w:t>الأصلي، بهدف سد فجوات مخزون رأس المال التي نشأت في القطاع الخاص وفي سوق الإسكان. ويحظى هذا المسار بدعم من تعافي قطاع البناء مع عودة عدد العاملين إلى مستواه عشية الحرب، وكذلك من خلال زيادة الاستثمار في المعدات والآلات كبديل عن نقص اليد العاملة (في ظل إنتاجي</w:t>
      </w:r>
      <w:r w:rsidRPr="002120E9">
        <w:rPr>
          <w:rFonts w:ascii="Calibri" w:hAnsi="Calibri" w:cs="Calibri"/>
          <w:rtl/>
        </w:rPr>
        <w:t>ة حدّية مرتفعة لرأس المال، من بين أمور أخرى نتيجة الانتقال إلى بناء مبانٍ أعلى). وبالتوازي، يُتوقع أن تزيد الواردات والصادرات حصتها في النشاط الاقتصادي، انسجامًا مع الاتجاه طويل الأجل لتعاظم انفتاح الاقتصاد الإسرائيلي، مع تباطؤ تراجع فائض الصادرات بفضل تخف</w:t>
      </w:r>
      <w:r w:rsidRPr="002120E9">
        <w:rPr>
          <w:rFonts w:ascii="Calibri" w:hAnsi="Calibri" w:cs="Calibri"/>
          <w:rtl/>
        </w:rPr>
        <w:t>يف قيود العرض. في المقابل، يُتوقع أن تتباطأ الاستهلاكات العامة بعد عامين من نفقات حرب مرتفعة، مع تغيّر في التركيبة لصالح النفقات المدنية وتراجع في أسعار الاستهلاك العام نتيجة الانخفاض في حجم مدفوعات الأجور لأفراد الاحتياط. من المتوقع أن يبلغ العجز في ميزان</w:t>
      </w:r>
      <w:r w:rsidRPr="002120E9">
        <w:rPr>
          <w:rFonts w:ascii="Calibri" w:hAnsi="Calibri" w:cs="Calibri"/>
          <w:rtl/>
        </w:rPr>
        <w:t>ية الدولة 3.9% و3.6% من الناتج المحلي الإجمالي في عامي 2026 و2027، على التوالي. ومن المتوقع أن تبلغ نسبة الدين العام إلى الناتج المحلي الإجمالي 68.5% في هذين العامين. وقد بدأت سنة 2026 بميزانية انتقالية يُتوقع أن تكون سارية حتى شهر آذار/مارس، وتفترض التوقع</w:t>
      </w:r>
      <w:r w:rsidRPr="002120E9">
        <w:rPr>
          <w:rFonts w:ascii="Calibri" w:hAnsi="Calibri" w:cs="Calibri"/>
          <w:rtl/>
        </w:rPr>
        <w:t>ات أن تتم المصادقة على الميزانية حتى نهاية الربع الأول دون تغييرات جوهرية مقارنة بالإطار الذي أقرّته الحكومة. وتُظهر التوقعات أنه من دون إجراء ملاءمات مالية (رفع الضرائب أو خفض النفقات)، لا يُتوقع أن تنخفض نسبة الدين إلى الناتج. وقد انخفضت توقعات العجز قلي</w:t>
      </w:r>
      <w:r w:rsidRPr="002120E9">
        <w:rPr>
          <w:rFonts w:ascii="Calibri" w:hAnsi="Calibri" w:cs="Calibri"/>
          <w:rtl/>
        </w:rPr>
        <w:t>لًا نتيجة دخول وقف إطلاق النار حيّز التنفيذ في وقت أبكر مما كان مفترضًا في التوقعات السابقة—وهو تطور يؤدي، بافتراض استمرار وقف إطلاق النار، إلى تقليص أكبر في ميزانية الدفاع لعام 202، كما رفع من توقعات الإيرادات.</w:t>
      </w:r>
    </w:p>
    <w:p w:rsidR="002120E9" w:rsidRPr="002120E9" w:rsidRDefault="004C5BF6" w:rsidP="002120E9">
      <w:pPr>
        <w:pStyle w:val="p1"/>
        <w:bidi/>
        <w:rPr>
          <w:rFonts w:ascii="Calibri" w:hAnsi="Calibri" w:cs="Calibri"/>
        </w:rPr>
      </w:pPr>
      <w:bookmarkStart w:id="3" w:name="_Hlk202427787"/>
      <w:r w:rsidRPr="002120E9">
        <w:rPr>
          <w:rFonts w:ascii="Calibri" w:hAnsi="Calibri" w:cs="Calibri"/>
          <w:b/>
          <w:bCs/>
          <w:rtl/>
        </w:rPr>
        <w:t>ج.</w:t>
      </w:r>
      <w:r w:rsidRPr="002120E9">
        <w:rPr>
          <w:rFonts w:ascii="Calibri" w:hAnsi="Calibri" w:cs="Calibri"/>
          <w:rtl/>
        </w:rPr>
        <w:t xml:space="preserve"> </w:t>
      </w:r>
      <w:r w:rsidRPr="002120E9">
        <w:rPr>
          <w:rStyle w:val="apple-converted-space"/>
          <w:rFonts w:ascii="Calibri" w:hAnsi="Calibri" w:cs="Calibri"/>
          <w:b/>
          <w:bCs/>
          <w:rtl/>
        </w:rPr>
        <w:t> </w:t>
      </w:r>
      <w:r w:rsidRPr="002120E9">
        <w:rPr>
          <w:rFonts w:ascii="Calibri" w:hAnsi="Calibri" w:cs="Calibri"/>
          <w:b/>
          <w:bCs/>
          <w:rtl/>
        </w:rPr>
        <w:t>التضخم المالي وسعر الفائدة</w:t>
      </w:r>
    </w:p>
    <w:p w:rsidR="002120E9" w:rsidRPr="002120E9" w:rsidRDefault="004C5BF6" w:rsidP="002120E9">
      <w:pPr>
        <w:pStyle w:val="p1"/>
        <w:bidi/>
        <w:jc w:val="both"/>
        <w:rPr>
          <w:rFonts w:ascii="Calibri" w:hAnsi="Calibri" w:cs="Calibri"/>
        </w:rPr>
      </w:pPr>
      <w:r w:rsidRPr="002120E9">
        <w:rPr>
          <w:rFonts w:ascii="Calibri" w:hAnsi="Calibri" w:cs="Calibri"/>
          <w:b/>
          <w:bCs/>
          <w:rtl/>
        </w:rPr>
        <w:t>من المتوقع أن</w:t>
      </w:r>
      <w:r w:rsidRPr="002120E9">
        <w:rPr>
          <w:rFonts w:ascii="Calibri" w:hAnsi="Calibri" w:cs="Calibri"/>
          <w:b/>
          <w:bCs/>
          <w:rtl/>
        </w:rPr>
        <w:t xml:space="preserve"> يبلغ معدل التضخم المالي خلال الأرباع الأربعة المقبلة، المنتهية في الربع الرابع من عام</w:t>
      </w:r>
      <w:r>
        <w:rPr>
          <w:rStyle w:val="af3"/>
          <w:rFonts w:ascii="Calibri" w:hAnsi="Calibri" w:cs="Calibri"/>
          <w:b/>
          <w:bCs/>
          <w:rtl/>
        </w:rPr>
        <w:footnoteReference w:customMarkFollows="1" w:id="2"/>
        <w:t>4</w:t>
      </w:r>
      <w:r w:rsidRPr="002120E9">
        <w:rPr>
          <w:rStyle w:val="af3"/>
          <w:rFonts w:ascii="Calibri" w:hAnsi="Calibri" w:cs="Calibri"/>
          <w:b/>
          <w:bCs/>
          <w:rtl/>
          <w:lang w:bidi="he-IL"/>
        </w:rPr>
        <w:t xml:space="preserve"> </w:t>
      </w:r>
      <w:r w:rsidRPr="002120E9">
        <w:rPr>
          <w:rFonts w:ascii="Calibri" w:hAnsi="Calibri" w:cs="Calibri"/>
          <w:b/>
          <w:bCs/>
          <w:rtl/>
          <w:lang w:bidi="he-IL"/>
        </w:rPr>
        <w:t>2026</w:t>
      </w:r>
      <w:r w:rsidR="001C161C" w:rsidRPr="002120E9">
        <w:rPr>
          <w:rFonts w:ascii="Calibri" w:hAnsi="Calibri" w:cs="Calibri"/>
          <w:b/>
          <w:bCs/>
          <w:rtl/>
        </w:rPr>
        <w:t>,</w:t>
      </w:r>
      <w:r w:rsidRPr="002120E9">
        <w:rPr>
          <w:rFonts w:ascii="Calibri" w:hAnsi="Calibri" w:cs="Calibri"/>
          <w:b/>
          <w:bCs/>
          <w:rtl/>
        </w:rPr>
        <w:t xml:space="preserve"> نحو 1.7%، وأن يبلغ خلال عام 2027 نحو 2.0% (الجدول 2)</w:t>
      </w:r>
      <w:r w:rsidR="001C161C" w:rsidRPr="002120E9">
        <w:rPr>
          <w:rFonts w:ascii="Calibri" w:hAnsi="Calibri" w:cs="Calibri"/>
          <w:b/>
          <w:bCs/>
          <w:rtl/>
        </w:rPr>
        <w:t>.</w:t>
      </w:r>
      <w:r w:rsidR="001C161C" w:rsidRPr="002120E9">
        <w:rPr>
          <w:rFonts w:ascii="Calibri" w:hAnsi="Calibri" w:cs="Calibri"/>
          <w:bCs/>
          <w:rtl/>
        </w:rPr>
        <w:t xml:space="preserve"> </w:t>
      </w:r>
      <w:r w:rsidRPr="002120E9">
        <w:rPr>
          <w:rFonts w:ascii="Calibri" w:hAnsi="Calibri" w:cs="Calibri"/>
          <w:rtl/>
        </w:rPr>
        <w:t>ومن المتوقع أن يصل التضخم المالي خلال عام 2025 إلى 2.5%، مقارنة بـ3</w:t>
      </w:r>
      <w:r w:rsidRPr="002120E9">
        <w:rPr>
          <w:rFonts w:ascii="Calibri" w:hAnsi="Calibri" w:cs="Calibri"/>
          <w:rtl/>
        </w:rPr>
        <w:t>.0% في توقعات أيلول، وذلك أساسًا نتيجة المفاجأة السلبية في مؤشر شهر أيلول. إن تقديم موعد وقف إطلاق النار بربع سنة، مقارنة بتقديراتنا في توقعات أيلول، ترافق مع تقديم عملية تخفيف قيود العرض في الاقتصاد، والتي يُتوقع، كما ذُكر، أن تسهم في تقليص فوائض الطلب وا</w:t>
      </w:r>
      <w:r w:rsidRPr="002120E9">
        <w:rPr>
          <w:rFonts w:ascii="Calibri" w:hAnsi="Calibri" w:cs="Calibri"/>
          <w:rtl/>
        </w:rPr>
        <w:t>لضغوط التضخمية. كذلك، سُجِّل تراجع في علاوة المخاطر لإسرائيل، وانخفاض في فروق العوائد الدولارية، إلى جانب تعزّز قيمة الشيكل. وتسهم جميع هذه العوامل، إضافة إلى انخفاض أسعار النفط، ومعدل التضخم المنخفض المتوقع في الدول المتقدمة، في اعتدال بيئة التضخم، واستقر</w:t>
      </w:r>
      <w:r w:rsidRPr="002120E9">
        <w:rPr>
          <w:rFonts w:ascii="Calibri" w:hAnsi="Calibri" w:cs="Calibri"/>
          <w:rtl/>
        </w:rPr>
        <w:t>ارها حول مركز نطاق الهدف، وتعزيز التوقعات بمواصلة مسار خفض أسعار الفائدة الذي بدأ بقرار تشرين الثاني 2025.</w:t>
      </w:r>
    </w:p>
    <w:bookmarkEnd w:id="3"/>
    <w:p w:rsidR="002120E9" w:rsidRPr="002120E9" w:rsidRDefault="004C5BF6" w:rsidP="002120E9">
      <w:pPr>
        <w:pStyle w:val="p1"/>
        <w:bidi/>
        <w:jc w:val="both"/>
        <w:rPr>
          <w:rFonts w:ascii="Calibri" w:hAnsi="Calibri" w:cs="Calibri"/>
        </w:rPr>
      </w:pPr>
      <w:r w:rsidRPr="002120E9">
        <w:rPr>
          <w:rFonts w:ascii="Calibri" w:hAnsi="Calibri" w:cs="Calibri"/>
          <w:b/>
          <w:bCs/>
          <w:rtl/>
        </w:rPr>
        <w:lastRenderedPageBreak/>
        <w:t xml:space="preserve">من المتوقع أن يبلغ سعر الفائدة لبنك إسرائيل في المتوسط 3.5% في الربع الرابع من عام 2026 </w:t>
      </w:r>
      <w:r w:rsidRPr="002120E9">
        <w:rPr>
          <w:rFonts w:ascii="Calibri" w:hAnsi="Calibri" w:cs="Calibri"/>
          <w:rtl/>
        </w:rPr>
        <w:t>(الجدول 2). وتعكس هذه التوقعات انخفاضًا تدريجيًا في سعر الفائ</w:t>
      </w:r>
      <w:r w:rsidRPr="002120E9">
        <w:rPr>
          <w:rFonts w:ascii="Calibri" w:hAnsi="Calibri" w:cs="Calibri"/>
          <w:rtl/>
        </w:rPr>
        <w:t>دة من مستواه الحالي، بما يتماشى مع وتيرة تقارب التضخم المالي نحو مركز الهدف.</w:t>
      </w:r>
    </w:p>
    <w:p w:rsidR="002120E9" w:rsidRPr="002120E9" w:rsidRDefault="004C5BF6" w:rsidP="002120E9">
      <w:pPr>
        <w:pStyle w:val="p1"/>
        <w:bidi/>
        <w:jc w:val="both"/>
        <w:rPr>
          <w:rFonts w:ascii="Calibri" w:hAnsi="Calibri" w:cs="Calibri"/>
        </w:rPr>
      </w:pPr>
      <w:r w:rsidRPr="002120E9">
        <w:rPr>
          <w:rFonts w:ascii="Calibri" w:hAnsi="Calibri" w:cs="Calibri"/>
          <w:rtl/>
        </w:rPr>
        <w:t>ويُظهر الجدول 2 أن توقعات الشعبة للتضخم المالي خلال الأرباع الأربعة المقبلة أعلى من التوقعات المستمدة من سوق رأس المال، لكنها أدنى من متوسط توقعات المتنبئين. أما توقعات الشعبة لسع</w:t>
      </w:r>
      <w:r w:rsidRPr="002120E9">
        <w:rPr>
          <w:rFonts w:ascii="Calibri" w:hAnsi="Calibri" w:cs="Calibri"/>
          <w:rtl/>
        </w:rPr>
        <w:t>ر الفائدة بعد أربعة أرباع، فهي مماثلة للتوقعات المستمدة من سوق رأس المال ولمتوسط توقعات المتنبئين من القطاع الخاص.</w:t>
      </w:r>
    </w:p>
    <w:p w:rsidR="002120E9" w:rsidRPr="002120E9" w:rsidRDefault="002120E9" w:rsidP="00394570">
      <w:pPr>
        <w:jc w:val="both"/>
        <w:rPr>
          <w:b/>
          <w:rtl/>
          <w:lang w:val="" w:bidi="ar-SA"/>
        </w:rPr>
      </w:pPr>
    </w:p>
    <w:tbl>
      <w:tblPr>
        <w:bidiVisual/>
        <w:tblW w:w="5000" w:type="pct"/>
        <w:jc w:val="center"/>
        <w:tblLook w:val="04A0" w:firstRow="1" w:lastRow="0" w:firstColumn="1" w:lastColumn="0" w:noHBand="0" w:noVBand="1"/>
      </w:tblPr>
      <w:tblGrid>
        <w:gridCol w:w="2853"/>
        <w:gridCol w:w="2375"/>
        <w:gridCol w:w="2373"/>
        <w:gridCol w:w="2145"/>
      </w:tblGrid>
      <w:tr w:rsidR="00B307B4" w:rsidTr="002867DC">
        <w:trPr>
          <w:trHeight w:val="280"/>
          <w:jc w:val="center"/>
        </w:trPr>
        <w:tc>
          <w:tcPr>
            <w:tcW w:w="5000" w:type="pct"/>
            <w:gridSpan w:val="4"/>
            <w:tcBorders>
              <w:top w:val="nil"/>
              <w:left w:val="nil"/>
              <w:bottom w:val="nil"/>
              <w:right w:val="nil"/>
            </w:tcBorders>
            <w:noWrap/>
            <w:vAlign w:val="bottom"/>
            <w:hideMark/>
          </w:tcPr>
          <w:p w:rsidR="002120E9" w:rsidRPr="002120E9" w:rsidRDefault="004C5BF6" w:rsidP="002120E9">
            <w:pPr>
              <w:spacing w:after="0"/>
              <w:jc w:val="center"/>
              <w:rPr>
                <w:rFonts w:eastAsia="Times New Roman"/>
                <w:b/>
                <w:bCs/>
                <w:color w:val="000000"/>
                <w:sz w:val="28"/>
                <w:szCs w:val="28"/>
              </w:rPr>
            </w:pPr>
            <w:bookmarkStart w:id="4" w:name="_Hlk202427821"/>
            <w:r w:rsidRPr="002120E9">
              <w:rPr>
                <w:rFonts w:eastAsia="Times New Roman"/>
                <w:b/>
                <w:bCs/>
                <w:color w:val="000000"/>
                <w:sz w:val="24"/>
                <w:szCs w:val="24"/>
                <w:rtl/>
                <w:lang w:bidi="ar-SA"/>
              </w:rPr>
              <w:t>الجدول 2 | توقعات التضخم المالي خلال العام المقبل وأسعار الفائدة خلال عام</w:t>
            </w:r>
          </w:p>
        </w:tc>
      </w:tr>
      <w:tr w:rsidR="00B307B4" w:rsidTr="002867DC">
        <w:trPr>
          <w:trHeight w:val="315"/>
          <w:jc w:val="center"/>
        </w:trPr>
        <w:tc>
          <w:tcPr>
            <w:tcW w:w="5000" w:type="pct"/>
            <w:gridSpan w:val="4"/>
            <w:tcBorders>
              <w:top w:val="nil"/>
              <w:left w:val="nil"/>
              <w:bottom w:val="single" w:sz="4" w:space="0" w:color="1F497D"/>
              <w:right w:val="nil"/>
            </w:tcBorders>
            <w:noWrap/>
            <w:vAlign w:val="bottom"/>
            <w:hideMark/>
          </w:tcPr>
          <w:p w:rsidR="002120E9" w:rsidRPr="002120E9" w:rsidRDefault="004C5BF6" w:rsidP="002120E9">
            <w:pPr>
              <w:spacing w:after="0"/>
              <w:jc w:val="center"/>
              <w:rPr>
                <w:rFonts w:eastAsia="Times New Roman"/>
                <w:color w:val="000000"/>
                <w:sz w:val="24"/>
                <w:szCs w:val="24"/>
                <w:rtl/>
              </w:rPr>
            </w:pPr>
            <w:r w:rsidRPr="002120E9">
              <w:rPr>
                <w:rFonts w:eastAsia="Times New Roman"/>
                <w:color w:val="000000"/>
                <w:rtl/>
              </w:rPr>
              <w:t>(</w:t>
            </w:r>
            <w:r w:rsidRPr="002120E9">
              <w:rPr>
                <w:rFonts w:eastAsia="Times New Roman"/>
                <w:color w:val="000000"/>
                <w:rtl/>
                <w:lang w:bidi="ar-SA"/>
              </w:rPr>
              <w:t>بالنسبة المئوية</w:t>
            </w:r>
            <w:r w:rsidRPr="002120E9">
              <w:rPr>
                <w:rFonts w:eastAsia="Times New Roman"/>
                <w:color w:val="000000"/>
                <w:rtl/>
              </w:rPr>
              <w:t>)</w:t>
            </w:r>
          </w:p>
        </w:tc>
      </w:tr>
      <w:tr w:rsidR="00B307B4" w:rsidTr="002120E9">
        <w:trPr>
          <w:trHeight w:val="660"/>
          <w:jc w:val="center"/>
        </w:trPr>
        <w:tc>
          <w:tcPr>
            <w:tcW w:w="1467" w:type="pct"/>
            <w:tcBorders>
              <w:top w:val="nil"/>
              <w:left w:val="nil"/>
              <w:bottom w:val="single" w:sz="4" w:space="0" w:color="1F497D"/>
              <w:right w:val="nil"/>
            </w:tcBorders>
            <w:noWrap/>
            <w:vAlign w:val="bottom"/>
            <w:hideMark/>
          </w:tcPr>
          <w:p w:rsidR="002120E9" w:rsidRPr="002120E9" w:rsidRDefault="004C5BF6" w:rsidP="002120E9">
            <w:pPr>
              <w:bidi w:val="0"/>
              <w:spacing w:after="0"/>
              <w:rPr>
                <w:rFonts w:eastAsia="Times New Roman"/>
                <w:color w:val="000000"/>
              </w:rPr>
            </w:pPr>
            <w:r w:rsidRPr="002120E9">
              <w:rPr>
                <w:rFonts w:eastAsia="Times New Roman"/>
                <w:color w:val="000000"/>
              </w:rPr>
              <w:t> </w:t>
            </w:r>
          </w:p>
        </w:tc>
        <w:tc>
          <w:tcPr>
            <w:tcW w:w="1218" w:type="pct"/>
            <w:tcBorders>
              <w:top w:val="nil"/>
              <w:left w:val="nil"/>
              <w:bottom w:val="nil"/>
              <w:right w:val="nil"/>
            </w:tcBorders>
            <w:vAlign w:val="center"/>
            <w:hideMark/>
          </w:tcPr>
          <w:p w:rsidR="002120E9" w:rsidRPr="002120E9" w:rsidRDefault="004C5BF6" w:rsidP="002120E9">
            <w:pPr>
              <w:spacing w:after="0"/>
              <w:rPr>
                <w:rFonts w:eastAsia="Times New Roman"/>
                <w:color w:val="1F497D"/>
              </w:rPr>
            </w:pPr>
            <w:r w:rsidRPr="002120E9">
              <w:rPr>
                <w:rFonts w:eastAsia="Times New Roman"/>
                <w:color w:val="1F497D"/>
                <w:rtl/>
                <w:lang w:bidi="ar-SA"/>
              </w:rPr>
              <w:t>شعبة الأبحاث في بنك إسرائيل</w:t>
            </w:r>
            <w:r w:rsidRPr="002120E9">
              <w:rPr>
                <w:rFonts w:eastAsia="Times New Roman"/>
                <w:color w:val="1F497D"/>
                <w:vertAlign w:val="superscript"/>
                <w:rtl/>
              </w:rPr>
              <w:t xml:space="preserve"> 1</w:t>
            </w:r>
          </w:p>
        </w:tc>
        <w:tc>
          <w:tcPr>
            <w:tcW w:w="1217" w:type="pct"/>
            <w:tcBorders>
              <w:top w:val="nil"/>
              <w:left w:val="nil"/>
              <w:bottom w:val="single" w:sz="4" w:space="0" w:color="1F497D"/>
              <w:right w:val="nil"/>
            </w:tcBorders>
            <w:vAlign w:val="center"/>
            <w:hideMark/>
          </w:tcPr>
          <w:p w:rsidR="002120E9" w:rsidRPr="002120E9" w:rsidRDefault="004C5BF6" w:rsidP="002120E9">
            <w:pPr>
              <w:spacing w:after="0"/>
              <w:rPr>
                <w:rFonts w:eastAsia="Times New Roman"/>
                <w:color w:val="1F497D"/>
                <w:rtl/>
              </w:rPr>
            </w:pPr>
            <w:r w:rsidRPr="002120E9">
              <w:rPr>
                <w:rFonts w:eastAsia="Times New Roman"/>
                <w:color w:val="1F497D"/>
                <w:rtl/>
                <w:lang w:bidi="ar-SA"/>
              </w:rPr>
              <w:t xml:space="preserve">سوق رأس المال </w:t>
            </w:r>
            <w:r w:rsidRPr="002120E9">
              <w:rPr>
                <w:rFonts w:eastAsia="Times New Roman"/>
                <w:color w:val="1F497D"/>
                <w:vertAlign w:val="superscript"/>
                <w:rtl/>
              </w:rPr>
              <w:t>2</w:t>
            </w:r>
          </w:p>
        </w:tc>
        <w:tc>
          <w:tcPr>
            <w:tcW w:w="1097" w:type="pct"/>
            <w:tcBorders>
              <w:top w:val="nil"/>
              <w:left w:val="nil"/>
              <w:bottom w:val="single" w:sz="4" w:space="0" w:color="1F497D"/>
              <w:right w:val="nil"/>
            </w:tcBorders>
            <w:vAlign w:val="center"/>
            <w:hideMark/>
          </w:tcPr>
          <w:p w:rsidR="002120E9" w:rsidRPr="002120E9" w:rsidRDefault="004C5BF6" w:rsidP="002120E9">
            <w:pPr>
              <w:spacing w:after="0"/>
              <w:rPr>
                <w:rFonts w:eastAsia="Times New Roman"/>
                <w:color w:val="1F497D"/>
                <w:rtl/>
              </w:rPr>
            </w:pPr>
            <w:r w:rsidRPr="002120E9">
              <w:rPr>
                <w:rFonts w:eastAsia="Times New Roman"/>
                <w:color w:val="1F497D"/>
                <w:rtl/>
                <w:lang w:bidi="ar-SA"/>
              </w:rPr>
              <w:t>المتنبئون الخاصون</w:t>
            </w:r>
            <w:r w:rsidRPr="002120E9">
              <w:rPr>
                <w:rFonts w:eastAsia="Times New Roman"/>
                <w:color w:val="1F497D"/>
                <w:vertAlign w:val="superscript"/>
                <w:rtl/>
              </w:rPr>
              <w:t xml:space="preserve"> 3</w:t>
            </w:r>
            <w:r w:rsidRPr="002120E9">
              <w:rPr>
                <w:rFonts w:eastAsia="Times New Roman"/>
                <w:color w:val="1F497D"/>
                <w:rtl/>
              </w:rPr>
              <w:br/>
              <w:t>(</w:t>
            </w:r>
            <w:r w:rsidRPr="002120E9">
              <w:rPr>
                <w:rFonts w:eastAsia="Times New Roman"/>
                <w:color w:val="1F497D"/>
                <w:rtl/>
                <w:lang w:bidi="ar-SA"/>
              </w:rPr>
              <w:t>نطاق التوقعات</w:t>
            </w:r>
            <w:r w:rsidRPr="002120E9">
              <w:rPr>
                <w:rFonts w:eastAsia="Times New Roman"/>
                <w:color w:val="1F497D"/>
                <w:rtl/>
              </w:rPr>
              <w:t>)</w:t>
            </w:r>
          </w:p>
        </w:tc>
      </w:tr>
      <w:tr w:rsidR="00B307B4" w:rsidTr="002120E9">
        <w:trPr>
          <w:trHeight w:val="300"/>
          <w:jc w:val="center"/>
        </w:trPr>
        <w:tc>
          <w:tcPr>
            <w:tcW w:w="1467" w:type="pct"/>
            <w:tcBorders>
              <w:top w:val="nil"/>
              <w:left w:val="nil"/>
              <w:bottom w:val="nil"/>
              <w:right w:val="nil"/>
            </w:tcBorders>
            <w:vAlign w:val="center"/>
            <w:hideMark/>
          </w:tcPr>
          <w:p w:rsidR="002120E9" w:rsidRPr="002120E9" w:rsidRDefault="004C5BF6" w:rsidP="002120E9">
            <w:pPr>
              <w:spacing w:after="0"/>
              <w:rPr>
                <w:rFonts w:eastAsia="Times New Roman"/>
                <w:rtl/>
              </w:rPr>
            </w:pPr>
            <w:r w:rsidRPr="002120E9">
              <w:rPr>
                <w:rFonts w:eastAsia="Times New Roman"/>
                <w:rtl/>
                <w:lang w:bidi="ar-SA"/>
              </w:rPr>
              <w:t>التضخم المالي</w:t>
            </w:r>
          </w:p>
        </w:tc>
        <w:tc>
          <w:tcPr>
            <w:tcW w:w="1218" w:type="pct"/>
            <w:tcBorders>
              <w:top w:val="single" w:sz="4" w:space="0" w:color="1F497D"/>
              <w:left w:val="nil"/>
              <w:bottom w:val="nil"/>
              <w:right w:val="nil"/>
            </w:tcBorders>
            <w:noWrap/>
            <w:vAlign w:val="bottom"/>
            <w:hideMark/>
          </w:tcPr>
          <w:p w:rsidR="002120E9" w:rsidRPr="002120E9" w:rsidRDefault="004C5BF6" w:rsidP="002120E9">
            <w:pPr>
              <w:spacing w:after="0"/>
              <w:rPr>
                <w:rFonts w:eastAsia="Times New Roman"/>
                <w:color w:val="000000"/>
                <w:rtl/>
              </w:rPr>
            </w:pPr>
            <w:r w:rsidRPr="002120E9">
              <w:rPr>
                <w:rFonts w:eastAsia="Times New Roman"/>
                <w:color w:val="000000"/>
                <w:rtl/>
              </w:rPr>
              <w:t>1.7</w:t>
            </w:r>
          </w:p>
        </w:tc>
        <w:tc>
          <w:tcPr>
            <w:tcW w:w="1217" w:type="pct"/>
            <w:tcBorders>
              <w:top w:val="nil"/>
              <w:left w:val="nil"/>
              <w:bottom w:val="nil"/>
              <w:right w:val="nil"/>
            </w:tcBorders>
            <w:noWrap/>
            <w:vAlign w:val="bottom"/>
            <w:hideMark/>
          </w:tcPr>
          <w:p w:rsidR="002120E9" w:rsidRPr="002120E9" w:rsidRDefault="004C5BF6" w:rsidP="002120E9">
            <w:pPr>
              <w:spacing w:after="0"/>
              <w:rPr>
                <w:rFonts w:eastAsia="Times New Roman"/>
                <w:color w:val="000000" w:themeColor="text1"/>
                <w:rtl/>
              </w:rPr>
            </w:pPr>
            <w:r w:rsidRPr="002120E9">
              <w:rPr>
                <w:rFonts w:eastAsia="Times New Roman"/>
                <w:color w:val="000000" w:themeColor="text1"/>
                <w:rtl/>
              </w:rPr>
              <w:t>1.4</w:t>
            </w:r>
          </w:p>
        </w:tc>
        <w:tc>
          <w:tcPr>
            <w:tcW w:w="1097" w:type="pct"/>
            <w:tcBorders>
              <w:top w:val="nil"/>
              <w:left w:val="nil"/>
              <w:bottom w:val="nil"/>
              <w:right w:val="nil"/>
            </w:tcBorders>
            <w:noWrap/>
            <w:vAlign w:val="bottom"/>
            <w:hideMark/>
          </w:tcPr>
          <w:p w:rsidR="002120E9" w:rsidRPr="002120E9" w:rsidRDefault="004C5BF6" w:rsidP="002120E9">
            <w:pPr>
              <w:spacing w:after="0"/>
              <w:rPr>
                <w:rFonts w:eastAsia="Times New Roman"/>
                <w:color w:val="000000" w:themeColor="text1"/>
                <w:rtl/>
              </w:rPr>
            </w:pPr>
            <w:r w:rsidRPr="002120E9">
              <w:rPr>
                <w:rFonts w:eastAsia="Times New Roman"/>
                <w:color w:val="000000" w:themeColor="text1"/>
                <w:rtl/>
              </w:rPr>
              <w:t>2.0 (2.5—1.5)</w:t>
            </w:r>
          </w:p>
        </w:tc>
      </w:tr>
      <w:tr w:rsidR="00B307B4" w:rsidTr="002120E9">
        <w:trPr>
          <w:trHeight w:val="300"/>
          <w:jc w:val="center"/>
        </w:trPr>
        <w:tc>
          <w:tcPr>
            <w:tcW w:w="1467" w:type="pct"/>
            <w:tcBorders>
              <w:top w:val="nil"/>
              <w:left w:val="nil"/>
              <w:bottom w:val="single" w:sz="4" w:space="0" w:color="1F497D"/>
              <w:right w:val="nil"/>
            </w:tcBorders>
            <w:vAlign w:val="center"/>
            <w:hideMark/>
          </w:tcPr>
          <w:p w:rsidR="002120E9" w:rsidRPr="002120E9" w:rsidRDefault="004C5BF6" w:rsidP="002120E9">
            <w:pPr>
              <w:spacing w:after="0"/>
              <w:rPr>
                <w:rFonts w:eastAsia="Times New Roman"/>
                <w:color w:val="000000"/>
                <w:rtl/>
              </w:rPr>
            </w:pPr>
            <w:r w:rsidRPr="002120E9">
              <w:rPr>
                <w:rFonts w:eastAsia="Times New Roman"/>
                <w:color w:val="000000"/>
                <w:rtl/>
                <w:lang w:bidi="ar-SA"/>
              </w:rPr>
              <w:t>فائدة بنك إسرائيل</w:t>
            </w:r>
          </w:p>
        </w:tc>
        <w:tc>
          <w:tcPr>
            <w:tcW w:w="1218" w:type="pct"/>
            <w:tcBorders>
              <w:top w:val="nil"/>
              <w:left w:val="nil"/>
              <w:bottom w:val="single" w:sz="4" w:space="0" w:color="1F497D"/>
              <w:right w:val="nil"/>
            </w:tcBorders>
            <w:noWrap/>
            <w:vAlign w:val="bottom"/>
            <w:hideMark/>
          </w:tcPr>
          <w:p w:rsidR="002120E9" w:rsidRPr="002120E9" w:rsidRDefault="004C5BF6" w:rsidP="002120E9">
            <w:pPr>
              <w:spacing w:after="0"/>
              <w:rPr>
                <w:rFonts w:eastAsia="Times New Roman"/>
                <w:color w:val="000000"/>
              </w:rPr>
            </w:pPr>
            <w:r w:rsidRPr="002120E9">
              <w:rPr>
                <w:rFonts w:eastAsia="Times New Roman"/>
                <w:color w:val="000000"/>
                <w:rtl/>
              </w:rPr>
              <w:t>3.5</w:t>
            </w:r>
          </w:p>
        </w:tc>
        <w:tc>
          <w:tcPr>
            <w:tcW w:w="1217" w:type="pct"/>
            <w:tcBorders>
              <w:top w:val="nil"/>
              <w:left w:val="nil"/>
              <w:bottom w:val="single" w:sz="4" w:space="0" w:color="1F497D"/>
              <w:right w:val="nil"/>
            </w:tcBorders>
            <w:noWrap/>
            <w:vAlign w:val="bottom"/>
            <w:hideMark/>
          </w:tcPr>
          <w:p w:rsidR="002120E9" w:rsidRPr="002120E9" w:rsidRDefault="004C5BF6" w:rsidP="002120E9">
            <w:pPr>
              <w:spacing w:after="0"/>
              <w:rPr>
                <w:rFonts w:eastAsia="Times New Roman"/>
                <w:color w:val="000000" w:themeColor="text1"/>
              </w:rPr>
            </w:pPr>
            <w:r w:rsidRPr="002120E9">
              <w:rPr>
                <w:rFonts w:eastAsia="Times New Roman"/>
                <w:color w:val="000000" w:themeColor="text1"/>
                <w:rtl/>
              </w:rPr>
              <w:t>3.5</w:t>
            </w:r>
          </w:p>
        </w:tc>
        <w:tc>
          <w:tcPr>
            <w:tcW w:w="1097" w:type="pct"/>
            <w:tcBorders>
              <w:top w:val="nil"/>
              <w:left w:val="nil"/>
              <w:bottom w:val="single" w:sz="4" w:space="0" w:color="1F497D"/>
              <w:right w:val="nil"/>
            </w:tcBorders>
            <w:noWrap/>
            <w:vAlign w:val="bottom"/>
            <w:hideMark/>
          </w:tcPr>
          <w:p w:rsidR="002120E9" w:rsidRPr="002120E9" w:rsidRDefault="004C5BF6" w:rsidP="002120E9">
            <w:pPr>
              <w:spacing w:after="0"/>
              <w:rPr>
                <w:rFonts w:eastAsia="Times New Roman"/>
                <w:color w:val="000000" w:themeColor="text1"/>
                <w:rtl/>
              </w:rPr>
            </w:pPr>
            <w:r w:rsidRPr="002120E9">
              <w:rPr>
                <w:rFonts w:eastAsia="Times New Roman"/>
                <w:color w:val="000000" w:themeColor="text1"/>
              </w:rPr>
              <w:t>3.5</w:t>
            </w:r>
            <w:r w:rsidRPr="002120E9">
              <w:rPr>
                <w:rFonts w:eastAsia="Times New Roman"/>
                <w:color w:val="000000" w:themeColor="text1"/>
                <w:rtl/>
              </w:rPr>
              <w:t xml:space="preserve"> </w:t>
            </w:r>
            <w:r w:rsidRPr="002120E9">
              <w:rPr>
                <w:rFonts w:eastAsia="Times New Roman"/>
                <w:color w:val="000000" w:themeColor="text1"/>
              </w:rPr>
              <w:t>(3.25—3.75)</w:t>
            </w:r>
          </w:p>
        </w:tc>
      </w:tr>
      <w:tr w:rsidR="00B307B4" w:rsidTr="002867DC">
        <w:trPr>
          <w:trHeight w:val="285"/>
          <w:jc w:val="center"/>
        </w:trPr>
        <w:tc>
          <w:tcPr>
            <w:tcW w:w="5000" w:type="pct"/>
            <w:gridSpan w:val="4"/>
            <w:tcBorders>
              <w:top w:val="nil"/>
              <w:left w:val="nil"/>
              <w:bottom w:val="nil"/>
              <w:right w:val="nil"/>
            </w:tcBorders>
            <w:noWrap/>
            <w:vAlign w:val="bottom"/>
          </w:tcPr>
          <w:p w:rsidR="002120E9" w:rsidRPr="002120E9" w:rsidRDefault="004C5BF6" w:rsidP="002120E9">
            <w:pPr>
              <w:spacing w:after="0"/>
              <w:rPr>
                <w:rFonts w:eastAsia="Times New Roman"/>
                <w:color w:val="000000"/>
                <w:sz w:val="20"/>
                <w:szCs w:val="20"/>
                <w:rtl/>
              </w:rPr>
            </w:pPr>
            <w:r w:rsidRPr="002120E9">
              <w:rPr>
                <w:rFonts w:eastAsia="Times New Roman"/>
                <w:color w:val="000000"/>
                <w:sz w:val="20"/>
                <w:szCs w:val="20"/>
                <w:vertAlign w:val="superscript"/>
                <w:rtl/>
              </w:rPr>
              <w:t>1</w:t>
            </w:r>
            <w:r w:rsidRPr="002120E9">
              <w:rPr>
                <w:rFonts w:eastAsia="Times New Roman"/>
                <w:color w:val="000000"/>
                <w:sz w:val="20"/>
                <w:szCs w:val="20"/>
                <w:rtl/>
              </w:rPr>
              <w:t xml:space="preserve"> </w:t>
            </w:r>
            <w:r w:rsidRPr="002120E9">
              <w:rPr>
                <w:rFonts w:eastAsia="Times New Roman"/>
                <w:color w:val="000000"/>
                <w:sz w:val="18"/>
                <w:szCs w:val="18"/>
                <w:rtl/>
                <w:lang w:bidi="ar-SA"/>
              </w:rPr>
              <w:t>توقعات التضخم المالي في الأرباع الأربعة المنتهية في الربع الرابع من عام 2026، ومتوسط ​​سعر الفائدة في الربع الرابع من عام 2026</w:t>
            </w:r>
            <w:r w:rsidRPr="002120E9">
              <w:rPr>
                <w:rFonts w:eastAsia="Times New Roman"/>
                <w:color w:val="000000"/>
                <w:sz w:val="20"/>
                <w:szCs w:val="20"/>
                <w:rtl/>
              </w:rPr>
              <w:t>.</w:t>
            </w:r>
          </w:p>
        </w:tc>
      </w:tr>
      <w:tr w:rsidR="00B307B4" w:rsidTr="002867DC">
        <w:trPr>
          <w:trHeight w:val="285"/>
          <w:jc w:val="center"/>
        </w:trPr>
        <w:tc>
          <w:tcPr>
            <w:tcW w:w="5000" w:type="pct"/>
            <w:gridSpan w:val="4"/>
            <w:tcBorders>
              <w:top w:val="nil"/>
              <w:left w:val="nil"/>
              <w:bottom w:val="nil"/>
              <w:right w:val="nil"/>
            </w:tcBorders>
            <w:noWrap/>
            <w:vAlign w:val="center"/>
            <w:hideMark/>
          </w:tcPr>
          <w:p w:rsidR="002120E9" w:rsidRPr="002120E9" w:rsidRDefault="004C5BF6" w:rsidP="002120E9">
            <w:pPr>
              <w:spacing w:after="0"/>
              <w:rPr>
                <w:rFonts w:eastAsia="Times New Roman"/>
                <w:color w:val="000000"/>
                <w:sz w:val="20"/>
                <w:szCs w:val="20"/>
                <w:rtl/>
              </w:rPr>
            </w:pPr>
            <w:r w:rsidRPr="002120E9">
              <w:rPr>
                <w:rFonts w:eastAsia="Times New Roman"/>
                <w:color w:val="000000"/>
                <w:sz w:val="20"/>
                <w:szCs w:val="20"/>
                <w:vertAlign w:val="superscript"/>
                <w:rtl/>
              </w:rPr>
              <w:t>2</w:t>
            </w:r>
            <w:r w:rsidRPr="002120E9">
              <w:rPr>
                <w:rFonts w:eastAsia="Times New Roman"/>
                <w:color w:val="000000"/>
                <w:sz w:val="20"/>
                <w:szCs w:val="20"/>
                <w:rtl/>
              </w:rPr>
              <w:t xml:space="preserve"> </w:t>
            </w:r>
            <w:r w:rsidRPr="002120E9">
              <w:rPr>
                <w:rFonts w:eastAsia="Times New Roman"/>
                <w:color w:val="000000"/>
                <w:sz w:val="18"/>
                <w:szCs w:val="18"/>
                <w:rtl/>
                <w:lang w:bidi="ar-SA"/>
              </w:rPr>
              <w:t xml:space="preserve">صحيح لمعطيات </w:t>
            </w:r>
            <w:r w:rsidRPr="002120E9">
              <w:rPr>
                <w:rFonts w:eastAsia="Times New Roman"/>
                <w:color w:val="000000" w:themeColor="text1"/>
                <w:sz w:val="20"/>
                <w:szCs w:val="20"/>
                <w:rtl/>
              </w:rPr>
              <w:t xml:space="preserve">1/1/2026. </w:t>
            </w:r>
            <w:r w:rsidRPr="002120E9">
              <w:rPr>
                <w:rFonts w:eastAsia="Times New Roman"/>
                <w:color w:val="000000"/>
                <w:sz w:val="18"/>
                <w:szCs w:val="18"/>
                <w:rtl/>
                <w:lang w:bidi="ar-SA"/>
              </w:rPr>
              <w:t xml:space="preserve">يتم تعديل توقعات التضخم المالي موسمياً، وتتعلق بالعام الذي يسبق </w:t>
            </w:r>
            <w:r w:rsidRPr="002120E9">
              <w:rPr>
                <w:rFonts w:eastAsia="Times New Roman"/>
                <w:color w:val="000000" w:themeColor="text1"/>
                <w:sz w:val="20"/>
                <w:szCs w:val="20"/>
                <w:rtl/>
              </w:rPr>
              <w:t xml:space="preserve">1/1/2026 </w:t>
            </w:r>
            <w:r w:rsidRPr="002120E9">
              <w:rPr>
                <w:rFonts w:eastAsia="Times New Roman"/>
                <w:color w:val="000000"/>
                <w:sz w:val="18"/>
                <w:szCs w:val="18"/>
                <w:rtl/>
                <w:lang w:bidi="ar-SA"/>
              </w:rPr>
              <w:t xml:space="preserve">وتستند توقعات أسعار الفائدة إلى متوسط ​​أسعار سوق </w:t>
            </w:r>
            <w:r w:rsidRPr="002120E9">
              <w:rPr>
                <w:rFonts w:eastAsia="Times New Roman"/>
                <w:color w:val="000000"/>
                <w:sz w:val="18"/>
                <w:szCs w:val="18"/>
              </w:rPr>
              <w:t>SHIR</w:t>
            </w:r>
            <w:r w:rsidRPr="002120E9">
              <w:rPr>
                <w:rFonts w:eastAsia="Times New Roman"/>
                <w:color w:val="000000"/>
                <w:sz w:val="18"/>
                <w:szCs w:val="18"/>
                <w:rtl/>
                <w:lang w:bidi="ar-SA"/>
              </w:rPr>
              <w:t xml:space="preserve"> وتحليلات بنك إسرائيل</w:t>
            </w:r>
            <w:r w:rsidRPr="002120E9">
              <w:rPr>
                <w:rFonts w:eastAsia="Times New Roman"/>
                <w:color w:val="000000"/>
                <w:sz w:val="18"/>
                <w:szCs w:val="18"/>
                <w:rtl/>
              </w:rPr>
              <w:t>.</w:t>
            </w:r>
          </w:p>
        </w:tc>
      </w:tr>
      <w:tr w:rsidR="00B307B4" w:rsidTr="002867DC">
        <w:trPr>
          <w:trHeight w:val="285"/>
          <w:jc w:val="center"/>
        </w:trPr>
        <w:tc>
          <w:tcPr>
            <w:tcW w:w="5000" w:type="pct"/>
            <w:gridSpan w:val="4"/>
            <w:tcBorders>
              <w:top w:val="nil"/>
              <w:left w:val="nil"/>
              <w:bottom w:val="nil"/>
              <w:right w:val="nil"/>
            </w:tcBorders>
            <w:noWrap/>
            <w:vAlign w:val="bottom"/>
            <w:hideMark/>
          </w:tcPr>
          <w:p w:rsidR="002120E9" w:rsidRPr="002120E9" w:rsidRDefault="004C5BF6" w:rsidP="002120E9">
            <w:pPr>
              <w:spacing w:after="0"/>
              <w:rPr>
                <w:rFonts w:eastAsia="Times New Roman"/>
                <w:color w:val="000000"/>
                <w:sz w:val="20"/>
                <w:szCs w:val="20"/>
                <w:rtl/>
              </w:rPr>
            </w:pPr>
            <w:r w:rsidRPr="002120E9">
              <w:rPr>
                <w:rFonts w:eastAsia="Times New Roman"/>
                <w:color w:val="000000"/>
                <w:sz w:val="20"/>
                <w:szCs w:val="20"/>
                <w:vertAlign w:val="superscript"/>
                <w:rtl/>
              </w:rPr>
              <w:t>3</w:t>
            </w:r>
            <w:r w:rsidRPr="002120E9">
              <w:rPr>
                <w:rFonts w:eastAsia="Times New Roman"/>
                <w:color w:val="000000"/>
                <w:sz w:val="20"/>
                <w:szCs w:val="20"/>
                <w:rtl/>
              </w:rPr>
              <w:t xml:space="preserve"> </w:t>
            </w:r>
            <w:r w:rsidRPr="002120E9">
              <w:rPr>
                <w:rFonts w:eastAsia="Times New Roman"/>
                <w:color w:val="000000"/>
                <w:sz w:val="18"/>
                <w:szCs w:val="18"/>
                <w:rtl/>
                <w:lang w:bidi="ar-SA"/>
              </w:rPr>
              <w:t xml:space="preserve">صحيح لمعطيات </w:t>
            </w:r>
            <w:r w:rsidRPr="002120E9">
              <w:rPr>
                <w:rFonts w:eastAsia="Times New Roman"/>
                <w:color w:val="000000" w:themeColor="text1"/>
                <w:sz w:val="20"/>
                <w:szCs w:val="20"/>
                <w:rtl/>
              </w:rPr>
              <w:t>1/1/2026</w:t>
            </w:r>
            <w:r w:rsidRPr="002120E9">
              <w:rPr>
                <w:rFonts w:eastAsia="Times New Roman"/>
                <w:color w:val="000000"/>
                <w:sz w:val="20"/>
                <w:szCs w:val="20"/>
                <w:rtl/>
              </w:rPr>
              <w:t xml:space="preserve">. </w:t>
            </w:r>
            <w:r w:rsidRPr="002120E9">
              <w:rPr>
                <w:rFonts w:eastAsia="Times New Roman"/>
                <w:color w:val="000000"/>
                <w:sz w:val="18"/>
                <w:szCs w:val="18"/>
                <w:rtl/>
                <w:lang w:bidi="ar-SA"/>
              </w:rPr>
              <w:t>تستند توقعات المتنبئين إلى المؤشرات الاثني عشر التالية</w:t>
            </w:r>
            <w:r w:rsidRPr="002120E9">
              <w:rPr>
                <w:rFonts w:eastAsia="Times New Roman"/>
                <w:color w:val="000000"/>
                <w:sz w:val="20"/>
                <w:szCs w:val="20"/>
                <w:rtl/>
              </w:rPr>
              <w:t>.</w:t>
            </w:r>
          </w:p>
        </w:tc>
      </w:tr>
      <w:tr w:rsidR="00B307B4" w:rsidTr="002867DC">
        <w:trPr>
          <w:trHeight w:val="255"/>
          <w:jc w:val="center"/>
        </w:trPr>
        <w:tc>
          <w:tcPr>
            <w:tcW w:w="5000" w:type="pct"/>
            <w:gridSpan w:val="4"/>
            <w:tcBorders>
              <w:top w:val="nil"/>
              <w:left w:val="nil"/>
              <w:bottom w:val="nil"/>
              <w:right w:val="nil"/>
            </w:tcBorders>
            <w:noWrap/>
            <w:vAlign w:val="center"/>
            <w:hideMark/>
          </w:tcPr>
          <w:p w:rsidR="002120E9" w:rsidRPr="002120E9" w:rsidRDefault="004C5BF6" w:rsidP="002120E9">
            <w:pPr>
              <w:spacing w:after="0"/>
              <w:rPr>
                <w:rFonts w:eastAsia="Times New Roman"/>
                <w:color w:val="000000"/>
                <w:sz w:val="20"/>
                <w:szCs w:val="20"/>
                <w:rtl/>
              </w:rPr>
            </w:pPr>
            <w:r w:rsidRPr="002120E9">
              <w:rPr>
                <w:rFonts w:eastAsia="Times New Roman"/>
                <w:b/>
                <w:bCs/>
                <w:color w:val="000000"/>
                <w:sz w:val="20"/>
                <w:szCs w:val="20"/>
                <w:rtl/>
                <w:lang w:bidi="ar-SA"/>
              </w:rPr>
              <w:t>المصدر</w:t>
            </w:r>
            <w:r w:rsidRPr="002120E9">
              <w:rPr>
                <w:rFonts w:eastAsia="Times New Roman"/>
                <w:b/>
                <w:bCs/>
                <w:color w:val="000000"/>
                <w:sz w:val="20"/>
                <w:szCs w:val="20"/>
                <w:rtl/>
              </w:rPr>
              <w:t>:</w:t>
            </w:r>
            <w:r w:rsidRPr="002120E9">
              <w:rPr>
                <w:rFonts w:eastAsia="Times New Roman"/>
                <w:color w:val="000000"/>
                <w:sz w:val="20"/>
                <w:szCs w:val="20"/>
                <w:rtl/>
              </w:rPr>
              <w:t xml:space="preserve"> </w:t>
            </w:r>
            <w:r w:rsidRPr="002120E9">
              <w:rPr>
                <w:rFonts w:eastAsia="Times New Roman"/>
                <w:color w:val="000000"/>
                <w:sz w:val="20"/>
                <w:szCs w:val="20"/>
                <w:rtl/>
                <w:lang w:bidi="ar-SA"/>
              </w:rPr>
              <w:t>بنك إسرائيل</w:t>
            </w:r>
            <w:r w:rsidRPr="002120E9">
              <w:rPr>
                <w:rFonts w:eastAsia="Times New Roman"/>
                <w:color w:val="000000"/>
                <w:sz w:val="20"/>
                <w:szCs w:val="20"/>
                <w:rtl/>
              </w:rPr>
              <w:t>.</w:t>
            </w:r>
          </w:p>
        </w:tc>
      </w:tr>
      <w:bookmarkEnd w:id="4"/>
    </w:tbl>
    <w:p w:rsidR="002120E9" w:rsidRPr="002120E9" w:rsidRDefault="002120E9" w:rsidP="002120E9">
      <w:pPr>
        <w:pStyle w:val="a"/>
        <w:numPr>
          <w:ilvl w:val="0"/>
          <w:numId w:val="0"/>
        </w:numPr>
        <w:spacing w:line="276" w:lineRule="auto"/>
        <w:ind w:left="720" w:hanging="360"/>
        <w:rPr>
          <w:rFonts w:ascii="Calibri" w:hAnsi="Calibri" w:cs="Calibri"/>
          <w:sz w:val="24"/>
          <w:rtl/>
        </w:rPr>
      </w:pPr>
    </w:p>
    <w:p w:rsidR="002120E9" w:rsidRPr="002120E9" w:rsidRDefault="004C5BF6" w:rsidP="002120E9">
      <w:pPr>
        <w:pStyle w:val="p1"/>
        <w:bidi/>
        <w:rPr>
          <w:rFonts w:ascii="Calibri" w:hAnsi="Calibri" w:cs="Calibri"/>
        </w:rPr>
      </w:pPr>
      <w:r w:rsidRPr="002120E9">
        <w:rPr>
          <w:rFonts w:ascii="Calibri" w:hAnsi="Calibri" w:cs="Calibri"/>
          <w:b/>
          <w:bCs/>
          <w:rtl/>
        </w:rPr>
        <w:t>د. المخاطر الرئيسية للتوقعات</w:t>
      </w:r>
    </w:p>
    <w:p w:rsidR="002120E9" w:rsidRPr="002120E9" w:rsidRDefault="004C5BF6" w:rsidP="002120E9">
      <w:pPr>
        <w:pStyle w:val="p3"/>
        <w:bidi/>
        <w:rPr>
          <w:rFonts w:ascii="Calibri" w:hAnsi="Calibri" w:cs="Calibri"/>
        </w:rPr>
      </w:pPr>
      <w:r w:rsidRPr="002120E9">
        <w:rPr>
          <w:rFonts w:ascii="Calibri" w:hAnsi="Calibri" w:cs="Calibri"/>
          <w:rtl/>
        </w:rPr>
        <w:t>انخفض مستوى عدم اليقين المحيط بالتوقعات في أعقاب وقف إطلاق النار، غير أن ميزان المخاطر ظل معقّدًا. فمن جهة، توجد إمكانية لتوسع سريع في الطلب يتجاوز التقديرات الأساسية، وهو سيناريو قد يؤدي إلى تسارع التضخم</w:t>
      </w:r>
      <w:r w:rsidRPr="002120E9">
        <w:rPr>
          <w:rFonts w:ascii="Calibri" w:hAnsi="Calibri" w:cs="Calibri"/>
          <w:rtl/>
        </w:rPr>
        <w:t xml:space="preserve"> في ظل سوق عمل مشدودة ونقص في اليد العاملة. ومن جهة أخرى، تبقى المخاطر الجيوسياسية ثنائية الاتجاه؛ إذ إن العودة إلى قتال مكثف تشكّل تهديدًا مركزيًا لاستقرار الأسعار، في حين أن تحقيق اختراق سياسي وتوسيع «اتفاقيات إبراهيم» قد يشكّلا عاملًا إيجابيًا. وإلى جان</w:t>
      </w:r>
      <w:r w:rsidRPr="002120E9">
        <w:rPr>
          <w:rFonts w:ascii="Calibri" w:hAnsi="Calibri" w:cs="Calibri"/>
          <w:rtl/>
        </w:rPr>
        <w:t>ب ذلك، فإن احتمال تقديم موعد الانتخابات يواصل كونه عامل عدم يقين يؤثر في التطورات المالية العامة.</w:t>
      </w:r>
    </w:p>
    <w:p w:rsidR="002120E9" w:rsidRPr="002120E9" w:rsidRDefault="002120E9" w:rsidP="00EE117B">
      <w:pPr>
        <w:tabs>
          <w:tab w:val="num" w:pos="720"/>
        </w:tabs>
        <w:ind w:left="8"/>
        <w:jc w:val="both"/>
        <w:rPr>
          <w:rtl/>
          <w:lang w:val="" w:bidi="ar-SA"/>
        </w:rPr>
      </w:pPr>
    </w:p>
    <w:sectPr w:rsidR="002120E9" w:rsidRPr="002120E9" w:rsidSect="001D340E">
      <w:footerReference w:type="default" r:id="rId12"/>
      <w:footerReference w:type="first" r:id="rId13"/>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5BF6">
      <w:pPr>
        <w:spacing w:after="0" w:line="240" w:lineRule="auto"/>
      </w:pPr>
      <w:r>
        <w:separator/>
      </w:r>
    </w:p>
  </w:endnote>
  <w:endnote w:type="continuationSeparator" w:id="0">
    <w:p w:rsidR="00000000" w:rsidRDefault="004C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altName w:val="Courier New"/>
    <w:panose1 w:val="00000500000000000000"/>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1FB" w:rsidRDefault="004C5BF6" w:rsidP="000411FB">
    <w:pPr>
      <w:pStyle w:val="af"/>
      <w:rPr>
        <w:rtl/>
      </w:rPr>
    </w:pPr>
    <w:r>
      <w:rPr>
        <w:noProof/>
      </w:rPr>
      <mc:AlternateContent>
        <mc:Choice Requires="wps">
          <w:drawing>
            <wp:anchor distT="0" distB="0" distL="114300" distR="114300" simplePos="0" relativeHeight="251665408"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0411FB" w:rsidRPr="00031A9D" w:rsidRDefault="004C5BF6" w:rsidP="000411FB">
                          <w:pPr>
                            <w:jc w:val="center"/>
                            <w:rPr>
                              <w:sz w:val="16"/>
                              <w:szCs w:val="16"/>
                              <w:rtl/>
                            </w:rPr>
                          </w:pPr>
                          <w:r w:rsidRPr="00031A9D">
                            <w:rPr>
                              <w:noProof/>
                              <w:sz w:val="16"/>
                              <w:szCs w:val="16"/>
                              <w:rtl/>
                            </w:rPr>
                            <w:t>פודקאסט  בנק ישראל</w:t>
                          </w:r>
                          <w:r w:rsidRPr="00031A9D">
                            <w:rPr>
                              <w:noProof/>
                              <w:sz w:val="16"/>
                              <w:szCs w:val="16"/>
                              <w:rtl/>
                            </w:rPr>
                            <w:br/>
                          </w:r>
                          <w:hyperlink r:id="rId1" w:history="1">
                            <w:r w:rsidRPr="00F25BB5">
                              <w:rPr>
                                <w:rStyle w:val="Hyperlink"/>
                                <w:sz w:val="14"/>
                                <w:szCs w:val="14"/>
                              </w:rPr>
                              <w:t>https://www.boi.org.il/bank-of-israel/boi-podcast/</w:t>
                            </w:r>
                          </w:hyperlink>
                          <w:r>
                            <w:rPr>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6432" filled="f" stroked="f" strokeweight="0.5pt">
              <v:textbox>
                <w:txbxContent>
                  <w:p w:rsidR="000411FB" w:rsidRPr="00031A9D" w:rsidP="000411FB" w14:paraId="626718A2" w14:textId="77777777">
                    <w:pPr>
                      <w:jc w:val="center"/>
                      <w:rPr>
                        <w:sz w:val="16"/>
                        <w:szCs w:val="16"/>
                        <w:rtl/>
                      </w:rPr>
                    </w:pPr>
                    <w:r w:rsidRPr="00031A9D">
                      <w:rPr>
                        <w:noProof/>
                        <w:sz w:val="16"/>
                        <w:szCs w:val="16"/>
                        <w:rtl/>
                      </w:rPr>
                      <w:t>פודקאסט  בנק ישראל</w:t>
                    </w:r>
                    <w:r w:rsidRPr="00031A9D">
                      <w:rPr>
                        <w:noProof/>
                        <w:sz w:val="16"/>
                        <w:szCs w:val="16"/>
                        <w:rtl/>
                      </w:rPr>
                      <w:br/>
                    </w:r>
                    <w:hyperlink r:id="rId2" w:history="1">
                      <w:r w:rsidRPr="00F25BB5">
                        <w:rPr>
                          <w:rStyle w:val="Hyperlink"/>
                          <w:sz w:val="14"/>
                          <w:szCs w:val="14"/>
                        </w:rPr>
                        <w:t>https://www.boi.org.il/bank-of-israel/boi-podcast/</w:t>
                      </w:r>
                    </w:hyperlink>
                    <w:r>
                      <w:rPr>
                        <w:sz w:val="16"/>
                        <w:szCs w:val="16"/>
                      </w:rPr>
                      <w:t xml:space="preserve"> </w:t>
                    </w:r>
                  </w:p>
                </w:txbxContent>
              </v:textbox>
              <w10:wrap anchorx="margin"/>
            </v:shape>
          </w:pict>
        </mc:Fallback>
      </mc:AlternateContent>
    </w:r>
    <w:r w:rsidRPr="00571971">
      <w:rPr>
        <w:noProof/>
        <w:rtl/>
      </w:rPr>
      <w:drawing>
        <wp:anchor distT="0" distB="0" distL="114300" distR="114300" simplePos="0" relativeHeight="251669504"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noProof/>
      </w:rPr>
      <w:drawing>
        <wp:anchor distT="0" distB="0" distL="114300" distR="114300" simplePos="0" relativeHeight="251670528"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noProof/>
      </w:rPr>
      <w:drawing>
        <wp:anchor distT="0" distB="0" distL="114300" distR="114300" simplePos="0" relativeHeight="251671552"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0411FB" w:rsidRPr="00031A9D" w:rsidRDefault="004C5BF6" w:rsidP="000411FB">
                          <w:pPr>
                            <w:jc w:val="center"/>
                            <w:rPr>
                              <w:noProof/>
                              <w:sz w:val="16"/>
                              <w:szCs w:val="16"/>
                              <w:rtl/>
                            </w:rPr>
                          </w:pPr>
                          <w:r w:rsidRPr="00031A9D">
                            <w:rPr>
                              <w:noProof/>
                              <w:sz w:val="16"/>
                              <w:szCs w:val="16"/>
                              <w:rtl/>
                            </w:rPr>
                            <w:t>יוטיוב - בנק ישראל</w:t>
                          </w:r>
                          <w:r w:rsidRPr="00031A9D">
                            <w:rPr>
                              <w:noProof/>
                              <w:sz w:val="16"/>
                              <w:szCs w:val="16"/>
                              <w:rtl/>
                            </w:rPr>
                            <w:br/>
                          </w:r>
                          <w:hyperlink r:id="rId7" w:history="1">
                            <w:r w:rsidRPr="00031A9D">
                              <w:rPr>
                                <w:rStyle w:val="Hyperlink"/>
                                <w:noProof/>
                                <w:sz w:val="14"/>
                                <w:szCs w:val="14"/>
                              </w:rPr>
                              <w:t>https://www.youtube.com/user/thebankofisrael</w:t>
                            </w:r>
                          </w:hyperlink>
                          <w:r w:rsidRPr="00031A9D">
                            <w:rPr>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3600" filled="f" stroked="f" strokeweight="0.5pt">
              <v:textbox>
                <w:txbxContent>
                  <w:p w:rsidR="000411FB" w:rsidRPr="00031A9D" w:rsidP="000411FB" w14:paraId="43416223" w14:textId="77777777">
                    <w:pPr>
                      <w:jc w:val="center"/>
                      <w:rPr>
                        <w:noProof/>
                        <w:sz w:val="16"/>
                        <w:szCs w:val="16"/>
                        <w:rtl/>
                      </w:rPr>
                    </w:pPr>
                    <w:r w:rsidRPr="00031A9D">
                      <w:rPr>
                        <w:noProof/>
                        <w:sz w:val="16"/>
                        <w:szCs w:val="16"/>
                        <w:rtl/>
                      </w:rPr>
                      <w:t>יוטיוב - בנק ישראל</w:t>
                    </w:r>
                    <w:r w:rsidRPr="00031A9D">
                      <w:rPr>
                        <w:noProof/>
                        <w:sz w:val="16"/>
                        <w:szCs w:val="16"/>
                        <w:rtl/>
                      </w:rPr>
                      <w:br/>
                    </w:r>
                    <w:hyperlink r:id="rId11" w:history="1">
                      <w:r w:rsidRPr="00031A9D">
                        <w:rPr>
                          <w:rStyle w:val="Hyperlink"/>
                          <w:noProof/>
                          <w:sz w:val="14"/>
                          <w:szCs w:val="14"/>
                        </w:rPr>
                        <w:t>https://www.youtube.com/user/thebankofisrael</w:t>
                      </w:r>
                    </w:hyperlink>
                    <w:r w:rsidRPr="00031A9D">
                      <w:rPr>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0411FB" w:rsidRPr="00031A9D" w:rsidRDefault="004C5BF6" w:rsidP="000411FB">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3360" filled="f" stroked="f" strokeweight="0.5pt">
              <v:textbox>
                <w:txbxContent>
                  <w:p w:rsidR="000411FB" w:rsidRPr="00031A9D" w:rsidP="000411FB" w14:paraId="4F0C44C1" w14:textId="77777777">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0411FB" w:rsidRPr="00031A9D" w:rsidRDefault="004C5BF6" w:rsidP="000411FB">
                          <w:pPr>
                            <w:jc w:val="center"/>
                            <w:rPr>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sz w:val="14"/>
                                <w:szCs w:val="14"/>
                              </w:rPr>
                              <w:t>https://www.boi.org.il</w:t>
                            </w:r>
                            <w:r w:rsidRPr="00031A9D">
                              <w:rPr>
                                <w:rStyle w:val="Hyperlink"/>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61312" filled="f" stroked="f" strokeweight="0.5pt">
              <v:textbox>
                <w:txbxContent>
                  <w:p w:rsidR="000411FB" w:rsidRPr="00031A9D" w:rsidP="000411FB" w14:paraId="065A83DC" w14:textId="77777777">
                    <w:pPr>
                      <w:jc w:val="center"/>
                      <w:rPr>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sz w:val="14"/>
                          <w:szCs w:val="14"/>
                        </w:rPr>
                        <w:t>https://www.boi.org.il</w:t>
                      </w:r>
                      <w:r w:rsidRPr="00031A9D">
                        <w:rPr>
                          <w:rStyle w:val="Hyperlink"/>
                          <w:sz w:val="14"/>
                          <w:szCs w:val="14"/>
                          <w:rtl/>
                        </w:rPr>
                        <w:t>/</w:t>
                      </w:r>
                    </w:hyperlink>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8480" from="-6.45pt,-17.55pt" to="483.95pt,-17.55pt" strokecolor="black"/>
          </w:pict>
        </mc:Fallback>
      </mc:AlternateContent>
    </w:r>
    <w:r w:rsidRPr="00571971">
      <w:rPr>
        <w:noProof/>
        <w:rtl/>
      </w:rPr>
      <w:t xml:space="preserve"> </w:t>
    </w:r>
  </w:p>
  <w:p w:rsidR="00C702B3" w:rsidRDefault="00C702B3">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4C5BF6" w:rsidP="001D340E">
    <w:pPr>
      <w:pStyle w:val="af"/>
      <w:rPr>
        <w:rtl/>
      </w:rPr>
    </w:pPr>
    <w:r>
      <w:rPr>
        <w:noProof/>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35" o:spid="_x0000_s2054" style="flip:x;mso-wrap-distance-bottom:0;mso-wrap-distance-left:9pt;mso-wrap-distance-right:9pt;mso-wrap-distance-top:0;mso-wrap-style:square;position:absolute;visibility:visible;z-index:251659264" from="-6.45pt,-17.55pt" to="483.95pt,-17.55pt" strokecolor="black"/>
          </w:pict>
        </mc:Fallback>
      </mc:AlternateContent>
    </w:r>
    <w:r w:rsidRPr="00571971">
      <w:rPr>
        <w:noProof/>
        <w:rtl/>
      </w:rPr>
      <w:t xml:space="preserve"> </w:t>
    </w:r>
  </w:p>
  <w:p w:rsidR="001D340E" w:rsidRPr="009005BA" w:rsidRDefault="001D340E" w:rsidP="001D340E">
    <w:pPr>
      <w:pStyle w:val="af"/>
    </w:pPr>
  </w:p>
  <w:p w:rsidR="001D340E" w:rsidRDefault="001D34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2CD" w:rsidRDefault="004C5BF6" w:rsidP="008755E3">
      <w:pPr>
        <w:spacing w:after="0" w:line="240" w:lineRule="auto"/>
      </w:pPr>
      <w:r>
        <w:separator/>
      </w:r>
    </w:p>
  </w:footnote>
  <w:footnote w:type="continuationSeparator" w:id="0">
    <w:p w:rsidR="00DD52CD" w:rsidRDefault="004C5BF6" w:rsidP="008755E3">
      <w:pPr>
        <w:spacing w:after="0" w:line="240" w:lineRule="auto"/>
      </w:pPr>
      <w:r>
        <w:continuationSeparator/>
      </w:r>
    </w:p>
  </w:footnote>
  <w:footnote w:id="1">
    <w:p w:rsidR="002120E9" w:rsidRPr="002120E9" w:rsidRDefault="004C5BF6" w:rsidP="002120E9">
      <w:pPr>
        <w:pStyle w:val="p1"/>
        <w:bidi/>
        <w:rPr>
          <w:rFonts w:ascii="Calibri" w:hAnsi="Calibri" w:cs="Calibri"/>
          <w:sz w:val="20"/>
          <w:szCs w:val="20"/>
        </w:rPr>
      </w:pPr>
      <w:r w:rsidRPr="002120E9">
        <w:rPr>
          <w:rStyle w:val="af3"/>
          <w:rFonts w:ascii="Calibri" w:hAnsi="Calibri" w:cs="Calibri"/>
          <w:sz w:val="20"/>
          <w:szCs w:val="20"/>
        </w:rPr>
        <w:footnoteRef/>
      </w:r>
      <w:r w:rsidRPr="002120E9">
        <w:rPr>
          <w:rFonts w:ascii="Calibri" w:hAnsi="Calibri" w:cs="Calibri"/>
          <w:sz w:val="20"/>
          <w:szCs w:val="20"/>
          <w:rtl/>
        </w:rPr>
        <w:t xml:space="preserve"> قُدِّمت التوقعات إلى اللجنة النقدية في 4/1/2026، وذلك قبيل قرار سعر </w:t>
      </w:r>
      <w:r w:rsidRPr="002120E9">
        <w:rPr>
          <w:rFonts w:ascii="Calibri" w:hAnsi="Calibri" w:cs="Calibri"/>
          <w:sz w:val="20"/>
          <w:szCs w:val="20"/>
          <w:rtl/>
        </w:rPr>
        <w:t>الفائدة الذي اتُّخذ في 5/1/2026.</w:t>
      </w:r>
    </w:p>
    <w:p w:rsidR="0096452E" w:rsidRPr="002120E9" w:rsidRDefault="0096452E" w:rsidP="00144E5B">
      <w:pPr>
        <w:pStyle w:val="af1"/>
        <w:spacing w:before="60"/>
        <w:ind w:left="19"/>
        <w:rPr>
          <w:sz w:val="18"/>
          <w:szCs w:val="18"/>
          <w:rtl/>
          <w:lang w:val=""/>
        </w:rPr>
      </w:pPr>
    </w:p>
  </w:footnote>
  <w:footnote w:id="2">
    <w:p w:rsidR="002120E9" w:rsidRPr="002120E9" w:rsidRDefault="004C5BF6" w:rsidP="002120E9">
      <w:pPr>
        <w:pStyle w:val="p1"/>
        <w:bidi/>
        <w:rPr>
          <w:rFonts w:ascii="Calibri" w:hAnsi="Calibri" w:cs="Calibri"/>
          <w:sz w:val="20"/>
          <w:szCs w:val="20"/>
        </w:rPr>
      </w:pPr>
      <w:r>
        <w:rPr>
          <w:rStyle w:val="af3"/>
          <w:rFonts w:ascii="Calibri" w:eastAsiaTheme="minorHAnsi" w:hAnsi="Calibri" w:cs="Calibri"/>
          <w:sz w:val="20"/>
          <w:szCs w:val="20"/>
          <w:rtl/>
          <w:lang w:val="en-US" w:bidi="he-IL"/>
        </w:rPr>
        <w:t>4</w:t>
      </w:r>
      <w:r w:rsidRPr="002120E9">
        <w:rPr>
          <w:rFonts w:ascii="Calibri" w:hAnsi="Calibri" w:cs="Calibri"/>
          <w:sz w:val="20"/>
          <w:szCs w:val="20"/>
          <w:rtl/>
        </w:rPr>
        <w:t xml:space="preserve"> </w:t>
      </w:r>
      <w:r w:rsidRPr="002120E9">
        <w:rPr>
          <w:rFonts w:ascii="Calibri" w:hAnsi="Calibri" w:cs="Calibri"/>
          <w:b/>
          <w:sz w:val="20"/>
          <w:szCs w:val="20"/>
          <w:rtl/>
        </w:rPr>
        <w:t xml:space="preserve"> </w:t>
      </w:r>
      <w:r w:rsidRPr="002120E9">
        <w:rPr>
          <w:rFonts w:ascii="Calibri" w:hAnsi="Calibri" w:cs="Calibri"/>
          <w:sz w:val="20"/>
          <w:szCs w:val="20"/>
          <w:rtl/>
        </w:rPr>
        <w:t>متوسط مؤشر أسعار المستهلك في الربع الرابع من عام 2026 مقارنةً بالربع الرابع من عام 2025.</w:t>
      </w:r>
    </w:p>
    <w:p w:rsidR="002120E9" w:rsidRPr="002120E9" w:rsidRDefault="002120E9" w:rsidP="003D05C0">
      <w:pPr>
        <w:pStyle w:val="af1"/>
        <w:rPr>
          <w:lang w:v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27"/>
    <w:multiLevelType w:val="hybridMultilevel"/>
    <w:tmpl w:val="8BE07C14"/>
    <w:lvl w:ilvl="0" w:tplc="92E289E4">
      <w:start w:val="1"/>
      <w:numFmt w:val="bullet"/>
      <w:lvlText w:val="•"/>
      <w:lvlJc w:val="left"/>
      <w:pPr>
        <w:tabs>
          <w:tab w:val="num" w:pos="720"/>
        </w:tabs>
        <w:ind w:left="720" w:hanging="360"/>
      </w:pPr>
      <w:rPr>
        <w:rFonts w:ascii="Arial" w:hAnsi="Arial" w:hint="default"/>
        <w:lang w:bidi="he-IL"/>
      </w:rPr>
    </w:lvl>
    <w:lvl w:ilvl="1" w:tplc="610465DE" w:tentative="1">
      <w:start w:val="1"/>
      <w:numFmt w:val="bullet"/>
      <w:lvlText w:val="•"/>
      <w:lvlJc w:val="left"/>
      <w:pPr>
        <w:tabs>
          <w:tab w:val="num" w:pos="1440"/>
        </w:tabs>
        <w:ind w:left="1440" w:hanging="360"/>
      </w:pPr>
      <w:rPr>
        <w:rFonts w:ascii="Arial" w:hAnsi="Arial" w:hint="default"/>
      </w:rPr>
    </w:lvl>
    <w:lvl w:ilvl="2" w:tplc="541C2F82" w:tentative="1">
      <w:start w:val="1"/>
      <w:numFmt w:val="bullet"/>
      <w:lvlText w:val="•"/>
      <w:lvlJc w:val="left"/>
      <w:pPr>
        <w:tabs>
          <w:tab w:val="num" w:pos="2160"/>
        </w:tabs>
        <w:ind w:left="2160" w:hanging="360"/>
      </w:pPr>
      <w:rPr>
        <w:rFonts w:ascii="Arial" w:hAnsi="Arial" w:hint="default"/>
      </w:rPr>
    </w:lvl>
    <w:lvl w:ilvl="3" w:tplc="0FC8C818" w:tentative="1">
      <w:start w:val="1"/>
      <w:numFmt w:val="bullet"/>
      <w:lvlText w:val="•"/>
      <w:lvlJc w:val="left"/>
      <w:pPr>
        <w:tabs>
          <w:tab w:val="num" w:pos="2880"/>
        </w:tabs>
        <w:ind w:left="2880" w:hanging="360"/>
      </w:pPr>
      <w:rPr>
        <w:rFonts w:ascii="Arial" w:hAnsi="Arial" w:hint="default"/>
      </w:rPr>
    </w:lvl>
    <w:lvl w:ilvl="4" w:tplc="D3D8A028" w:tentative="1">
      <w:start w:val="1"/>
      <w:numFmt w:val="bullet"/>
      <w:lvlText w:val="•"/>
      <w:lvlJc w:val="left"/>
      <w:pPr>
        <w:tabs>
          <w:tab w:val="num" w:pos="3600"/>
        </w:tabs>
        <w:ind w:left="3600" w:hanging="360"/>
      </w:pPr>
      <w:rPr>
        <w:rFonts w:ascii="Arial" w:hAnsi="Arial" w:hint="default"/>
      </w:rPr>
    </w:lvl>
    <w:lvl w:ilvl="5" w:tplc="91EA443E" w:tentative="1">
      <w:start w:val="1"/>
      <w:numFmt w:val="bullet"/>
      <w:lvlText w:val="•"/>
      <w:lvlJc w:val="left"/>
      <w:pPr>
        <w:tabs>
          <w:tab w:val="num" w:pos="4320"/>
        </w:tabs>
        <w:ind w:left="4320" w:hanging="360"/>
      </w:pPr>
      <w:rPr>
        <w:rFonts w:ascii="Arial" w:hAnsi="Arial" w:hint="default"/>
      </w:rPr>
    </w:lvl>
    <w:lvl w:ilvl="6" w:tplc="6C78999E" w:tentative="1">
      <w:start w:val="1"/>
      <w:numFmt w:val="bullet"/>
      <w:lvlText w:val="•"/>
      <w:lvlJc w:val="left"/>
      <w:pPr>
        <w:tabs>
          <w:tab w:val="num" w:pos="5040"/>
        </w:tabs>
        <w:ind w:left="5040" w:hanging="360"/>
      </w:pPr>
      <w:rPr>
        <w:rFonts w:ascii="Arial" w:hAnsi="Arial" w:hint="default"/>
      </w:rPr>
    </w:lvl>
    <w:lvl w:ilvl="7" w:tplc="F21A920E" w:tentative="1">
      <w:start w:val="1"/>
      <w:numFmt w:val="bullet"/>
      <w:lvlText w:val="•"/>
      <w:lvlJc w:val="left"/>
      <w:pPr>
        <w:tabs>
          <w:tab w:val="num" w:pos="5760"/>
        </w:tabs>
        <w:ind w:left="5760" w:hanging="360"/>
      </w:pPr>
      <w:rPr>
        <w:rFonts w:ascii="Arial" w:hAnsi="Arial" w:hint="default"/>
      </w:rPr>
    </w:lvl>
    <w:lvl w:ilvl="8" w:tplc="C92E84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537D36"/>
    <w:multiLevelType w:val="hybridMultilevel"/>
    <w:tmpl w:val="9E6ABAF0"/>
    <w:lvl w:ilvl="0" w:tplc="7728B050">
      <w:start w:val="1"/>
      <w:numFmt w:val="bullet"/>
      <w:lvlText w:val=""/>
      <w:lvlJc w:val="left"/>
      <w:pPr>
        <w:ind w:left="720" w:hanging="360"/>
      </w:pPr>
      <w:rPr>
        <w:rFonts w:ascii="Wingdings" w:hAnsi="Wingdings" w:hint="default"/>
      </w:rPr>
    </w:lvl>
    <w:lvl w:ilvl="1" w:tplc="896A1818" w:tentative="1">
      <w:start w:val="1"/>
      <w:numFmt w:val="bullet"/>
      <w:lvlText w:val="o"/>
      <w:lvlJc w:val="left"/>
      <w:pPr>
        <w:ind w:left="1440" w:hanging="360"/>
      </w:pPr>
      <w:rPr>
        <w:rFonts w:ascii="Courier New" w:hAnsi="Courier New" w:cs="Courier New" w:hint="default"/>
      </w:rPr>
    </w:lvl>
    <w:lvl w:ilvl="2" w:tplc="8E249C5C" w:tentative="1">
      <w:start w:val="1"/>
      <w:numFmt w:val="bullet"/>
      <w:lvlText w:val=""/>
      <w:lvlJc w:val="left"/>
      <w:pPr>
        <w:ind w:left="2160" w:hanging="360"/>
      </w:pPr>
      <w:rPr>
        <w:rFonts w:ascii="Wingdings" w:hAnsi="Wingdings" w:hint="default"/>
      </w:rPr>
    </w:lvl>
    <w:lvl w:ilvl="3" w:tplc="10B8DE7E" w:tentative="1">
      <w:start w:val="1"/>
      <w:numFmt w:val="bullet"/>
      <w:lvlText w:val=""/>
      <w:lvlJc w:val="left"/>
      <w:pPr>
        <w:ind w:left="2880" w:hanging="360"/>
      </w:pPr>
      <w:rPr>
        <w:rFonts w:ascii="Symbol" w:hAnsi="Symbol" w:hint="default"/>
      </w:rPr>
    </w:lvl>
    <w:lvl w:ilvl="4" w:tplc="25E65550" w:tentative="1">
      <w:start w:val="1"/>
      <w:numFmt w:val="bullet"/>
      <w:lvlText w:val="o"/>
      <w:lvlJc w:val="left"/>
      <w:pPr>
        <w:ind w:left="3600" w:hanging="360"/>
      </w:pPr>
      <w:rPr>
        <w:rFonts w:ascii="Courier New" w:hAnsi="Courier New" w:cs="Courier New" w:hint="default"/>
      </w:rPr>
    </w:lvl>
    <w:lvl w:ilvl="5" w:tplc="448C0858" w:tentative="1">
      <w:start w:val="1"/>
      <w:numFmt w:val="bullet"/>
      <w:lvlText w:val=""/>
      <w:lvlJc w:val="left"/>
      <w:pPr>
        <w:ind w:left="4320" w:hanging="360"/>
      </w:pPr>
      <w:rPr>
        <w:rFonts w:ascii="Wingdings" w:hAnsi="Wingdings" w:hint="default"/>
      </w:rPr>
    </w:lvl>
    <w:lvl w:ilvl="6" w:tplc="6924F77E" w:tentative="1">
      <w:start w:val="1"/>
      <w:numFmt w:val="bullet"/>
      <w:lvlText w:val=""/>
      <w:lvlJc w:val="left"/>
      <w:pPr>
        <w:ind w:left="5040" w:hanging="360"/>
      </w:pPr>
      <w:rPr>
        <w:rFonts w:ascii="Symbol" w:hAnsi="Symbol" w:hint="default"/>
      </w:rPr>
    </w:lvl>
    <w:lvl w:ilvl="7" w:tplc="2C9CE31E" w:tentative="1">
      <w:start w:val="1"/>
      <w:numFmt w:val="bullet"/>
      <w:lvlText w:val="o"/>
      <w:lvlJc w:val="left"/>
      <w:pPr>
        <w:ind w:left="5760" w:hanging="360"/>
      </w:pPr>
      <w:rPr>
        <w:rFonts w:ascii="Courier New" w:hAnsi="Courier New" w:cs="Courier New" w:hint="default"/>
      </w:rPr>
    </w:lvl>
    <w:lvl w:ilvl="8" w:tplc="84206862"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5114F5D4">
      <w:start w:val="1"/>
      <w:numFmt w:val="bullet"/>
      <w:lvlText w:val=""/>
      <w:lvlJc w:val="left"/>
      <w:pPr>
        <w:ind w:left="720" w:hanging="360"/>
      </w:pPr>
      <w:rPr>
        <w:rFonts w:ascii="Wingdings" w:hAnsi="Wingdings" w:hint="default"/>
      </w:rPr>
    </w:lvl>
    <w:lvl w:ilvl="1" w:tplc="8496DCF8" w:tentative="1">
      <w:start w:val="1"/>
      <w:numFmt w:val="bullet"/>
      <w:lvlText w:val="o"/>
      <w:lvlJc w:val="left"/>
      <w:pPr>
        <w:ind w:left="1440" w:hanging="360"/>
      </w:pPr>
      <w:rPr>
        <w:rFonts w:ascii="Courier New" w:hAnsi="Courier New" w:cs="Courier New" w:hint="default"/>
      </w:rPr>
    </w:lvl>
    <w:lvl w:ilvl="2" w:tplc="AEB26E4A" w:tentative="1">
      <w:start w:val="1"/>
      <w:numFmt w:val="bullet"/>
      <w:lvlText w:val=""/>
      <w:lvlJc w:val="left"/>
      <w:pPr>
        <w:ind w:left="2160" w:hanging="360"/>
      </w:pPr>
      <w:rPr>
        <w:rFonts w:ascii="Wingdings" w:hAnsi="Wingdings" w:hint="default"/>
      </w:rPr>
    </w:lvl>
    <w:lvl w:ilvl="3" w:tplc="66B25778" w:tentative="1">
      <w:start w:val="1"/>
      <w:numFmt w:val="bullet"/>
      <w:lvlText w:val=""/>
      <w:lvlJc w:val="left"/>
      <w:pPr>
        <w:ind w:left="2880" w:hanging="360"/>
      </w:pPr>
      <w:rPr>
        <w:rFonts w:ascii="Symbol" w:hAnsi="Symbol" w:hint="default"/>
      </w:rPr>
    </w:lvl>
    <w:lvl w:ilvl="4" w:tplc="EB98E148" w:tentative="1">
      <w:start w:val="1"/>
      <w:numFmt w:val="bullet"/>
      <w:lvlText w:val="o"/>
      <w:lvlJc w:val="left"/>
      <w:pPr>
        <w:ind w:left="3600" w:hanging="360"/>
      </w:pPr>
      <w:rPr>
        <w:rFonts w:ascii="Courier New" w:hAnsi="Courier New" w:cs="Courier New" w:hint="default"/>
      </w:rPr>
    </w:lvl>
    <w:lvl w:ilvl="5" w:tplc="3E8CDC94" w:tentative="1">
      <w:start w:val="1"/>
      <w:numFmt w:val="bullet"/>
      <w:lvlText w:val=""/>
      <w:lvlJc w:val="left"/>
      <w:pPr>
        <w:ind w:left="4320" w:hanging="360"/>
      </w:pPr>
      <w:rPr>
        <w:rFonts w:ascii="Wingdings" w:hAnsi="Wingdings" w:hint="default"/>
      </w:rPr>
    </w:lvl>
    <w:lvl w:ilvl="6" w:tplc="B1522D06" w:tentative="1">
      <w:start w:val="1"/>
      <w:numFmt w:val="bullet"/>
      <w:lvlText w:val=""/>
      <w:lvlJc w:val="left"/>
      <w:pPr>
        <w:ind w:left="5040" w:hanging="360"/>
      </w:pPr>
      <w:rPr>
        <w:rFonts w:ascii="Symbol" w:hAnsi="Symbol" w:hint="default"/>
      </w:rPr>
    </w:lvl>
    <w:lvl w:ilvl="7" w:tplc="9C6C79AA" w:tentative="1">
      <w:start w:val="1"/>
      <w:numFmt w:val="bullet"/>
      <w:lvlText w:val="o"/>
      <w:lvlJc w:val="left"/>
      <w:pPr>
        <w:ind w:left="5760" w:hanging="360"/>
      </w:pPr>
      <w:rPr>
        <w:rFonts w:ascii="Courier New" w:hAnsi="Courier New" w:cs="Courier New" w:hint="default"/>
      </w:rPr>
    </w:lvl>
    <w:lvl w:ilvl="8" w:tplc="D70ECD50" w:tentative="1">
      <w:start w:val="1"/>
      <w:numFmt w:val="bullet"/>
      <w:lvlText w:val=""/>
      <w:lvlJc w:val="left"/>
      <w:pPr>
        <w:ind w:left="6480" w:hanging="360"/>
      </w:pPr>
      <w:rPr>
        <w:rFonts w:ascii="Wingdings" w:hAnsi="Wingdings" w:hint="default"/>
      </w:rPr>
    </w:lvl>
  </w:abstractNum>
  <w:abstractNum w:abstractNumId="3" w15:restartNumberingAfterBreak="0">
    <w:nsid w:val="106060DB"/>
    <w:multiLevelType w:val="hybridMultilevel"/>
    <w:tmpl w:val="9ABC8572"/>
    <w:lvl w:ilvl="0" w:tplc="076040DA">
      <w:start w:val="3"/>
      <w:numFmt w:val="decimal"/>
      <w:lvlText w:val="%1"/>
      <w:lvlJc w:val="left"/>
      <w:pPr>
        <w:ind w:left="720" w:hanging="360"/>
      </w:pPr>
      <w:rPr>
        <w:rFonts w:hint="default"/>
      </w:rPr>
    </w:lvl>
    <w:lvl w:ilvl="1" w:tplc="3EDC0420" w:tentative="1">
      <w:start w:val="1"/>
      <w:numFmt w:val="lowerLetter"/>
      <w:lvlText w:val="%2."/>
      <w:lvlJc w:val="left"/>
      <w:pPr>
        <w:ind w:left="1440" w:hanging="360"/>
      </w:pPr>
    </w:lvl>
    <w:lvl w:ilvl="2" w:tplc="80D2703C" w:tentative="1">
      <w:start w:val="1"/>
      <w:numFmt w:val="lowerRoman"/>
      <w:lvlText w:val="%3."/>
      <w:lvlJc w:val="right"/>
      <w:pPr>
        <w:ind w:left="2160" w:hanging="180"/>
      </w:pPr>
    </w:lvl>
    <w:lvl w:ilvl="3" w:tplc="07D48C52" w:tentative="1">
      <w:start w:val="1"/>
      <w:numFmt w:val="decimal"/>
      <w:lvlText w:val="%4."/>
      <w:lvlJc w:val="left"/>
      <w:pPr>
        <w:ind w:left="2880" w:hanging="360"/>
      </w:pPr>
    </w:lvl>
    <w:lvl w:ilvl="4" w:tplc="BB760F3E" w:tentative="1">
      <w:start w:val="1"/>
      <w:numFmt w:val="lowerLetter"/>
      <w:lvlText w:val="%5."/>
      <w:lvlJc w:val="left"/>
      <w:pPr>
        <w:ind w:left="3600" w:hanging="360"/>
      </w:pPr>
    </w:lvl>
    <w:lvl w:ilvl="5" w:tplc="1E1A50A0" w:tentative="1">
      <w:start w:val="1"/>
      <w:numFmt w:val="lowerRoman"/>
      <w:lvlText w:val="%6."/>
      <w:lvlJc w:val="right"/>
      <w:pPr>
        <w:ind w:left="4320" w:hanging="180"/>
      </w:pPr>
    </w:lvl>
    <w:lvl w:ilvl="6" w:tplc="77A4586C" w:tentative="1">
      <w:start w:val="1"/>
      <w:numFmt w:val="decimal"/>
      <w:lvlText w:val="%7."/>
      <w:lvlJc w:val="left"/>
      <w:pPr>
        <w:ind w:left="5040" w:hanging="360"/>
      </w:pPr>
    </w:lvl>
    <w:lvl w:ilvl="7" w:tplc="B332F3D8" w:tentative="1">
      <w:start w:val="1"/>
      <w:numFmt w:val="lowerLetter"/>
      <w:lvlText w:val="%8."/>
      <w:lvlJc w:val="left"/>
      <w:pPr>
        <w:ind w:left="5760" w:hanging="360"/>
      </w:pPr>
    </w:lvl>
    <w:lvl w:ilvl="8" w:tplc="3D80B418" w:tentative="1">
      <w:start w:val="1"/>
      <w:numFmt w:val="lowerRoman"/>
      <w:lvlText w:val="%9."/>
      <w:lvlJc w:val="right"/>
      <w:pPr>
        <w:ind w:left="6480" w:hanging="180"/>
      </w:pPr>
    </w:lvl>
  </w:abstractNum>
  <w:abstractNum w:abstractNumId="4" w15:restartNumberingAfterBreak="0">
    <w:nsid w:val="139D19D6"/>
    <w:multiLevelType w:val="hybridMultilevel"/>
    <w:tmpl w:val="8D602DF6"/>
    <w:lvl w:ilvl="0" w:tplc="B040FE46">
      <w:start w:val="1"/>
      <w:numFmt w:val="bullet"/>
      <w:lvlText w:val=""/>
      <w:lvlJc w:val="left"/>
      <w:pPr>
        <w:ind w:left="360" w:hanging="360"/>
      </w:pPr>
      <w:rPr>
        <w:rFonts w:ascii="Symbol" w:hAnsi="Symbol" w:hint="default"/>
      </w:rPr>
    </w:lvl>
    <w:lvl w:ilvl="1" w:tplc="4CA83D66" w:tentative="1">
      <w:start w:val="1"/>
      <w:numFmt w:val="bullet"/>
      <w:lvlText w:val="o"/>
      <w:lvlJc w:val="left"/>
      <w:pPr>
        <w:ind w:left="1080" w:hanging="360"/>
      </w:pPr>
      <w:rPr>
        <w:rFonts w:ascii="Courier New" w:hAnsi="Courier New" w:cs="Courier New" w:hint="default"/>
      </w:rPr>
    </w:lvl>
    <w:lvl w:ilvl="2" w:tplc="EB107B6A" w:tentative="1">
      <w:start w:val="1"/>
      <w:numFmt w:val="bullet"/>
      <w:lvlText w:val=""/>
      <w:lvlJc w:val="left"/>
      <w:pPr>
        <w:ind w:left="1800" w:hanging="360"/>
      </w:pPr>
      <w:rPr>
        <w:rFonts w:ascii="Wingdings" w:hAnsi="Wingdings" w:hint="default"/>
      </w:rPr>
    </w:lvl>
    <w:lvl w:ilvl="3" w:tplc="FB4084F0" w:tentative="1">
      <w:start w:val="1"/>
      <w:numFmt w:val="bullet"/>
      <w:lvlText w:val=""/>
      <w:lvlJc w:val="left"/>
      <w:pPr>
        <w:ind w:left="2520" w:hanging="360"/>
      </w:pPr>
      <w:rPr>
        <w:rFonts w:ascii="Symbol" w:hAnsi="Symbol" w:hint="default"/>
      </w:rPr>
    </w:lvl>
    <w:lvl w:ilvl="4" w:tplc="57DA9DA8" w:tentative="1">
      <w:start w:val="1"/>
      <w:numFmt w:val="bullet"/>
      <w:lvlText w:val="o"/>
      <w:lvlJc w:val="left"/>
      <w:pPr>
        <w:ind w:left="3240" w:hanging="360"/>
      </w:pPr>
      <w:rPr>
        <w:rFonts w:ascii="Courier New" w:hAnsi="Courier New" w:cs="Courier New" w:hint="default"/>
      </w:rPr>
    </w:lvl>
    <w:lvl w:ilvl="5" w:tplc="B9B263F2" w:tentative="1">
      <w:start w:val="1"/>
      <w:numFmt w:val="bullet"/>
      <w:lvlText w:val=""/>
      <w:lvlJc w:val="left"/>
      <w:pPr>
        <w:ind w:left="3960" w:hanging="360"/>
      </w:pPr>
      <w:rPr>
        <w:rFonts w:ascii="Wingdings" w:hAnsi="Wingdings" w:hint="default"/>
      </w:rPr>
    </w:lvl>
    <w:lvl w:ilvl="6" w:tplc="94E24B52" w:tentative="1">
      <w:start w:val="1"/>
      <w:numFmt w:val="bullet"/>
      <w:lvlText w:val=""/>
      <w:lvlJc w:val="left"/>
      <w:pPr>
        <w:ind w:left="4680" w:hanging="360"/>
      </w:pPr>
      <w:rPr>
        <w:rFonts w:ascii="Symbol" w:hAnsi="Symbol" w:hint="default"/>
      </w:rPr>
    </w:lvl>
    <w:lvl w:ilvl="7" w:tplc="09F8F282" w:tentative="1">
      <w:start w:val="1"/>
      <w:numFmt w:val="bullet"/>
      <w:lvlText w:val="o"/>
      <w:lvlJc w:val="left"/>
      <w:pPr>
        <w:ind w:left="5400" w:hanging="360"/>
      </w:pPr>
      <w:rPr>
        <w:rFonts w:ascii="Courier New" w:hAnsi="Courier New" w:cs="Courier New" w:hint="default"/>
      </w:rPr>
    </w:lvl>
    <w:lvl w:ilvl="8" w:tplc="2614235A" w:tentative="1">
      <w:start w:val="1"/>
      <w:numFmt w:val="bullet"/>
      <w:lvlText w:val=""/>
      <w:lvlJc w:val="left"/>
      <w:pPr>
        <w:ind w:left="6120" w:hanging="360"/>
      </w:pPr>
      <w:rPr>
        <w:rFonts w:ascii="Wingdings" w:hAnsi="Wingdings" w:hint="default"/>
      </w:rPr>
    </w:lvl>
  </w:abstractNum>
  <w:abstractNum w:abstractNumId="5" w15:restartNumberingAfterBreak="0">
    <w:nsid w:val="157C6386"/>
    <w:multiLevelType w:val="hybridMultilevel"/>
    <w:tmpl w:val="2C042564"/>
    <w:lvl w:ilvl="0" w:tplc="7C543774">
      <w:start w:val="1"/>
      <w:numFmt w:val="decimal"/>
      <w:lvlText w:val="%1."/>
      <w:lvlJc w:val="left"/>
      <w:pPr>
        <w:ind w:left="360" w:hanging="360"/>
      </w:pPr>
      <w:rPr>
        <w:rFonts w:eastAsia="Times New Roman" w:hint="default"/>
        <w:b w:val="0"/>
        <w:bCs/>
        <w:color w:val="002060"/>
        <w:sz w:val="28"/>
        <w:szCs w:val="28"/>
      </w:rPr>
    </w:lvl>
    <w:lvl w:ilvl="1" w:tplc="A476BB94" w:tentative="1">
      <w:start w:val="1"/>
      <w:numFmt w:val="lowerLetter"/>
      <w:lvlText w:val="%2."/>
      <w:lvlJc w:val="left"/>
      <w:pPr>
        <w:ind w:left="1080" w:hanging="360"/>
      </w:pPr>
    </w:lvl>
    <w:lvl w:ilvl="2" w:tplc="AAC25B18" w:tentative="1">
      <w:start w:val="1"/>
      <w:numFmt w:val="lowerRoman"/>
      <w:lvlText w:val="%3."/>
      <w:lvlJc w:val="right"/>
      <w:pPr>
        <w:ind w:left="1800" w:hanging="180"/>
      </w:pPr>
    </w:lvl>
    <w:lvl w:ilvl="3" w:tplc="3C20EB28" w:tentative="1">
      <w:start w:val="1"/>
      <w:numFmt w:val="decimal"/>
      <w:lvlText w:val="%4."/>
      <w:lvlJc w:val="left"/>
      <w:pPr>
        <w:ind w:left="2520" w:hanging="360"/>
      </w:pPr>
    </w:lvl>
    <w:lvl w:ilvl="4" w:tplc="E6F6211E" w:tentative="1">
      <w:start w:val="1"/>
      <w:numFmt w:val="lowerLetter"/>
      <w:lvlText w:val="%5."/>
      <w:lvlJc w:val="left"/>
      <w:pPr>
        <w:ind w:left="3240" w:hanging="360"/>
      </w:pPr>
    </w:lvl>
    <w:lvl w:ilvl="5" w:tplc="E3E2D458" w:tentative="1">
      <w:start w:val="1"/>
      <w:numFmt w:val="lowerRoman"/>
      <w:lvlText w:val="%6."/>
      <w:lvlJc w:val="right"/>
      <w:pPr>
        <w:ind w:left="3960" w:hanging="180"/>
      </w:pPr>
    </w:lvl>
    <w:lvl w:ilvl="6" w:tplc="DC2CFF64" w:tentative="1">
      <w:start w:val="1"/>
      <w:numFmt w:val="decimal"/>
      <w:lvlText w:val="%7."/>
      <w:lvlJc w:val="left"/>
      <w:pPr>
        <w:ind w:left="4680" w:hanging="360"/>
      </w:pPr>
    </w:lvl>
    <w:lvl w:ilvl="7" w:tplc="403A764E" w:tentative="1">
      <w:start w:val="1"/>
      <w:numFmt w:val="lowerLetter"/>
      <w:lvlText w:val="%8."/>
      <w:lvlJc w:val="left"/>
      <w:pPr>
        <w:ind w:left="5400" w:hanging="360"/>
      </w:pPr>
    </w:lvl>
    <w:lvl w:ilvl="8" w:tplc="E9064268" w:tentative="1">
      <w:start w:val="1"/>
      <w:numFmt w:val="lowerRoman"/>
      <w:lvlText w:val="%9."/>
      <w:lvlJc w:val="right"/>
      <w:pPr>
        <w:ind w:left="6120" w:hanging="180"/>
      </w:pPr>
    </w:lvl>
  </w:abstractNum>
  <w:abstractNum w:abstractNumId="6" w15:restartNumberingAfterBreak="0">
    <w:nsid w:val="159D559A"/>
    <w:multiLevelType w:val="hybridMultilevel"/>
    <w:tmpl w:val="FB7C63D0"/>
    <w:lvl w:ilvl="0" w:tplc="D4928894">
      <w:start w:val="1"/>
      <w:numFmt w:val="bullet"/>
      <w:lvlText w:val="-"/>
      <w:lvlJc w:val="left"/>
      <w:pPr>
        <w:ind w:left="360" w:hanging="360"/>
      </w:pPr>
      <w:rPr>
        <w:rFonts w:ascii="David" w:eastAsiaTheme="minorHAnsi" w:hAnsi="David" w:cs="David" w:hint="default"/>
      </w:rPr>
    </w:lvl>
    <w:lvl w:ilvl="1" w:tplc="3F90CB8C" w:tentative="1">
      <w:start w:val="1"/>
      <w:numFmt w:val="bullet"/>
      <w:lvlText w:val="o"/>
      <w:lvlJc w:val="left"/>
      <w:pPr>
        <w:ind w:left="1080" w:hanging="360"/>
      </w:pPr>
      <w:rPr>
        <w:rFonts w:ascii="Courier New" w:hAnsi="Courier New" w:cs="Courier New" w:hint="default"/>
      </w:rPr>
    </w:lvl>
    <w:lvl w:ilvl="2" w:tplc="3690A0D8" w:tentative="1">
      <w:start w:val="1"/>
      <w:numFmt w:val="bullet"/>
      <w:lvlText w:val=""/>
      <w:lvlJc w:val="left"/>
      <w:pPr>
        <w:ind w:left="1800" w:hanging="360"/>
      </w:pPr>
      <w:rPr>
        <w:rFonts w:ascii="Wingdings" w:hAnsi="Wingdings" w:hint="default"/>
      </w:rPr>
    </w:lvl>
    <w:lvl w:ilvl="3" w:tplc="2976030E" w:tentative="1">
      <w:start w:val="1"/>
      <w:numFmt w:val="bullet"/>
      <w:lvlText w:val=""/>
      <w:lvlJc w:val="left"/>
      <w:pPr>
        <w:ind w:left="2520" w:hanging="360"/>
      </w:pPr>
      <w:rPr>
        <w:rFonts w:ascii="Symbol" w:hAnsi="Symbol" w:hint="default"/>
      </w:rPr>
    </w:lvl>
    <w:lvl w:ilvl="4" w:tplc="9EB4D820" w:tentative="1">
      <w:start w:val="1"/>
      <w:numFmt w:val="bullet"/>
      <w:lvlText w:val="o"/>
      <w:lvlJc w:val="left"/>
      <w:pPr>
        <w:ind w:left="3240" w:hanging="360"/>
      </w:pPr>
      <w:rPr>
        <w:rFonts w:ascii="Courier New" w:hAnsi="Courier New" w:cs="Courier New" w:hint="default"/>
      </w:rPr>
    </w:lvl>
    <w:lvl w:ilvl="5" w:tplc="0108FD9A" w:tentative="1">
      <w:start w:val="1"/>
      <w:numFmt w:val="bullet"/>
      <w:lvlText w:val=""/>
      <w:lvlJc w:val="left"/>
      <w:pPr>
        <w:ind w:left="3960" w:hanging="360"/>
      </w:pPr>
      <w:rPr>
        <w:rFonts w:ascii="Wingdings" w:hAnsi="Wingdings" w:hint="default"/>
      </w:rPr>
    </w:lvl>
    <w:lvl w:ilvl="6" w:tplc="CA8CE15E" w:tentative="1">
      <w:start w:val="1"/>
      <w:numFmt w:val="bullet"/>
      <w:lvlText w:val=""/>
      <w:lvlJc w:val="left"/>
      <w:pPr>
        <w:ind w:left="4680" w:hanging="360"/>
      </w:pPr>
      <w:rPr>
        <w:rFonts w:ascii="Symbol" w:hAnsi="Symbol" w:hint="default"/>
      </w:rPr>
    </w:lvl>
    <w:lvl w:ilvl="7" w:tplc="57561590" w:tentative="1">
      <w:start w:val="1"/>
      <w:numFmt w:val="bullet"/>
      <w:lvlText w:val="o"/>
      <w:lvlJc w:val="left"/>
      <w:pPr>
        <w:ind w:left="5400" w:hanging="360"/>
      </w:pPr>
      <w:rPr>
        <w:rFonts w:ascii="Courier New" w:hAnsi="Courier New" w:cs="Courier New" w:hint="default"/>
      </w:rPr>
    </w:lvl>
    <w:lvl w:ilvl="8" w:tplc="7CECE76C" w:tentative="1">
      <w:start w:val="1"/>
      <w:numFmt w:val="bullet"/>
      <w:lvlText w:val=""/>
      <w:lvlJc w:val="left"/>
      <w:pPr>
        <w:ind w:left="6120" w:hanging="360"/>
      </w:pPr>
      <w:rPr>
        <w:rFonts w:ascii="Wingdings" w:hAnsi="Wingdings" w:hint="default"/>
      </w:rPr>
    </w:lvl>
  </w:abstractNum>
  <w:abstractNum w:abstractNumId="7" w15:restartNumberingAfterBreak="0">
    <w:nsid w:val="16F73908"/>
    <w:multiLevelType w:val="hybridMultilevel"/>
    <w:tmpl w:val="5B506BDE"/>
    <w:lvl w:ilvl="0" w:tplc="135E4F86">
      <w:start w:val="1"/>
      <w:numFmt w:val="bullet"/>
      <w:lvlText w:val=""/>
      <w:lvlJc w:val="left"/>
      <w:pPr>
        <w:ind w:left="360" w:hanging="360"/>
      </w:pPr>
      <w:rPr>
        <w:rFonts w:ascii="Wingdings" w:hAnsi="Wingdings" w:hint="default"/>
      </w:rPr>
    </w:lvl>
    <w:lvl w:ilvl="1" w:tplc="3CCA8644" w:tentative="1">
      <w:start w:val="1"/>
      <w:numFmt w:val="bullet"/>
      <w:lvlText w:val="o"/>
      <w:lvlJc w:val="left"/>
      <w:pPr>
        <w:ind w:left="1080" w:hanging="360"/>
      </w:pPr>
      <w:rPr>
        <w:rFonts w:ascii="Courier New" w:hAnsi="Courier New" w:cs="Courier New" w:hint="default"/>
      </w:rPr>
    </w:lvl>
    <w:lvl w:ilvl="2" w:tplc="487414D4" w:tentative="1">
      <w:start w:val="1"/>
      <w:numFmt w:val="bullet"/>
      <w:lvlText w:val=""/>
      <w:lvlJc w:val="left"/>
      <w:pPr>
        <w:ind w:left="1800" w:hanging="360"/>
      </w:pPr>
      <w:rPr>
        <w:rFonts w:ascii="Wingdings" w:hAnsi="Wingdings" w:hint="default"/>
      </w:rPr>
    </w:lvl>
    <w:lvl w:ilvl="3" w:tplc="67C68E00" w:tentative="1">
      <w:start w:val="1"/>
      <w:numFmt w:val="bullet"/>
      <w:lvlText w:val=""/>
      <w:lvlJc w:val="left"/>
      <w:pPr>
        <w:ind w:left="2520" w:hanging="360"/>
      </w:pPr>
      <w:rPr>
        <w:rFonts w:ascii="Symbol" w:hAnsi="Symbol" w:hint="default"/>
      </w:rPr>
    </w:lvl>
    <w:lvl w:ilvl="4" w:tplc="27E845A6" w:tentative="1">
      <w:start w:val="1"/>
      <w:numFmt w:val="bullet"/>
      <w:lvlText w:val="o"/>
      <w:lvlJc w:val="left"/>
      <w:pPr>
        <w:ind w:left="3240" w:hanging="360"/>
      </w:pPr>
      <w:rPr>
        <w:rFonts w:ascii="Courier New" w:hAnsi="Courier New" w:cs="Courier New" w:hint="default"/>
      </w:rPr>
    </w:lvl>
    <w:lvl w:ilvl="5" w:tplc="54BE91A8" w:tentative="1">
      <w:start w:val="1"/>
      <w:numFmt w:val="bullet"/>
      <w:lvlText w:val=""/>
      <w:lvlJc w:val="left"/>
      <w:pPr>
        <w:ind w:left="3960" w:hanging="360"/>
      </w:pPr>
      <w:rPr>
        <w:rFonts w:ascii="Wingdings" w:hAnsi="Wingdings" w:hint="default"/>
      </w:rPr>
    </w:lvl>
    <w:lvl w:ilvl="6" w:tplc="6928984C" w:tentative="1">
      <w:start w:val="1"/>
      <w:numFmt w:val="bullet"/>
      <w:lvlText w:val=""/>
      <w:lvlJc w:val="left"/>
      <w:pPr>
        <w:ind w:left="4680" w:hanging="360"/>
      </w:pPr>
      <w:rPr>
        <w:rFonts w:ascii="Symbol" w:hAnsi="Symbol" w:hint="default"/>
      </w:rPr>
    </w:lvl>
    <w:lvl w:ilvl="7" w:tplc="13CE1BF8" w:tentative="1">
      <w:start w:val="1"/>
      <w:numFmt w:val="bullet"/>
      <w:lvlText w:val="o"/>
      <w:lvlJc w:val="left"/>
      <w:pPr>
        <w:ind w:left="5400" w:hanging="360"/>
      </w:pPr>
      <w:rPr>
        <w:rFonts w:ascii="Courier New" w:hAnsi="Courier New" w:cs="Courier New" w:hint="default"/>
      </w:rPr>
    </w:lvl>
    <w:lvl w:ilvl="8" w:tplc="83561AEC" w:tentative="1">
      <w:start w:val="1"/>
      <w:numFmt w:val="bullet"/>
      <w:lvlText w:val=""/>
      <w:lvlJc w:val="left"/>
      <w:pPr>
        <w:ind w:left="6120" w:hanging="360"/>
      </w:pPr>
      <w:rPr>
        <w:rFonts w:ascii="Wingdings" w:hAnsi="Wingdings" w:hint="default"/>
      </w:rPr>
    </w:lvl>
  </w:abstractNum>
  <w:abstractNum w:abstractNumId="8" w15:restartNumberingAfterBreak="0">
    <w:nsid w:val="19C834BD"/>
    <w:multiLevelType w:val="hybridMultilevel"/>
    <w:tmpl w:val="480A0F34"/>
    <w:lvl w:ilvl="0" w:tplc="626AF398">
      <w:start w:val="1"/>
      <w:numFmt w:val="bullet"/>
      <w:lvlText w:val=""/>
      <w:lvlJc w:val="left"/>
      <w:pPr>
        <w:ind w:left="360" w:hanging="360"/>
      </w:pPr>
      <w:rPr>
        <w:rFonts w:ascii="Wingdings" w:hAnsi="Wingdings" w:hint="default"/>
        <w:color w:val="auto"/>
      </w:rPr>
    </w:lvl>
    <w:lvl w:ilvl="1" w:tplc="CE38CB18">
      <w:start w:val="1"/>
      <w:numFmt w:val="bullet"/>
      <w:lvlText w:val=""/>
      <w:lvlJc w:val="left"/>
      <w:pPr>
        <w:ind w:left="1080" w:hanging="360"/>
      </w:pPr>
      <w:rPr>
        <w:rFonts w:ascii="Wingdings" w:hAnsi="Wingdings" w:hint="default"/>
      </w:rPr>
    </w:lvl>
    <w:lvl w:ilvl="2" w:tplc="E67CEA7C">
      <w:start w:val="1"/>
      <w:numFmt w:val="bullet"/>
      <w:lvlText w:val=""/>
      <w:lvlJc w:val="left"/>
      <w:pPr>
        <w:ind w:left="1800" w:hanging="360"/>
      </w:pPr>
      <w:rPr>
        <w:rFonts w:ascii="Wingdings" w:hAnsi="Wingdings" w:hint="default"/>
      </w:rPr>
    </w:lvl>
    <w:lvl w:ilvl="3" w:tplc="4B8A62D4">
      <w:numFmt w:val="bullet"/>
      <w:lvlText w:val="-"/>
      <w:lvlJc w:val="left"/>
      <w:pPr>
        <w:ind w:left="2520" w:hanging="360"/>
      </w:pPr>
      <w:rPr>
        <w:rFonts w:ascii="David" w:eastAsiaTheme="minorHAnsi" w:hAnsi="David" w:cs="David" w:hint="default"/>
      </w:rPr>
    </w:lvl>
    <w:lvl w:ilvl="4" w:tplc="F754FEA4" w:tentative="1">
      <w:start w:val="1"/>
      <w:numFmt w:val="bullet"/>
      <w:lvlText w:val="o"/>
      <w:lvlJc w:val="left"/>
      <w:pPr>
        <w:ind w:left="3240" w:hanging="360"/>
      </w:pPr>
      <w:rPr>
        <w:rFonts w:ascii="Courier New" w:hAnsi="Courier New" w:cs="Courier New" w:hint="default"/>
      </w:rPr>
    </w:lvl>
    <w:lvl w:ilvl="5" w:tplc="9B8AA0CC" w:tentative="1">
      <w:start w:val="1"/>
      <w:numFmt w:val="bullet"/>
      <w:lvlText w:val=""/>
      <w:lvlJc w:val="left"/>
      <w:pPr>
        <w:ind w:left="3960" w:hanging="360"/>
      </w:pPr>
      <w:rPr>
        <w:rFonts w:ascii="Wingdings" w:hAnsi="Wingdings" w:hint="default"/>
      </w:rPr>
    </w:lvl>
    <w:lvl w:ilvl="6" w:tplc="521A021E" w:tentative="1">
      <w:start w:val="1"/>
      <w:numFmt w:val="bullet"/>
      <w:lvlText w:val=""/>
      <w:lvlJc w:val="left"/>
      <w:pPr>
        <w:ind w:left="4680" w:hanging="360"/>
      </w:pPr>
      <w:rPr>
        <w:rFonts w:ascii="Symbol" w:hAnsi="Symbol" w:hint="default"/>
      </w:rPr>
    </w:lvl>
    <w:lvl w:ilvl="7" w:tplc="B83A1F1E" w:tentative="1">
      <w:start w:val="1"/>
      <w:numFmt w:val="bullet"/>
      <w:lvlText w:val="o"/>
      <w:lvlJc w:val="left"/>
      <w:pPr>
        <w:ind w:left="5400" w:hanging="360"/>
      </w:pPr>
      <w:rPr>
        <w:rFonts w:ascii="Courier New" w:hAnsi="Courier New" w:cs="Courier New" w:hint="default"/>
      </w:rPr>
    </w:lvl>
    <w:lvl w:ilvl="8" w:tplc="2424E61E" w:tentative="1">
      <w:start w:val="1"/>
      <w:numFmt w:val="bullet"/>
      <w:lvlText w:val=""/>
      <w:lvlJc w:val="left"/>
      <w:pPr>
        <w:ind w:left="6120" w:hanging="360"/>
      </w:pPr>
      <w:rPr>
        <w:rFonts w:ascii="Wingdings" w:hAnsi="Wingdings" w:hint="default"/>
      </w:rPr>
    </w:lvl>
  </w:abstractNum>
  <w:abstractNum w:abstractNumId="9" w15:restartNumberingAfterBreak="0">
    <w:nsid w:val="204C29F2"/>
    <w:multiLevelType w:val="hybridMultilevel"/>
    <w:tmpl w:val="E5D22A34"/>
    <w:lvl w:ilvl="0" w:tplc="EFD8EAF8">
      <w:start w:val="1"/>
      <w:numFmt w:val="bullet"/>
      <w:lvlText w:val="•"/>
      <w:lvlJc w:val="left"/>
      <w:pPr>
        <w:tabs>
          <w:tab w:val="num" w:pos="720"/>
        </w:tabs>
        <w:ind w:left="720" w:hanging="360"/>
      </w:pPr>
      <w:rPr>
        <w:rFonts w:ascii="Arial" w:hAnsi="Arial" w:hint="default"/>
      </w:rPr>
    </w:lvl>
    <w:lvl w:ilvl="1" w:tplc="A9744990" w:tentative="1">
      <w:start w:val="1"/>
      <w:numFmt w:val="bullet"/>
      <w:lvlText w:val="•"/>
      <w:lvlJc w:val="left"/>
      <w:pPr>
        <w:tabs>
          <w:tab w:val="num" w:pos="1440"/>
        </w:tabs>
        <w:ind w:left="1440" w:hanging="360"/>
      </w:pPr>
      <w:rPr>
        <w:rFonts w:ascii="Arial" w:hAnsi="Arial" w:hint="default"/>
      </w:rPr>
    </w:lvl>
    <w:lvl w:ilvl="2" w:tplc="A3429C24" w:tentative="1">
      <w:start w:val="1"/>
      <w:numFmt w:val="bullet"/>
      <w:lvlText w:val="•"/>
      <w:lvlJc w:val="left"/>
      <w:pPr>
        <w:tabs>
          <w:tab w:val="num" w:pos="2160"/>
        </w:tabs>
        <w:ind w:left="2160" w:hanging="360"/>
      </w:pPr>
      <w:rPr>
        <w:rFonts w:ascii="Arial" w:hAnsi="Arial" w:hint="default"/>
      </w:rPr>
    </w:lvl>
    <w:lvl w:ilvl="3" w:tplc="7A629F1C" w:tentative="1">
      <w:start w:val="1"/>
      <w:numFmt w:val="bullet"/>
      <w:lvlText w:val="•"/>
      <w:lvlJc w:val="left"/>
      <w:pPr>
        <w:tabs>
          <w:tab w:val="num" w:pos="2880"/>
        </w:tabs>
        <w:ind w:left="2880" w:hanging="360"/>
      </w:pPr>
      <w:rPr>
        <w:rFonts w:ascii="Arial" w:hAnsi="Arial" w:hint="default"/>
      </w:rPr>
    </w:lvl>
    <w:lvl w:ilvl="4" w:tplc="77183A66" w:tentative="1">
      <w:start w:val="1"/>
      <w:numFmt w:val="bullet"/>
      <w:lvlText w:val="•"/>
      <w:lvlJc w:val="left"/>
      <w:pPr>
        <w:tabs>
          <w:tab w:val="num" w:pos="3600"/>
        </w:tabs>
        <w:ind w:left="3600" w:hanging="360"/>
      </w:pPr>
      <w:rPr>
        <w:rFonts w:ascii="Arial" w:hAnsi="Arial" w:hint="default"/>
      </w:rPr>
    </w:lvl>
    <w:lvl w:ilvl="5" w:tplc="ACCE042A" w:tentative="1">
      <w:start w:val="1"/>
      <w:numFmt w:val="bullet"/>
      <w:lvlText w:val="•"/>
      <w:lvlJc w:val="left"/>
      <w:pPr>
        <w:tabs>
          <w:tab w:val="num" w:pos="4320"/>
        </w:tabs>
        <w:ind w:left="4320" w:hanging="360"/>
      </w:pPr>
      <w:rPr>
        <w:rFonts w:ascii="Arial" w:hAnsi="Arial" w:hint="default"/>
      </w:rPr>
    </w:lvl>
    <w:lvl w:ilvl="6" w:tplc="FCE698A6" w:tentative="1">
      <w:start w:val="1"/>
      <w:numFmt w:val="bullet"/>
      <w:lvlText w:val="•"/>
      <w:lvlJc w:val="left"/>
      <w:pPr>
        <w:tabs>
          <w:tab w:val="num" w:pos="5040"/>
        </w:tabs>
        <w:ind w:left="5040" w:hanging="360"/>
      </w:pPr>
      <w:rPr>
        <w:rFonts w:ascii="Arial" w:hAnsi="Arial" w:hint="default"/>
      </w:rPr>
    </w:lvl>
    <w:lvl w:ilvl="7" w:tplc="9C4ED196" w:tentative="1">
      <w:start w:val="1"/>
      <w:numFmt w:val="bullet"/>
      <w:lvlText w:val="•"/>
      <w:lvlJc w:val="left"/>
      <w:pPr>
        <w:tabs>
          <w:tab w:val="num" w:pos="5760"/>
        </w:tabs>
        <w:ind w:left="5760" w:hanging="360"/>
      </w:pPr>
      <w:rPr>
        <w:rFonts w:ascii="Arial" w:hAnsi="Arial" w:hint="default"/>
      </w:rPr>
    </w:lvl>
    <w:lvl w:ilvl="8" w:tplc="2724E6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E44EBA"/>
    <w:multiLevelType w:val="hybridMultilevel"/>
    <w:tmpl w:val="00003864"/>
    <w:lvl w:ilvl="0" w:tplc="9DBCBE64">
      <w:start w:val="1"/>
      <w:numFmt w:val="bullet"/>
      <w:lvlText w:val=""/>
      <w:lvlJc w:val="left"/>
      <w:pPr>
        <w:tabs>
          <w:tab w:val="num" w:pos="720"/>
        </w:tabs>
        <w:ind w:left="720" w:hanging="360"/>
      </w:pPr>
      <w:rPr>
        <w:rFonts w:ascii="Wingdings" w:hAnsi="Wingdings" w:hint="default"/>
      </w:rPr>
    </w:lvl>
    <w:lvl w:ilvl="1" w:tplc="812AA96A" w:tentative="1">
      <w:start w:val="1"/>
      <w:numFmt w:val="bullet"/>
      <w:lvlText w:val=""/>
      <w:lvlJc w:val="left"/>
      <w:pPr>
        <w:tabs>
          <w:tab w:val="num" w:pos="1440"/>
        </w:tabs>
        <w:ind w:left="1440" w:hanging="360"/>
      </w:pPr>
      <w:rPr>
        <w:rFonts w:ascii="Wingdings" w:hAnsi="Wingdings" w:hint="default"/>
      </w:rPr>
    </w:lvl>
    <w:lvl w:ilvl="2" w:tplc="B9ACAE38" w:tentative="1">
      <w:start w:val="1"/>
      <w:numFmt w:val="bullet"/>
      <w:lvlText w:val=""/>
      <w:lvlJc w:val="left"/>
      <w:pPr>
        <w:tabs>
          <w:tab w:val="num" w:pos="2160"/>
        </w:tabs>
        <w:ind w:left="2160" w:hanging="360"/>
      </w:pPr>
      <w:rPr>
        <w:rFonts w:ascii="Wingdings" w:hAnsi="Wingdings" w:hint="default"/>
      </w:rPr>
    </w:lvl>
    <w:lvl w:ilvl="3" w:tplc="1BCA8CD0" w:tentative="1">
      <w:start w:val="1"/>
      <w:numFmt w:val="bullet"/>
      <w:lvlText w:val=""/>
      <w:lvlJc w:val="left"/>
      <w:pPr>
        <w:tabs>
          <w:tab w:val="num" w:pos="2880"/>
        </w:tabs>
        <w:ind w:left="2880" w:hanging="360"/>
      </w:pPr>
      <w:rPr>
        <w:rFonts w:ascii="Wingdings" w:hAnsi="Wingdings" w:hint="default"/>
      </w:rPr>
    </w:lvl>
    <w:lvl w:ilvl="4" w:tplc="8A24F246" w:tentative="1">
      <w:start w:val="1"/>
      <w:numFmt w:val="bullet"/>
      <w:lvlText w:val=""/>
      <w:lvlJc w:val="left"/>
      <w:pPr>
        <w:tabs>
          <w:tab w:val="num" w:pos="3600"/>
        </w:tabs>
        <w:ind w:left="3600" w:hanging="360"/>
      </w:pPr>
      <w:rPr>
        <w:rFonts w:ascii="Wingdings" w:hAnsi="Wingdings" w:hint="default"/>
      </w:rPr>
    </w:lvl>
    <w:lvl w:ilvl="5" w:tplc="25B881AC" w:tentative="1">
      <w:start w:val="1"/>
      <w:numFmt w:val="bullet"/>
      <w:lvlText w:val=""/>
      <w:lvlJc w:val="left"/>
      <w:pPr>
        <w:tabs>
          <w:tab w:val="num" w:pos="4320"/>
        </w:tabs>
        <w:ind w:left="4320" w:hanging="360"/>
      </w:pPr>
      <w:rPr>
        <w:rFonts w:ascii="Wingdings" w:hAnsi="Wingdings" w:hint="default"/>
      </w:rPr>
    </w:lvl>
    <w:lvl w:ilvl="6" w:tplc="3F2614F2" w:tentative="1">
      <w:start w:val="1"/>
      <w:numFmt w:val="bullet"/>
      <w:lvlText w:val=""/>
      <w:lvlJc w:val="left"/>
      <w:pPr>
        <w:tabs>
          <w:tab w:val="num" w:pos="5040"/>
        </w:tabs>
        <w:ind w:left="5040" w:hanging="360"/>
      </w:pPr>
      <w:rPr>
        <w:rFonts w:ascii="Wingdings" w:hAnsi="Wingdings" w:hint="default"/>
      </w:rPr>
    </w:lvl>
    <w:lvl w:ilvl="7" w:tplc="EE967446" w:tentative="1">
      <w:start w:val="1"/>
      <w:numFmt w:val="bullet"/>
      <w:lvlText w:val=""/>
      <w:lvlJc w:val="left"/>
      <w:pPr>
        <w:tabs>
          <w:tab w:val="num" w:pos="5760"/>
        </w:tabs>
        <w:ind w:left="5760" w:hanging="360"/>
      </w:pPr>
      <w:rPr>
        <w:rFonts w:ascii="Wingdings" w:hAnsi="Wingdings" w:hint="default"/>
      </w:rPr>
    </w:lvl>
    <w:lvl w:ilvl="8" w:tplc="0F58EF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F44EC"/>
    <w:multiLevelType w:val="hybridMultilevel"/>
    <w:tmpl w:val="1C1837E0"/>
    <w:lvl w:ilvl="0" w:tplc="C21A0E18">
      <w:numFmt w:val="bullet"/>
      <w:lvlText w:val="-"/>
      <w:lvlJc w:val="left"/>
      <w:pPr>
        <w:ind w:left="360" w:hanging="360"/>
      </w:pPr>
      <w:rPr>
        <w:rFonts w:ascii="David" w:eastAsia="Times New Roman" w:hAnsi="David" w:cs="David" w:hint="default"/>
      </w:rPr>
    </w:lvl>
    <w:lvl w:ilvl="1" w:tplc="2EE8F0B4" w:tentative="1">
      <w:start w:val="1"/>
      <w:numFmt w:val="bullet"/>
      <w:lvlText w:val="o"/>
      <w:lvlJc w:val="left"/>
      <w:pPr>
        <w:ind w:left="1080" w:hanging="360"/>
      </w:pPr>
      <w:rPr>
        <w:rFonts w:ascii="Courier New" w:hAnsi="Courier New" w:cs="Courier New" w:hint="default"/>
      </w:rPr>
    </w:lvl>
    <w:lvl w:ilvl="2" w:tplc="B9CEA6E4" w:tentative="1">
      <w:start w:val="1"/>
      <w:numFmt w:val="bullet"/>
      <w:lvlText w:val=""/>
      <w:lvlJc w:val="left"/>
      <w:pPr>
        <w:ind w:left="1800" w:hanging="360"/>
      </w:pPr>
      <w:rPr>
        <w:rFonts w:ascii="Wingdings" w:hAnsi="Wingdings" w:hint="default"/>
      </w:rPr>
    </w:lvl>
    <w:lvl w:ilvl="3" w:tplc="19A2D0DE" w:tentative="1">
      <w:start w:val="1"/>
      <w:numFmt w:val="bullet"/>
      <w:lvlText w:val=""/>
      <w:lvlJc w:val="left"/>
      <w:pPr>
        <w:ind w:left="2520" w:hanging="360"/>
      </w:pPr>
      <w:rPr>
        <w:rFonts w:ascii="Symbol" w:hAnsi="Symbol" w:hint="default"/>
      </w:rPr>
    </w:lvl>
    <w:lvl w:ilvl="4" w:tplc="8B82A566" w:tentative="1">
      <w:start w:val="1"/>
      <w:numFmt w:val="bullet"/>
      <w:lvlText w:val="o"/>
      <w:lvlJc w:val="left"/>
      <w:pPr>
        <w:ind w:left="3240" w:hanging="360"/>
      </w:pPr>
      <w:rPr>
        <w:rFonts w:ascii="Courier New" w:hAnsi="Courier New" w:cs="Courier New" w:hint="default"/>
      </w:rPr>
    </w:lvl>
    <w:lvl w:ilvl="5" w:tplc="A7CE254A" w:tentative="1">
      <w:start w:val="1"/>
      <w:numFmt w:val="bullet"/>
      <w:lvlText w:val=""/>
      <w:lvlJc w:val="left"/>
      <w:pPr>
        <w:ind w:left="3960" w:hanging="360"/>
      </w:pPr>
      <w:rPr>
        <w:rFonts w:ascii="Wingdings" w:hAnsi="Wingdings" w:hint="default"/>
      </w:rPr>
    </w:lvl>
    <w:lvl w:ilvl="6" w:tplc="F32807FA" w:tentative="1">
      <w:start w:val="1"/>
      <w:numFmt w:val="bullet"/>
      <w:lvlText w:val=""/>
      <w:lvlJc w:val="left"/>
      <w:pPr>
        <w:ind w:left="4680" w:hanging="360"/>
      </w:pPr>
      <w:rPr>
        <w:rFonts w:ascii="Symbol" w:hAnsi="Symbol" w:hint="default"/>
      </w:rPr>
    </w:lvl>
    <w:lvl w:ilvl="7" w:tplc="6E204D2E" w:tentative="1">
      <w:start w:val="1"/>
      <w:numFmt w:val="bullet"/>
      <w:lvlText w:val="o"/>
      <w:lvlJc w:val="left"/>
      <w:pPr>
        <w:ind w:left="5400" w:hanging="360"/>
      </w:pPr>
      <w:rPr>
        <w:rFonts w:ascii="Courier New" w:hAnsi="Courier New" w:cs="Courier New" w:hint="default"/>
      </w:rPr>
    </w:lvl>
    <w:lvl w:ilvl="8" w:tplc="4C329F7C" w:tentative="1">
      <w:start w:val="1"/>
      <w:numFmt w:val="bullet"/>
      <w:lvlText w:val=""/>
      <w:lvlJc w:val="left"/>
      <w:pPr>
        <w:ind w:left="6120" w:hanging="360"/>
      </w:pPr>
      <w:rPr>
        <w:rFonts w:ascii="Wingdings" w:hAnsi="Wingdings" w:hint="default"/>
      </w:rPr>
    </w:lvl>
  </w:abstractNum>
  <w:abstractNum w:abstractNumId="12" w15:restartNumberingAfterBreak="0">
    <w:nsid w:val="2742543E"/>
    <w:multiLevelType w:val="hybridMultilevel"/>
    <w:tmpl w:val="E24C07EE"/>
    <w:lvl w:ilvl="0" w:tplc="6966D0EC">
      <w:start w:val="1"/>
      <w:numFmt w:val="decimal"/>
      <w:lvlText w:val="%1."/>
      <w:lvlJc w:val="left"/>
      <w:pPr>
        <w:ind w:left="360" w:hanging="360"/>
      </w:pPr>
      <w:rPr>
        <w:rFonts w:hint="default"/>
      </w:rPr>
    </w:lvl>
    <w:lvl w:ilvl="1" w:tplc="8F089EFE" w:tentative="1">
      <w:start w:val="1"/>
      <w:numFmt w:val="lowerLetter"/>
      <w:lvlText w:val="%2."/>
      <w:lvlJc w:val="left"/>
      <w:pPr>
        <w:ind w:left="1451" w:hanging="360"/>
      </w:pPr>
    </w:lvl>
    <w:lvl w:ilvl="2" w:tplc="1D78F4FC" w:tentative="1">
      <w:start w:val="1"/>
      <w:numFmt w:val="lowerRoman"/>
      <w:lvlText w:val="%3."/>
      <w:lvlJc w:val="right"/>
      <w:pPr>
        <w:ind w:left="2171" w:hanging="180"/>
      </w:pPr>
    </w:lvl>
    <w:lvl w:ilvl="3" w:tplc="00DEBC52" w:tentative="1">
      <w:start w:val="1"/>
      <w:numFmt w:val="decimal"/>
      <w:lvlText w:val="%4."/>
      <w:lvlJc w:val="left"/>
      <w:pPr>
        <w:ind w:left="2891" w:hanging="360"/>
      </w:pPr>
    </w:lvl>
    <w:lvl w:ilvl="4" w:tplc="2B98E3C2" w:tentative="1">
      <w:start w:val="1"/>
      <w:numFmt w:val="lowerLetter"/>
      <w:lvlText w:val="%5."/>
      <w:lvlJc w:val="left"/>
      <w:pPr>
        <w:ind w:left="3611" w:hanging="360"/>
      </w:pPr>
    </w:lvl>
    <w:lvl w:ilvl="5" w:tplc="0AFCD846" w:tentative="1">
      <w:start w:val="1"/>
      <w:numFmt w:val="lowerRoman"/>
      <w:lvlText w:val="%6."/>
      <w:lvlJc w:val="right"/>
      <w:pPr>
        <w:ind w:left="4331" w:hanging="180"/>
      </w:pPr>
    </w:lvl>
    <w:lvl w:ilvl="6" w:tplc="9A30C4EE" w:tentative="1">
      <w:start w:val="1"/>
      <w:numFmt w:val="decimal"/>
      <w:lvlText w:val="%7."/>
      <w:lvlJc w:val="left"/>
      <w:pPr>
        <w:ind w:left="5051" w:hanging="360"/>
      </w:pPr>
    </w:lvl>
    <w:lvl w:ilvl="7" w:tplc="53D81462" w:tentative="1">
      <w:start w:val="1"/>
      <w:numFmt w:val="lowerLetter"/>
      <w:lvlText w:val="%8."/>
      <w:lvlJc w:val="left"/>
      <w:pPr>
        <w:ind w:left="5771" w:hanging="360"/>
      </w:pPr>
    </w:lvl>
    <w:lvl w:ilvl="8" w:tplc="375ACFA0" w:tentative="1">
      <w:start w:val="1"/>
      <w:numFmt w:val="lowerRoman"/>
      <w:lvlText w:val="%9."/>
      <w:lvlJc w:val="right"/>
      <w:pPr>
        <w:ind w:left="6491" w:hanging="180"/>
      </w:pPr>
    </w:lvl>
  </w:abstractNum>
  <w:abstractNum w:abstractNumId="13" w15:restartNumberingAfterBreak="0">
    <w:nsid w:val="33AE52B0"/>
    <w:multiLevelType w:val="hybridMultilevel"/>
    <w:tmpl w:val="37787044"/>
    <w:lvl w:ilvl="0" w:tplc="EF16B670">
      <w:start w:val="1"/>
      <w:numFmt w:val="bullet"/>
      <w:lvlText w:val=""/>
      <w:lvlJc w:val="left"/>
      <w:pPr>
        <w:ind w:left="720" w:hanging="360"/>
      </w:pPr>
      <w:rPr>
        <w:rFonts w:ascii="Symbol" w:hAnsi="Symbol" w:hint="default"/>
      </w:rPr>
    </w:lvl>
    <w:lvl w:ilvl="1" w:tplc="75222D5C">
      <w:start w:val="1"/>
      <w:numFmt w:val="bullet"/>
      <w:lvlText w:val="o"/>
      <w:lvlJc w:val="left"/>
      <w:pPr>
        <w:ind w:left="1440" w:hanging="360"/>
      </w:pPr>
      <w:rPr>
        <w:rFonts w:ascii="Courier New" w:hAnsi="Courier New" w:cs="Courier New" w:hint="default"/>
      </w:rPr>
    </w:lvl>
    <w:lvl w:ilvl="2" w:tplc="A10A8A68">
      <w:start w:val="1"/>
      <w:numFmt w:val="bullet"/>
      <w:lvlText w:val=""/>
      <w:lvlJc w:val="left"/>
      <w:pPr>
        <w:ind w:left="2160" w:hanging="360"/>
      </w:pPr>
      <w:rPr>
        <w:rFonts w:ascii="Wingdings" w:hAnsi="Wingdings" w:hint="default"/>
      </w:rPr>
    </w:lvl>
    <w:lvl w:ilvl="3" w:tplc="23BE9882">
      <w:start w:val="1"/>
      <w:numFmt w:val="bullet"/>
      <w:lvlText w:val=""/>
      <w:lvlJc w:val="left"/>
      <w:pPr>
        <w:ind w:left="2880" w:hanging="360"/>
      </w:pPr>
      <w:rPr>
        <w:rFonts w:ascii="Symbol" w:hAnsi="Symbol" w:hint="default"/>
      </w:rPr>
    </w:lvl>
    <w:lvl w:ilvl="4" w:tplc="3390A7A4">
      <w:start w:val="1"/>
      <w:numFmt w:val="bullet"/>
      <w:lvlText w:val="o"/>
      <w:lvlJc w:val="left"/>
      <w:pPr>
        <w:ind w:left="3600" w:hanging="360"/>
      </w:pPr>
      <w:rPr>
        <w:rFonts w:ascii="Courier New" w:hAnsi="Courier New" w:cs="Courier New" w:hint="default"/>
      </w:rPr>
    </w:lvl>
    <w:lvl w:ilvl="5" w:tplc="E8F2137E">
      <w:start w:val="1"/>
      <w:numFmt w:val="bullet"/>
      <w:lvlText w:val=""/>
      <w:lvlJc w:val="left"/>
      <w:pPr>
        <w:ind w:left="4320" w:hanging="360"/>
      </w:pPr>
      <w:rPr>
        <w:rFonts w:ascii="Wingdings" w:hAnsi="Wingdings" w:hint="default"/>
      </w:rPr>
    </w:lvl>
    <w:lvl w:ilvl="6" w:tplc="2696C6B2">
      <w:start w:val="1"/>
      <w:numFmt w:val="bullet"/>
      <w:lvlText w:val=""/>
      <w:lvlJc w:val="left"/>
      <w:pPr>
        <w:ind w:left="5040" w:hanging="360"/>
      </w:pPr>
      <w:rPr>
        <w:rFonts w:ascii="Symbol" w:hAnsi="Symbol" w:hint="default"/>
      </w:rPr>
    </w:lvl>
    <w:lvl w:ilvl="7" w:tplc="312CB692">
      <w:start w:val="1"/>
      <w:numFmt w:val="bullet"/>
      <w:lvlText w:val="o"/>
      <w:lvlJc w:val="left"/>
      <w:pPr>
        <w:ind w:left="5760" w:hanging="360"/>
      </w:pPr>
      <w:rPr>
        <w:rFonts w:ascii="Courier New" w:hAnsi="Courier New" w:cs="Courier New" w:hint="default"/>
      </w:rPr>
    </w:lvl>
    <w:lvl w:ilvl="8" w:tplc="A552B6E8">
      <w:start w:val="1"/>
      <w:numFmt w:val="bullet"/>
      <w:lvlText w:val=""/>
      <w:lvlJc w:val="left"/>
      <w:pPr>
        <w:ind w:left="6480" w:hanging="360"/>
      </w:pPr>
      <w:rPr>
        <w:rFonts w:ascii="Wingdings" w:hAnsi="Wingdings" w:hint="default"/>
      </w:rPr>
    </w:lvl>
  </w:abstractNum>
  <w:abstractNum w:abstractNumId="14" w15:restartNumberingAfterBreak="0">
    <w:nsid w:val="3E701312"/>
    <w:multiLevelType w:val="hybridMultilevel"/>
    <w:tmpl w:val="48600200"/>
    <w:lvl w:ilvl="0" w:tplc="AEB27516">
      <w:start w:val="1"/>
      <w:numFmt w:val="hebrew1"/>
      <w:pStyle w:val="a"/>
      <w:lvlText w:val="%1."/>
      <w:lvlJc w:val="center"/>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4E8BC94" w:tentative="1">
      <w:start w:val="1"/>
      <w:numFmt w:val="lowerLetter"/>
      <w:lvlText w:val="%2."/>
      <w:lvlJc w:val="left"/>
      <w:pPr>
        <w:ind w:left="1440" w:hanging="360"/>
      </w:pPr>
    </w:lvl>
    <w:lvl w:ilvl="2" w:tplc="F05C9A06" w:tentative="1">
      <w:start w:val="1"/>
      <w:numFmt w:val="lowerRoman"/>
      <w:lvlText w:val="%3."/>
      <w:lvlJc w:val="right"/>
      <w:pPr>
        <w:ind w:left="2160" w:hanging="180"/>
      </w:pPr>
    </w:lvl>
    <w:lvl w:ilvl="3" w:tplc="64A44626" w:tentative="1">
      <w:start w:val="1"/>
      <w:numFmt w:val="decimal"/>
      <w:lvlText w:val="%4."/>
      <w:lvlJc w:val="left"/>
      <w:pPr>
        <w:ind w:left="2880" w:hanging="360"/>
      </w:pPr>
    </w:lvl>
    <w:lvl w:ilvl="4" w:tplc="A678E11A" w:tentative="1">
      <w:start w:val="1"/>
      <w:numFmt w:val="lowerLetter"/>
      <w:lvlText w:val="%5."/>
      <w:lvlJc w:val="left"/>
      <w:pPr>
        <w:ind w:left="3600" w:hanging="360"/>
      </w:pPr>
    </w:lvl>
    <w:lvl w:ilvl="5" w:tplc="3536C3EE" w:tentative="1">
      <w:start w:val="1"/>
      <w:numFmt w:val="lowerRoman"/>
      <w:lvlText w:val="%6."/>
      <w:lvlJc w:val="right"/>
      <w:pPr>
        <w:ind w:left="4320" w:hanging="180"/>
      </w:pPr>
    </w:lvl>
    <w:lvl w:ilvl="6" w:tplc="21DC753E" w:tentative="1">
      <w:start w:val="1"/>
      <w:numFmt w:val="decimal"/>
      <w:lvlText w:val="%7."/>
      <w:lvlJc w:val="left"/>
      <w:pPr>
        <w:ind w:left="5040" w:hanging="360"/>
      </w:pPr>
    </w:lvl>
    <w:lvl w:ilvl="7" w:tplc="5BD69A32" w:tentative="1">
      <w:start w:val="1"/>
      <w:numFmt w:val="lowerLetter"/>
      <w:lvlText w:val="%8."/>
      <w:lvlJc w:val="left"/>
      <w:pPr>
        <w:ind w:left="5760" w:hanging="360"/>
      </w:pPr>
    </w:lvl>
    <w:lvl w:ilvl="8" w:tplc="EBACBB28" w:tentative="1">
      <w:start w:val="1"/>
      <w:numFmt w:val="lowerRoman"/>
      <w:lvlText w:val="%9."/>
      <w:lvlJc w:val="right"/>
      <w:pPr>
        <w:ind w:left="6480" w:hanging="180"/>
      </w:pPr>
    </w:lvl>
  </w:abstractNum>
  <w:abstractNum w:abstractNumId="15" w15:restartNumberingAfterBreak="0">
    <w:nsid w:val="40CA49A5"/>
    <w:multiLevelType w:val="hybridMultilevel"/>
    <w:tmpl w:val="D488128E"/>
    <w:lvl w:ilvl="0" w:tplc="A86833AC">
      <w:start w:val="1"/>
      <w:numFmt w:val="bullet"/>
      <w:lvlText w:val=""/>
      <w:lvlJc w:val="left"/>
      <w:pPr>
        <w:ind w:left="1080" w:hanging="360"/>
      </w:pPr>
      <w:rPr>
        <w:rFonts w:ascii="Wingdings" w:hAnsi="Wingdings" w:hint="default"/>
      </w:rPr>
    </w:lvl>
    <w:lvl w:ilvl="1" w:tplc="C0F2A7A2" w:tentative="1">
      <w:start w:val="1"/>
      <w:numFmt w:val="bullet"/>
      <w:lvlText w:val="o"/>
      <w:lvlJc w:val="left"/>
      <w:pPr>
        <w:ind w:left="1800" w:hanging="360"/>
      </w:pPr>
      <w:rPr>
        <w:rFonts w:ascii="Courier New" w:hAnsi="Courier New" w:cs="Courier New" w:hint="default"/>
      </w:rPr>
    </w:lvl>
    <w:lvl w:ilvl="2" w:tplc="6F464EE2" w:tentative="1">
      <w:start w:val="1"/>
      <w:numFmt w:val="bullet"/>
      <w:lvlText w:val=""/>
      <w:lvlJc w:val="left"/>
      <w:pPr>
        <w:ind w:left="2520" w:hanging="360"/>
      </w:pPr>
      <w:rPr>
        <w:rFonts w:ascii="Wingdings" w:hAnsi="Wingdings" w:hint="default"/>
      </w:rPr>
    </w:lvl>
    <w:lvl w:ilvl="3" w:tplc="AD40E2B8" w:tentative="1">
      <w:start w:val="1"/>
      <w:numFmt w:val="bullet"/>
      <w:lvlText w:val=""/>
      <w:lvlJc w:val="left"/>
      <w:pPr>
        <w:ind w:left="3240" w:hanging="360"/>
      </w:pPr>
      <w:rPr>
        <w:rFonts w:ascii="Symbol" w:hAnsi="Symbol" w:hint="default"/>
      </w:rPr>
    </w:lvl>
    <w:lvl w:ilvl="4" w:tplc="30A81DD8" w:tentative="1">
      <w:start w:val="1"/>
      <w:numFmt w:val="bullet"/>
      <w:lvlText w:val="o"/>
      <w:lvlJc w:val="left"/>
      <w:pPr>
        <w:ind w:left="3960" w:hanging="360"/>
      </w:pPr>
      <w:rPr>
        <w:rFonts w:ascii="Courier New" w:hAnsi="Courier New" w:cs="Courier New" w:hint="default"/>
      </w:rPr>
    </w:lvl>
    <w:lvl w:ilvl="5" w:tplc="40A2ED58" w:tentative="1">
      <w:start w:val="1"/>
      <w:numFmt w:val="bullet"/>
      <w:lvlText w:val=""/>
      <w:lvlJc w:val="left"/>
      <w:pPr>
        <w:ind w:left="4680" w:hanging="360"/>
      </w:pPr>
      <w:rPr>
        <w:rFonts w:ascii="Wingdings" w:hAnsi="Wingdings" w:hint="default"/>
      </w:rPr>
    </w:lvl>
    <w:lvl w:ilvl="6" w:tplc="E91A4018" w:tentative="1">
      <w:start w:val="1"/>
      <w:numFmt w:val="bullet"/>
      <w:lvlText w:val=""/>
      <w:lvlJc w:val="left"/>
      <w:pPr>
        <w:ind w:left="5400" w:hanging="360"/>
      </w:pPr>
      <w:rPr>
        <w:rFonts w:ascii="Symbol" w:hAnsi="Symbol" w:hint="default"/>
      </w:rPr>
    </w:lvl>
    <w:lvl w:ilvl="7" w:tplc="2E4A1A70" w:tentative="1">
      <w:start w:val="1"/>
      <w:numFmt w:val="bullet"/>
      <w:lvlText w:val="o"/>
      <w:lvlJc w:val="left"/>
      <w:pPr>
        <w:ind w:left="6120" w:hanging="360"/>
      </w:pPr>
      <w:rPr>
        <w:rFonts w:ascii="Courier New" w:hAnsi="Courier New" w:cs="Courier New" w:hint="default"/>
      </w:rPr>
    </w:lvl>
    <w:lvl w:ilvl="8" w:tplc="85F8F05C" w:tentative="1">
      <w:start w:val="1"/>
      <w:numFmt w:val="bullet"/>
      <w:lvlText w:val=""/>
      <w:lvlJc w:val="left"/>
      <w:pPr>
        <w:ind w:left="6840" w:hanging="360"/>
      </w:pPr>
      <w:rPr>
        <w:rFonts w:ascii="Wingdings" w:hAnsi="Wingdings" w:hint="default"/>
      </w:rPr>
    </w:lvl>
  </w:abstractNum>
  <w:abstractNum w:abstractNumId="16" w15:restartNumberingAfterBreak="0">
    <w:nsid w:val="4DFF6651"/>
    <w:multiLevelType w:val="hybridMultilevel"/>
    <w:tmpl w:val="F020C650"/>
    <w:lvl w:ilvl="0" w:tplc="B23E8096">
      <w:start w:val="1"/>
      <w:numFmt w:val="bullet"/>
      <w:lvlText w:val="•"/>
      <w:lvlJc w:val="left"/>
      <w:pPr>
        <w:tabs>
          <w:tab w:val="num" w:pos="720"/>
        </w:tabs>
        <w:ind w:left="720" w:hanging="360"/>
      </w:pPr>
      <w:rPr>
        <w:rFonts w:ascii="Arial" w:hAnsi="Arial" w:hint="default"/>
      </w:rPr>
    </w:lvl>
    <w:lvl w:ilvl="1" w:tplc="720CCD6C">
      <w:start w:val="110"/>
      <w:numFmt w:val="bullet"/>
      <w:lvlText w:val="•"/>
      <w:lvlJc w:val="left"/>
      <w:pPr>
        <w:tabs>
          <w:tab w:val="num" w:pos="1440"/>
        </w:tabs>
        <w:ind w:left="1440" w:hanging="360"/>
      </w:pPr>
      <w:rPr>
        <w:rFonts w:ascii="Arial" w:hAnsi="Arial" w:hint="default"/>
      </w:rPr>
    </w:lvl>
    <w:lvl w:ilvl="2" w:tplc="24C045A0" w:tentative="1">
      <w:start w:val="1"/>
      <w:numFmt w:val="bullet"/>
      <w:lvlText w:val="•"/>
      <w:lvlJc w:val="left"/>
      <w:pPr>
        <w:tabs>
          <w:tab w:val="num" w:pos="2160"/>
        </w:tabs>
        <w:ind w:left="2160" w:hanging="360"/>
      </w:pPr>
      <w:rPr>
        <w:rFonts w:ascii="Arial" w:hAnsi="Arial" w:hint="default"/>
      </w:rPr>
    </w:lvl>
    <w:lvl w:ilvl="3" w:tplc="71BCCEF8" w:tentative="1">
      <w:start w:val="1"/>
      <w:numFmt w:val="bullet"/>
      <w:lvlText w:val="•"/>
      <w:lvlJc w:val="left"/>
      <w:pPr>
        <w:tabs>
          <w:tab w:val="num" w:pos="2880"/>
        </w:tabs>
        <w:ind w:left="2880" w:hanging="360"/>
      </w:pPr>
      <w:rPr>
        <w:rFonts w:ascii="Arial" w:hAnsi="Arial" w:hint="default"/>
      </w:rPr>
    </w:lvl>
    <w:lvl w:ilvl="4" w:tplc="8D1CF25A" w:tentative="1">
      <w:start w:val="1"/>
      <w:numFmt w:val="bullet"/>
      <w:lvlText w:val="•"/>
      <w:lvlJc w:val="left"/>
      <w:pPr>
        <w:tabs>
          <w:tab w:val="num" w:pos="3600"/>
        </w:tabs>
        <w:ind w:left="3600" w:hanging="360"/>
      </w:pPr>
      <w:rPr>
        <w:rFonts w:ascii="Arial" w:hAnsi="Arial" w:hint="default"/>
      </w:rPr>
    </w:lvl>
    <w:lvl w:ilvl="5" w:tplc="FA14719E" w:tentative="1">
      <w:start w:val="1"/>
      <w:numFmt w:val="bullet"/>
      <w:lvlText w:val="•"/>
      <w:lvlJc w:val="left"/>
      <w:pPr>
        <w:tabs>
          <w:tab w:val="num" w:pos="4320"/>
        </w:tabs>
        <w:ind w:left="4320" w:hanging="360"/>
      </w:pPr>
      <w:rPr>
        <w:rFonts w:ascii="Arial" w:hAnsi="Arial" w:hint="default"/>
      </w:rPr>
    </w:lvl>
    <w:lvl w:ilvl="6" w:tplc="273EEC78" w:tentative="1">
      <w:start w:val="1"/>
      <w:numFmt w:val="bullet"/>
      <w:lvlText w:val="•"/>
      <w:lvlJc w:val="left"/>
      <w:pPr>
        <w:tabs>
          <w:tab w:val="num" w:pos="5040"/>
        </w:tabs>
        <w:ind w:left="5040" w:hanging="360"/>
      </w:pPr>
      <w:rPr>
        <w:rFonts w:ascii="Arial" w:hAnsi="Arial" w:hint="default"/>
      </w:rPr>
    </w:lvl>
    <w:lvl w:ilvl="7" w:tplc="68D08644" w:tentative="1">
      <w:start w:val="1"/>
      <w:numFmt w:val="bullet"/>
      <w:lvlText w:val="•"/>
      <w:lvlJc w:val="left"/>
      <w:pPr>
        <w:tabs>
          <w:tab w:val="num" w:pos="5760"/>
        </w:tabs>
        <w:ind w:left="5760" w:hanging="360"/>
      </w:pPr>
      <w:rPr>
        <w:rFonts w:ascii="Arial" w:hAnsi="Arial" w:hint="default"/>
      </w:rPr>
    </w:lvl>
    <w:lvl w:ilvl="8" w:tplc="53B241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3F041A"/>
    <w:multiLevelType w:val="hybridMultilevel"/>
    <w:tmpl w:val="1D76BA48"/>
    <w:lvl w:ilvl="0" w:tplc="5940799C">
      <w:start w:val="1"/>
      <w:numFmt w:val="bullet"/>
      <w:lvlText w:val=""/>
      <w:lvlJc w:val="left"/>
      <w:pPr>
        <w:ind w:left="720" w:hanging="360"/>
      </w:pPr>
      <w:rPr>
        <w:rFonts w:ascii="Symbol" w:hAnsi="Symbol" w:hint="default"/>
      </w:rPr>
    </w:lvl>
    <w:lvl w:ilvl="1" w:tplc="EBE8E41E">
      <w:start w:val="1"/>
      <w:numFmt w:val="bullet"/>
      <w:lvlText w:val="o"/>
      <w:lvlJc w:val="left"/>
      <w:pPr>
        <w:ind w:left="1440" w:hanging="360"/>
      </w:pPr>
      <w:rPr>
        <w:rFonts w:ascii="Courier New" w:hAnsi="Courier New" w:cs="Courier New" w:hint="default"/>
      </w:rPr>
    </w:lvl>
    <w:lvl w:ilvl="2" w:tplc="0ED667A2" w:tentative="1">
      <w:start w:val="1"/>
      <w:numFmt w:val="bullet"/>
      <w:lvlText w:val=""/>
      <w:lvlJc w:val="left"/>
      <w:pPr>
        <w:ind w:left="2160" w:hanging="360"/>
      </w:pPr>
      <w:rPr>
        <w:rFonts w:ascii="Wingdings" w:hAnsi="Wingdings" w:hint="default"/>
      </w:rPr>
    </w:lvl>
    <w:lvl w:ilvl="3" w:tplc="174C24B6" w:tentative="1">
      <w:start w:val="1"/>
      <w:numFmt w:val="bullet"/>
      <w:lvlText w:val=""/>
      <w:lvlJc w:val="left"/>
      <w:pPr>
        <w:ind w:left="2880" w:hanging="360"/>
      </w:pPr>
      <w:rPr>
        <w:rFonts w:ascii="Symbol" w:hAnsi="Symbol" w:hint="default"/>
      </w:rPr>
    </w:lvl>
    <w:lvl w:ilvl="4" w:tplc="AD18F08A" w:tentative="1">
      <w:start w:val="1"/>
      <w:numFmt w:val="bullet"/>
      <w:lvlText w:val="o"/>
      <w:lvlJc w:val="left"/>
      <w:pPr>
        <w:ind w:left="3600" w:hanging="360"/>
      </w:pPr>
      <w:rPr>
        <w:rFonts w:ascii="Courier New" w:hAnsi="Courier New" w:cs="Courier New" w:hint="default"/>
      </w:rPr>
    </w:lvl>
    <w:lvl w:ilvl="5" w:tplc="A01A93EC" w:tentative="1">
      <w:start w:val="1"/>
      <w:numFmt w:val="bullet"/>
      <w:lvlText w:val=""/>
      <w:lvlJc w:val="left"/>
      <w:pPr>
        <w:ind w:left="4320" w:hanging="360"/>
      </w:pPr>
      <w:rPr>
        <w:rFonts w:ascii="Wingdings" w:hAnsi="Wingdings" w:hint="default"/>
      </w:rPr>
    </w:lvl>
    <w:lvl w:ilvl="6" w:tplc="47FCE4BC" w:tentative="1">
      <w:start w:val="1"/>
      <w:numFmt w:val="bullet"/>
      <w:lvlText w:val=""/>
      <w:lvlJc w:val="left"/>
      <w:pPr>
        <w:ind w:left="5040" w:hanging="360"/>
      </w:pPr>
      <w:rPr>
        <w:rFonts w:ascii="Symbol" w:hAnsi="Symbol" w:hint="default"/>
      </w:rPr>
    </w:lvl>
    <w:lvl w:ilvl="7" w:tplc="9B10590A" w:tentative="1">
      <w:start w:val="1"/>
      <w:numFmt w:val="bullet"/>
      <w:lvlText w:val="o"/>
      <w:lvlJc w:val="left"/>
      <w:pPr>
        <w:ind w:left="5760" w:hanging="360"/>
      </w:pPr>
      <w:rPr>
        <w:rFonts w:ascii="Courier New" w:hAnsi="Courier New" w:cs="Courier New" w:hint="default"/>
      </w:rPr>
    </w:lvl>
    <w:lvl w:ilvl="8" w:tplc="5C1E5306" w:tentative="1">
      <w:start w:val="1"/>
      <w:numFmt w:val="bullet"/>
      <w:lvlText w:val=""/>
      <w:lvlJc w:val="left"/>
      <w:pPr>
        <w:ind w:left="6480" w:hanging="360"/>
      </w:pPr>
      <w:rPr>
        <w:rFonts w:ascii="Wingdings" w:hAnsi="Wingdings" w:hint="default"/>
      </w:rPr>
    </w:lvl>
  </w:abstractNum>
  <w:abstractNum w:abstractNumId="18" w15:restartNumberingAfterBreak="0">
    <w:nsid w:val="55E15FE7"/>
    <w:multiLevelType w:val="hybridMultilevel"/>
    <w:tmpl w:val="706659AC"/>
    <w:lvl w:ilvl="0" w:tplc="C226B910">
      <w:start w:val="1"/>
      <w:numFmt w:val="bullet"/>
      <w:lvlText w:val=""/>
      <w:lvlJc w:val="left"/>
      <w:pPr>
        <w:ind w:left="360" w:hanging="360"/>
      </w:pPr>
      <w:rPr>
        <w:rFonts w:ascii="Wingdings" w:hAnsi="Wingdings" w:hint="default"/>
        <w:color w:val="auto"/>
        <w:sz w:val="24"/>
        <w:szCs w:val="24"/>
      </w:rPr>
    </w:lvl>
    <w:lvl w:ilvl="1" w:tplc="1B2E0F48">
      <w:start w:val="1"/>
      <w:numFmt w:val="bullet"/>
      <w:lvlText w:val="o"/>
      <w:lvlJc w:val="left"/>
      <w:pPr>
        <w:ind w:left="1080" w:hanging="360"/>
      </w:pPr>
      <w:rPr>
        <w:rFonts w:ascii="Courier New" w:hAnsi="Courier New" w:cs="Courier New" w:hint="default"/>
      </w:rPr>
    </w:lvl>
    <w:lvl w:ilvl="2" w:tplc="B332F8B4" w:tentative="1">
      <w:start w:val="1"/>
      <w:numFmt w:val="bullet"/>
      <w:lvlText w:val=""/>
      <w:lvlJc w:val="left"/>
      <w:pPr>
        <w:ind w:left="1800" w:hanging="360"/>
      </w:pPr>
      <w:rPr>
        <w:rFonts w:ascii="Wingdings" w:hAnsi="Wingdings" w:hint="default"/>
      </w:rPr>
    </w:lvl>
    <w:lvl w:ilvl="3" w:tplc="D2582412" w:tentative="1">
      <w:start w:val="1"/>
      <w:numFmt w:val="bullet"/>
      <w:lvlText w:val=""/>
      <w:lvlJc w:val="left"/>
      <w:pPr>
        <w:ind w:left="2520" w:hanging="360"/>
      </w:pPr>
      <w:rPr>
        <w:rFonts w:ascii="Symbol" w:hAnsi="Symbol" w:hint="default"/>
      </w:rPr>
    </w:lvl>
    <w:lvl w:ilvl="4" w:tplc="3738CC6A" w:tentative="1">
      <w:start w:val="1"/>
      <w:numFmt w:val="bullet"/>
      <w:lvlText w:val="o"/>
      <w:lvlJc w:val="left"/>
      <w:pPr>
        <w:ind w:left="3240" w:hanging="360"/>
      </w:pPr>
      <w:rPr>
        <w:rFonts w:ascii="Courier New" w:hAnsi="Courier New" w:cs="Courier New" w:hint="default"/>
      </w:rPr>
    </w:lvl>
    <w:lvl w:ilvl="5" w:tplc="A6CAFE82" w:tentative="1">
      <w:start w:val="1"/>
      <w:numFmt w:val="bullet"/>
      <w:lvlText w:val=""/>
      <w:lvlJc w:val="left"/>
      <w:pPr>
        <w:ind w:left="3960" w:hanging="360"/>
      </w:pPr>
      <w:rPr>
        <w:rFonts w:ascii="Wingdings" w:hAnsi="Wingdings" w:hint="default"/>
      </w:rPr>
    </w:lvl>
    <w:lvl w:ilvl="6" w:tplc="60B2E264" w:tentative="1">
      <w:start w:val="1"/>
      <w:numFmt w:val="bullet"/>
      <w:lvlText w:val=""/>
      <w:lvlJc w:val="left"/>
      <w:pPr>
        <w:ind w:left="4680" w:hanging="360"/>
      </w:pPr>
      <w:rPr>
        <w:rFonts w:ascii="Symbol" w:hAnsi="Symbol" w:hint="default"/>
      </w:rPr>
    </w:lvl>
    <w:lvl w:ilvl="7" w:tplc="C1A8D818" w:tentative="1">
      <w:start w:val="1"/>
      <w:numFmt w:val="bullet"/>
      <w:lvlText w:val="o"/>
      <w:lvlJc w:val="left"/>
      <w:pPr>
        <w:ind w:left="5400" w:hanging="360"/>
      </w:pPr>
      <w:rPr>
        <w:rFonts w:ascii="Courier New" w:hAnsi="Courier New" w:cs="Courier New" w:hint="default"/>
      </w:rPr>
    </w:lvl>
    <w:lvl w:ilvl="8" w:tplc="C93A4814" w:tentative="1">
      <w:start w:val="1"/>
      <w:numFmt w:val="bullet"/>
      <w:lvlText w:val=""/>
      <w:lvlJc w:val="left"/>
      <w:pPr>
        <w:ind w:left="6120" w:hanging="360"/>
      </w:pPr>
      <w:rPr>
        <w:rFonts w:ascii="Wingdings" w:hAnsi="Wingdings" w:hint="default"/>
      </w:rPr>
    </w:lvl>
  </w:abstractNum>
  <w:abstractNum w:abstractNumId="19" w15:restartNumberingAfterBreak="0">
    <w:nsid w:val="57FE0056"/>
    <w:multiLevelType w:val="hybridMultilevel"/>
    <w:tmpl w:val="3E1638A6"/>
    <w:lvl w:ilvl="0" w:tplc="1B5A9D1A">
      <w:start w:val="1"/>
      <w:numFmt w:val="bullet"/>
      <w:lvlText w:val=""/>
      <w:lvlJc w:val="left"/>
      <w:pPr>
        <w:ind w:left="720" w:hanging="360"/>
      </w:pPr>
      <w:rPr>
        <w:rFonts w:ascii="Symbol" w:hAnsi="Symbol" w:hint="default"/>
      </w:rPr>
    </w:lvl>
    <w:lvl w:ilvl="1" w:tplc="604A4CD8">
      <w:start w:val="1"/>
      <w:numFmt w:val="bullet"/>
      <w:lvlText w:val="o"/>
      <w:lvlJc w:val="left"/>
      <w:pPr>
        <w:ind w:left="1440" w:hanging="360"/>
      </w:pPr>
      <w:rPr>
        <w:rFonts w:ascii="Courier New" w:hAnsi="Courier New" w:cs="Courier New" w:hint="default"/>
      </w:rPr>
    </w:lvl>
    <w:lvl w:ilvl="2" w:tplc="4A447CA8">
      <w:start w:val="1"/>
      <w:numFmt w:val="bullet"/>
      <w:lvlText w:val=""/>
      <w:lvlJc w:val="left"/>
      <w:pPr>
        <w:ind w:left="2160" w:hanging="360"/>
      </w:pPr>
      <w:rPr>
        <w:rFonts w:ascii="Wingdings" w:hAnsi="Wingdings" w:hint="default"/>
      </w:rPr>
    </w:lvl>
    <w:lvl w:ilvl="3" w:tplc="973C7114">
      <w:start w:val="1"/>
      <w:numFmt w:val="bullet"/>
      <w:lvlText w:val=""/>
      <w:lvlJc w:val="left"/>
      <w:pPr>
        <w:ind w:left="2880" w:hanging="360"/>
      </w:pPr>
      <w:rPr>
        <w:rFonts w:ascii="Symbol" w:hAnsi="Symbol" w:hint="default"/>
      </w:rPr>
    </w:lvl>
    <w:lvl w:ilvl="4" w:tplc="685C0E7C">
      <w:start w:val="1"/>
      <w:numFmt w:val="bullet"/>
      <w:lvlText w:val="o"/>
      <w:lvlJc w:val="left"/>
      <w:pPr>
        <w:ind w:left="3600" w:hanging="360"/>
      </w:pPr>
      <w:rPr>
        <w:rFonts w:ascii="Courier New" w:hAnsi="Courier New" w:cs="Courier New" w:hint="default"/>
      </w:rPr>
    </w:lvl>
    <w:lvl w:ilvl="5" w:tplc="2460CA84">
      <w:start w:val="1"/>
      <w:numFmt w:val="bullet"/>
      <w:lvlText w:val=""/>
      <w:lvlJc w:val="left"/>
      <w:pPr>
        <w:ind w:left="4320" w:hanging="360"/>
      </w:pPr>
      <w:rPr>
        <w:rFonts w:ascii="Wingdings" w:hAnsi="Wingdings" w:hint="default"/>
      </w:rPr>
    </w:lvl>
    <w:lvl w:ilvl="6" w:tplc="A3D6E662">
      <w:start w:val="1"/>
      <w:numFmt w:val="bullet"/>
      <w:lvlText w:val=""/>
      <w:lvlJc w:val="left"/>
      <w:pPr>
        <w:ind w:left="5040" w:hanging="360"/>
      </w:pPr>
      <w:rPr>
        <w:rFonts w:ascii="Symbol" w:hAnsi="Symbol" w:hint="default"/>
      </w:rPr>
    </w:lvl>
    <w:lvl w:ilvl="7" w:tplc="E0E2EA66">
      <w:start w:val="1"/>
      <w:numFmt w:val="bullet"/>
      <w:lvlText w:val="o"/>
      <w:lvlJc w:val="left"/>
      <w:pPr>
        <w:ind w:left="5760" w:hanging="360"/>
      </w:pPr>
      <w:rPr>
        <w:rFonts w:ascii="Courier New" w:hAnsi="Courier New" w:cs="Courier New" w:hint="default"/>
      </w:rPr>
    </w:lvl>
    <w:lvl w:ilvl="8" w:tplc="0ADCF12E">
      <w:start w:val="1"/>
      <w:numFmt w:val="bullet"/>
      <w:lvlText w:val=""/>
      <w:lvlJc w:val="left"/>
      <w:pPr>
        <w:ind w:left="6480" w:hanging="360"/>
      </w:pPr>
      <w:rPr>
        <w:rFonts w:ascii="Wingdings" w:hAnsi="Wingdings" w:hint="default"/>
      </w:rPr>
    </w:lvl>
  </w:abstractNum>
  <w:abstractNum w:abstractNumId="20" w15:restartNumberingAfterBreak="0">
    <w:nsid w:val="61F12BEA"/>
    <w:multiLevelType w:val="hybridMultilevel"/>
    <w:tmpl w:val="D4BA8082"/>
    <w:lvl w:ilvl="0" w:tplc="62BA0C10">
      <w:start w:val="1"/>
      <w:numFmt w:val="bullet"/>
      <w:lvlText w:val=""/>
      <w:lvlJc w:val="left"/>
      <w:pPr>
        <w:ind w:left="1080" w:hanging="360"/>
      </w:pPr>
      <w:rPr>
        <w:rFonts w:ascii="Wingdings" w:hAnsi="Wingdings" w:hint="default"/>
      </w:rPr>
    </w:lvl>
    <w:lvl w:ilvl="1" w:tplc="38125794" w:tentative="1">
      <w:start w:val="1"/>
      <w:numFmt w:val="bullet"/>
      <w:lvlText w:val="o"/>
      <w:lvlJc w:val="left"/>
      <w:pPr>
        <w:ind w:left="1800" w:hanging="360"/>
      </w:pPr>
      <w:rPr>
        <w:rFonts w:ascii="Courier New" w:hAnsi="Courier New" w:cs="Courier New" w:hint="default"/>
      </w:rPr>
    </w:lvl>
    <w:lvl w:ilvl="2" w:tplc="2CC4BC1C" w:tentative="1">
      <w:start w:val="1"/>
      <w:numFmt w:val="bullet"/>
      <w:lvlText w:val=""/>
      <w:lvlJc w:val="left"/>
      <w:pPr>
        <w:ind w:left="2520" w:hanging="360"/>
      </w:pPr>
      <w:rPr>
        <w:rFonts w:ascii="Wingdings" w:hAnsi="Wingdings" w:hint="default"/>
      </w:rPr>
    </w:lvl>
    <w:lvl w:ilvl="3" w:tplc="2B5E0E30" w:tentative="1">
      <w:start w:val="1"/>
      <w:numFmt w:val="bullet"/>
      <w:lvlText w:val=""/>
      <w:lvlJc w:val="left"/>
      <w:pPr>
        <w:ind w:left="3240" w:hanging="360"/>
      </w:pPr>
      <w:rPr>
        <w:rFonts w:ascii="Symbol" w:hAnsi="Symbol" w:hint="default"/>
      </w:rPr>
    </w:lvl>
    <w:lvl w:ilvl="4" w:tplc="ADD07DDA" w:tentative="1">
      <w:start w:val="1"/>
      <w:numFmt w:val="bullet"/>
      <w:lvlText w:val="o"/>
      <w:lvlJc w:val="left"/>
      <w:pPr>
        <w:ind w:left="3960" w:hanging="360"/>
      </w:pPr>
      <w:rPr>
        <w:rFonts w:ascii="Courier New" w:hAnsi="Courier New" w:cs="Courier New" w:hint="default"/>
      </w:rPr>
    </w:lvl>
    <w:lvl w:ilvl="5" w:tplc="87C40D44" w:tentative="1">
      <w:start w:val="1"/>
      <w:numFmt w:val="bullet"/>
      <w:lvlText w:val=""/>
      <w:lvlJc w:val="left"/>
      <w:pPr>
        <w:ind w:left="4680" w:hanging="360"/>
      </w:pPr>
      <w:rPr>
        <w:rFonts w:ascii="Wingdings" w:hAnsi="Wingdings" w:hint="default"/>
      </w:rPr>
    </w:lvl>
    <w:lvl w:ilvl="6" w:tplc="3EEA167A" w:tentative="1">
      <w:start w:val="1"/>
      <w:numFmt w:val="bullet"/>
      <w:lvlText w:val=""/>
      <w:lvlJc w:val="left"/>
      <w:pPr>
        <w:ind w:left="5400" w:hanging="360"/>
      </w:pPr>
      <w:rPr>
        <w:rFonts w:ascii="Symbol" w:hAnsi="Symbol" w:hint="default"/>
      </w:rPr>
    </w:lvl>
    <w:lvl w:ilvl="7" w:tplc="89C6DFD4" w:tentative="1">
      <w:start w:val="1"/>
      <w:numFmt w:val="bullet"/>
      <w:lvlText w:val="o"/>
      <w:lvlJc w:val="left"/>
      <w:pPr>
        <w:ind w:left="6120" w:hanging="360"/>
      </w:pPr>
      <w:rPr>
        <w:rFonts w:ascii="Courier New" w:hAnsi="Courier New" w:cs="Courier New" w:hint="default"/>
      </w:rPr>
    </w:lvl>
    <w:lvl w:ilvl="8" w:tplc="6FF804F4" w:tentative="1">
      <w:start w:val="1"/>
      <w:numFmt w:val="bullet"/>
      <w:lvlText w:val=""/>
      <w:lvlJc w:val="left"/>
      <w:pPr>
        <w:ind w:left="6840" w:hanging="360"/>
      </w:pPr>
      <w:rPr>
        <w:rFonts w:ascii="Wingdings" w:hAnsi="Wingdings" w:hint="default"/>
      </w:rPr>
    </w:lvl>
  </w:abstractNum>
  <w:abstractNum w:abstractNumId="21" w15:restartNumberingAfterBreak="0">
    <w:nsid w:val="623A0EE0"/>
    <w:multiLevelType w:val="hybridMultilevel"/>
    <w:tmpl w:val="A3A22F8E"/>
    <w:lvl w:ilvl="0" w:tplc="14B6D168">
      <w:start w:val="1"/>
      <w:numFmt w:val="bullet"/>
      <w:lvlText w:val=""/>
      <w:lvlJc w:val="left"/>
      <w:pPr>
        <w:ind w:left="720" w:hanging="360"/>
      </w:pPr>
      <w:rPr>
        <w:rFonts w:ascii="Wingdings" w:hAnsi="Wingdings" w:hint="default"/>
      </w:rPr>
    </w:lvl>
    <w:lvl w:ilvl="1" w:tplc="FCA00ACC" w:tentative="1">
      <w:start w:val="1"/>
      <w:numFmt w:val="bullet"/>
      <w:lvlText w:val="o"/>
      <w:lvlJc w:val="left"/>
      <w:pPr>
        <w:ind w:left="1440" w:hanging="360"/>
      </w:pPr>
      <w:rPr>
        <w:rFonts w:ascii="Courier New" w:hAnsi="Courier New" w:cs="Courier New" w:hint="default"/>
      </w:rPr>
    </w:lvl>
    <w:lvl w:ilvl="2" w:tplc="B62674BA" w:tentative="1">
      <w:start w:val="1"/>
      <w:numFmt w:val="bullet"/>
      <w:lvlText w:val=""/>
      <w:lvlJc w:val="left"/>
      <w:pPr>
        <w:ind w:left="2160" w:hanging="360"/>
      </w:pPr>
      <w:rPr>
        <w:rFonts w:ascii="Wingdings" w:hAnsi="Wingdings" w:hint="default"/>
      </w:rPr>
    </w:lvl>
    <w:lvl w:ilvl="3" w:tplc="A88CAC08" w:tentative="1">
      <w:start w:val="1"/>
      <w:numFmt w:val="bullet"/>
      <w:lvlText w:val=""/>
      <w:lvlJc w:val="left"/>
      <w:pPr>
        <w:ind w:left="2880" w:hanging="360"/>
      </w:pPr>
      <w:rPr>
        <w:rFonts w:ascii="Symbol" w:hAnsi="Symbol" w:hint="default"/>
      </w:rPr>
    </w:lvl>
    <w:lvl w:ilvl="4" w:tplc="54248320" w:tentative="1">
      <w:start w:val="1"/>
      <w:numFmt w:val="bullet"/>
      <w:lvlText w:val="o"/>
      <w:lvlJc w:val="left"/>
      <w:pPr>
        <w:ind w:left="3600" w:hanging="360"/>
      </w:pPr>
      <w:rPr>
        <w:rFonts w:ascii="Courier New" w:hAnsi="Courier New" w:cs="Courier New" w:hint="default"/>
      </w:rPr>
    </w:lvl>
    <w:lvl w:ilvl="5" w:tplc="C54ECA0C" w:tentative="1">
      <w:start w:val="1"/>
      <w:numFmt w:val="bullet"/>
      <w:lvlText w:val=""/>
      <w:lvlJc w:val="left"/>
      <w:pPr>
        <w:ind w:left="4320" w:hanging="360"/>
      </w:pPr>
      <w:rPr>
        <w:rFonts w:ascii="Wingdings" w:hAnsi="Wingdings" w:hint="default"/>
      </w:rPr>
    </w:lvl>
    <w:lvl w:ilvl="6" w:tplc="D5A0F278" w:tentative="1">
      <w:start w:val="1"/>
      <w:numFmt w:val="bullet"/>
      <w:lvlText w:val=""/>
      <w:lvlJc w:val="left"/>
      <w:pPr>
        <w:ind w:left="5040" w:hanging="360"/>
      </w:pPr>
      <w:rPr>
        <w:rFonts w:ascii="Symbol" w:hAnsi="Symbol" w:hint="default"/>
      </w:rPr>
    </w:lvl>
    <w:lvl w:ilvl="7" w:tplc="85CC83AE" w:tentative="1">
      <w:start w:val="1"/>
      <w:numFmt w:val="bullet"/>
      <w:lvlText w:val="o"/>
      <w:lvlJc w:val="left"/>
      <w:pPr>
        <w:ind w:left="5760" w:hanging="360"/>
      </w:pPr>
      <w:rPr>
        <w:rFonts w:ascii="Courier New" w:hAnsi="Courier New" w:cs="Courier New" w:hint="default"/>
      </w:rPr>
    </w:lvl>
    <w:lvl w:ilvl="8" w:tplc="2B282556" w:tentative="1">
      <w:start w:val="1"/>
      <w:numFmt w:val="bullet"/>
      <w:lvlText w:val=""/>
      <w:lvlJc w:val="left"/>
      <w:pPr>
        <w:ind w:left="6480" w:hanging="360"/>
      </w:pPr>
      <w:rPr>
        <w:rFonts w:ascii="Wingdings" w:hAnsi="Wingdings" w:hint="default"/>
      </w:rPr>
    </w:lvl>
  </w:abstractNum>
  <w:abstractNum w:abstractNumId="22" w15:restartNumberingAfterBreak="0">
    <w:nsid w:val="63C721C9"/>
    <w:multiLevelType w:val="hybridMultilevel"/>
    <w:tmpl w:val="8EB677D8"/>
    <w:lvl w:ilvl="0" w:tplc="C2CA57E8">
      <w:start w:val="1"/>
      <w:numFmt w:val="bullet"/>
      <w:lvlText w:val=""/>
      <w:lvlJc w:val="left"/>
      <w:pPr>
        <w:tabs>
          <w:tab w:val="num" w:pos="720"/>
        </w:tabs>
        <w:ind w:left="720" w:hanging="360"/>
      </w:pPr>
      <w:rPr>
        <w:rFonts w:ascii="Wingdings" w:hAnsi="Wingdings" w:hint="default"/>
      </w:rPr>
    </w:lvl>
    <w:lvl w:ilvl="1" w:tplc="E686218C">
      <w:start w:val="1"/>
      <w:numFmt w:val="bullet"/>
      <w:lvlText w:val=""/>
      <w:lvlJc w:val="left"/>
      <w:pPr>
        <w:tabs>
          <w:tab w:val="num" w:pos="1440"/>
        </w:tabs>
        <w:ind w:left="1440" w:hanging="360"/>
      </w:pPr>
      <w:rPr>
        <w:rFonts w:ascii="Wingdings" w:hAnsi="Wingdings" w:hint="default"/>
      </w:rPr>
    </w:lvl>
    <w:lvl w:ilvl="2" w:tplc="60DE84C2">
      <w:start w:val="1"/>
      <w:numFmt w:val="bullet"/>
      <w:lvlText w:val=""/>
      <w:lvlJc w:val="left"/>
      <w:pPr>
        <w:tabs>
          <w:tab w:val="num" w:pos="2160"/>
        </w:tabs>
        <w:ind w:left="2160" w:hanging="360"/>
      </w:pPr>
      <w:rPr>
        <w:rFonts w:ascii="Wingdings" w:hAnsi="Wingdings" w:hint="default"/>
      </w:rPr>
    </w:lvl>
    <w:lvl w:ilvl="3" w:tplc="6940435E">
      <w:start w:val="1"/>
      <w:numFmt w:val="bullet"/>
      <w:lvlText w:val=""/>
      <w:lvlJc w:val="left"/>
      <w:pPr>
        <w:tabs>
          <w:tab w:val="num" w:pos="2880"/>
        </w:tabs>
        <w:ind w:left="2880" w:hanging="360"/>
      </w:pPr>
      <w:rPr>
        <w:rFonts w:ascii="Wingdings" w:hAnsi="Wingdings" w:hint="default"/>
      </w:rPr>
    </w:lvl>
    <w:lvl w:ilvl="4" w:tplc="E08C06E8">
      <w:start w:val="1"/>
      <w:numFmt w:val="bullet"/>
      <w:lvlText w:val=""/>
      <w:lvlJc w:val="left"/>
      <w:pPr>
        <w:tabs>
          <w:tab w:val="num" w:pos="3600"/>
        </w:tabs>
        <w:ind w:left="3600" w:hanging="360"/>
      </w:pPr>
      <w:rPr>
        <w:rFonts w:ascii="Wingdings" w:hAnsi="Wingdings" w:hint="default"/>
      </w:rPr>
    </w:lvl>
    <w:lvl w:ilvl="5" w:tplc="65C80692">
      <w:start w:val="1"/>
      <w:numFmt w:val="bullet"/>
      <w:lvlText w:val=""/>
      <w:lvlJc w:val="left"/>
      <w:pPr>
        <w:tabs>
          <w:tab w:val="num" w:pos="4320"/>
        </w:tabs>
        <w:ind w:left="4320" w:hanging="360"/>
      </w:pPr>
      <w:rPr>
        <w:rFonts w:ascii="Wingdings" w:hAnsi="Wingdings" w:hint="default"/>
      </w:rPr>
    </w:lvl>
    <w:lvl w:ilvl="6" w:tplc="766ED3E6">
      <w:start w:val="1"/>
      <w:numFmt w:val="bullet"/>
      <w:lvlText w:val=""/>
      <w:lvlJc w:val="left"/>
      <w:pPr>
        <w:tabs>
          <w:tab w:val="num" w:pos="5040"/>
        </w:tabs>
        <w:ind w:left="5040" w:hanging="360"/>
      </w:pPr>
      <w:rPr>
        <w:rFonts w:ascii="Wingdings" w:hAnsi="Wingdings" w:hint="default"/>
      </w:rPr>
    </w:lvl>
    <w:lvl w:ilvl="7" w:tplc="A3DA6362">
      <w:start w:val="1"/>
      <w:numFmt w:val="bullet"/>
      <w:lvlText w:val=""/>
      <w:lvlJc w:val="left"/>
      <w:pPr>
        <w:tabs>
          <w:tab w:val="num" w:pos="5760"/>
        </w:tabs>
        <w:ind w:left="5760" w:hanging="360"/>
      </w:pPr>
      <w:rPr>
        <w:rFonts w:ascii="Wingdings" w:hAnsi="Wingdings" w:hint="default"/>
      </w:rPr>
    </w:lvl>
    <w:lvl w:ilvl="8" w:tplc="33B6458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5F3F09"/>
    <w:multiLevelType w:val="hybridMultilevel"/>
    <w:tmpl w:val="F9DAA404"/>
    <w:lvl w:ilvl="0" w:tplc="7206D0B4">
      <w:start w:val="1"/>
      <w:numFmt w:val="bullet"/>
      <w:lvlText w:val=""/>
      <w:lvlJc w:val="left"/>
      <w:pPr>
        <w:ind w:left="720" w:hanging="360"/>
      </w:pPr>
      <w:rPr>
        <w:rFonts w:ascii="Symbol" w:hAnsi="Symbol" w:hint="default"/>
      </w:rPr>
    </w:lvl>
    <w:lvl w:ilvl="1" w:tplc="1EF876CE">
      <w:start w:val="1"/>
      <w:numFmt w:val="bullet"/>
      <w:lvlText w:val="o"/>
      <w:lvlJc w:val="left"/>
      <w:pPr>
        <w:ind w:left="1440" w:hanging="360"/>
      </w:pPr>
      <w:rPr>
        <w:rFonts w:ascii="Courier New" w:hAnsi="Courier New" w:cs="Courier New" w:hint="default"/>
      </w:rPr>
    </w:lvl>
    <w:lvl w:ilvl="2" w:tplc="2CE6EFEE">
      <w:start w:val="1"/>
      <w:numFmt w:val="bullet"/>
      <w:lvlText w:val=""/>
      <w:lvlJc w:val="left"/>
      <w:pPr>
        <w:ind w:left="2160" w:hanging="360"/>
      </w:pPr>
      <w:rPr>
        <w:rFonts w:ascii="Wingdings" w:hAnsi="Wingdings" w:hint="default"/>
      </w:rPr>
    </w:lvl>
    <w:lvl w:ilvl="3" w:tplc="134817B8">
      <w:start w:val="1"/>
      <w:numFmt w:val="bullet"/>
      <w:lvlText w:val=""/>
      <w:lvlJc w:val="left"/>
      <w:pPr>
        <w:ind w:left="2880" w:hanging="360"/>
      </w:pPr>
      <w:rPr>
        <w:rFonts w:ascii="Symbol" w:hAnsi="Symbol" w:hint="default"/>
      </w:rPr>
    </w:lvl>
    <w:lvl w:ilvl="4" w:tplc="5DC25B7A">
      <w:start w:val="1"/>
      <w:numFmt w:val="bullet"/>
      <w:lvlText w:val="o"/>
      <w:lvlJc w:val="left"/>
      <w:pPr>
        <w:ind w:left="3600" w:hanging="360"/>
      </w:pPr>
      <w:rPr>
        <w:rFonts w:ascii="Courier New" w:hAnsi="Courier New" w:cs="Courier New" w:hint="default"/>
      </w:rPr>
    </w:lvl>
    <w:lvl w:ilvl="5" w:tplc="EA402294">
      <w:start w:val="1"/>
      <w:numFmt w:val="bullet"/>
      <w:lvlText w:val=""/>
      <w:lvlJc w:val="left"/>
      <w:pPr>
        <w:ind w:left="4320" w:hanging="360"/>
      </w:pPr>
      <w:rPr>
        <w:rFonts w:ascii="Wingdings" w:hAnsi="Wingdings" w:hint="default"/>
      </w:rPr>
    </w:lvl>
    <w:lvl w:ilvl="6" w:tplc="FE3E4432">
      <w:start w:val="1"/>
      <w:numFmt w:val="bullet"/>
      <w:lvlText w:val=""/>
      <w:lvlJc w:val="left"/>
      <w:pPr>
        <w:ind w:left="5040" w:hanging="360"/>
      </w:pPr>
      <w:rPr>
        <w:rFonts w:ascii="Symbol" w:hAnsi="Symbol" w:hint="default"/>
      </w:rPr>
    </w:lvl>
    <w:lvl w:ilvl="7" w:tplc="9544EBCA">
      <w:start w:val="1"/>
      <w:numFmt w:val="bullet"/>
      <w:lvlText w:val="o"/>
      <w:lvlJc w:val="left"/>
      <w:pPr>
        <w:ind w:left="5760" w:hanging="360"/>
      </w:pPr>
      <w:rPr>
        <w:rFonts w:ascii="Courier New" w:hAnsi="Courier New" w:cs="Courier New" w:hint="default"/>
      </w:rPr>
    </w:lvl>
    <w:lvl w:ilvl="8" w:tplc="31388DB2">
      <w:start w:val="1"/>
      <w:numFmt w:val="bullet"/>
      <w:lvlText w:val=""/>
      <w:lvlJc w:val="left"/>
      <w:pPr>
        <w:ind w:left="6480" w:hanging="360"/>
      </w:pPr>
      <w:rPr>
        <w:rFonts w:ascii="Wingdings" w:hAnsi="Wingdings" w:hint="default"/>
      </w:rPr>
    </w:lvl>
  </w:abstractNum>
  <w:abstractNum w:abstractNumId="24" w15:restartNumberingAfterBreak="0">
    <w:nsid w:val="66C97829"/>
    <w:multiLevelType w:val="hybridMultilevel"/>
    <w:tmpl w:val="DC4CD442"/>
    <w:lvl w:ilvl="0" w:tplc="13FC2A34">
      <w:start w:val="1"/>
      <w:numFmt w:val="bullet"/>
      <w:lvlText w:val=""/>
      <w:lvlJc w:val="left"/>
      <w:pPr>
        <w:ind w:left="360" w:hanging="360"/>
      </w:pPr>
      <w:rPr>
        <w:rFonts w:ascii="Wingdings" w:hAnsi="Wingdings" w:hint="default"/>
      </w:rPr>
    </w:lvl>
    <w:lvl w:ilvl="1" w:tplc="69E4BED6" w:tentative="1">
      <w:start w:val="1"/>
      <w:numFmt w:val="bullet"/>
      <w:lvlText w:val="o"/>
      <w:lvlJc w:val="left"/>
      <w:pPr>
        <w:ind w:left="1080" w:hanging="360"/>
      </w:pPr>
      <w:rPr>
        <w:rFonts w:ascii="Courier New" w:hAnsi="Courier New" w:cs="Courier New" w:hint="default"/>
      </w:rPr>
    </w:lvl>
    <w:lvl w:ilvl="2" w:tplc="BF269106" w:tentative="1">
      <w:start w:val="1"/>
      <w:numFmt w:val="bullet"/>
      <w:lvlText w:val=""/>
      <w:lvlJc w:val="left"/>
      <w:pPr>
        <w:ind w:left="1800" w:hanging="360"/>
      </w:pPr>
      <w:rPr>
        <w:rFonts w:ascii="Wingdings" w:hAnsi="Wingdings" w:hint="default"/>
      </w:rPr>
    </w:lvl>
    <w:lvl w:ilvl="3" w:tplc="40381DE6" w:tentative="1">
      <w:start w:val="1"/>
      <w:numFmt w:val="bullet"/>
      <w:lvlText w:val=""/>
      <w:lvlJc w:val="left"/>
      <w:pPr>
        <w:ind w:left="2520" w:hanging="360"/>
      </w:pPr>
      <w:rPr>
        <w:rFonts w:ascii="Symbol" w:hAnsi="Symbol" w:hint="default"/>
      </w:rPr>
    </w:lvl>
    <w:lvl w:ilvl="4" w:tplc="7D0E1AD0" w:tentative="1">
      <w:start w:val="1"/>
      <w:numFmt w:val="bullet"/>
      <w:lvlText w:val="o"/>
      <w:lvlJc w:val="left"/>
      <w:pPr>
        <w:ind w:left="3240" w:hanging="360"/>
      </w:pPr>
      <w:rPr>
        <w:rFonts w:ascii="Courier New" w:hAnsi="Courier New" w:cs="Courier New" w:hint="default"/>
      </w:rPr>
    </w:lvl>
    <w:lvl w:ilvl="5" w:tplc="FFCCFD5C" w:tentative="1">
      <w:start w:val="1"/>
      <w:numFmt w:val="bullet"/>
      <w:lvlText w:val=""/>
      <w:lvlJc w:val="left"/>
      <w:pPr>
        <w:ind w:left="3960" w:hanging="360"/>
      </w:pPr>
      <w:rPr>
        <w:rFonts w:ascii="Wingdings" w:hAnsi="Wingdings" w:hint="default"/>
      </w:rPr>
    </w:lvl>
    <w:lvl w:ilvl="6" w:tplc="394696BA" w:tentative="1">
      <w:start w:val="1"/>
      <w:numFmt w:val="bullet"/>
      <w:lvlText w:val=""/>
      <w:lvlJc w:val="left"/>
      <w:pPr>
        <w:ind w:left="4680" w:hanging="360"/>
      </w:pPr>
      <w:rPr>
        <w:rFonts w:ascii="Symbol" w:hAnsi="Symbol" w:hint="default"/>
      </w:rPr>
    </w:lvl>
    <w:lvl w:ilvl="7" w:tplc="EEACF93E" w:tentative="1">
      <w:start w:val="1"/>
      <w:numFmt w:val="bullet"/>
      <w:lvlText w:val="o"/>
      <w:lvlJc w:val="left"/>
      <w:pPr>
        <w:ind w:left="5400" w:hanging="360"/>
      </w:pPr>
      <w:rPr>
        <w:rFonts w:ascii="Courier New" w:hAnsi="Courier New" w:cs="Courier New" w:hint="default"/>
      </w:rPr>
    </w:lvl>
    <w:lvl w:ilvl="8" w:tplc="80E0924C" w:tentative="1">
      <w:start w:val="1"/>
      <w:numFmt w:val="bullet"/>
      <w:lvlText w:val=""/>
      <w:lvlJc w:val="left"/>
      <w:pPr>
        <w:ind w:left="6120" w:hanging="360"/>
      </w:pPr>
      <w:rPr>
        <w:rFonts w:ascii="Wingdings" w:hAnsi="Wingdings" w:hint="default"/>
      </w:rPr>
    </w:lvl>
  </w:abstractNum>
  <w:abstractNum w:abstractNumId="25" w15:restartNumberingAfterBreak="0">
    <w:nsid w:val="6B7F26FD"/>
    <w:multiLevelType w:val="hybridMultilevel"/>
    <w:tmpl w:val="816EE6F4"/>
    <w:lvl w:ilvl="0" w:tplc="AA9498EA">
      <w:start w:val="5"/>
      <w:numFmt w:val="bullet"/>
      <w:lvlText w:val=""/>
      <w:lvlJc w:val="left"/>
      <w:pPr>
        <w:ind w:left="720" w:hanging="360"/>
      </w:pPr>
      <w:rPr>
        <w:rFonts w:ascii="Symbol" w:eastAsiaTheme="minorHAnsi" w:hAnsi="Symbol" w:cs="Calibri" w:hint="default"/>
        <w:b w:val="0"/>
      </w:rPr>
    </w:lvl>
    <w:lvl w:ilvl="1" w:tplc="BBF05E72" w:tentative="1">
      <w:start w:val="1"/>
      <w:numFmt w:val="bullet"/>
      <w:lvlText w:val="o"/>
      <w:lvlJc w:val="left"/>
      <w:pPr>
        <w:ind w:left="1440" w:hanging="360"/>
      </w:pPr>
      <w:rPr>
        <w:rFonts w:ascii="Courier New" w:hAnsi="Courier New" w:cs="Courier New" w:hint="default"/>
      </w:rPr>
    </w:lvl>
    <w:lvl w:ilvl="2" w:tplc="D354C4DE" w:tentative="1">
      <w:start w:val="1"/>
      <w:numFmt w:val="bullet"/>
      <w:lvlText w:val=""/>
      <w:lvlJc w:val="left"/>
      <w:pPr>
        <w:ind w:left="2160" w:hanging="360"/>
      </w:pPr>
      <w:rPr>
        <w:rFonts w:ascii="Wingdings" w:hAnsi="Wingdings" w:hint="default"/>
      </w:rPr>
    </w:lvl>
    <w:lvl w:ilvl="3" w:tplc="EDF09052" w:tentative="1">
      <w:start w:val="1"/>
      <w:numFmt w:val="bullet"/>
      <w:lvlText w:val=""/>
      <w:lvlJc w:val="left"/>
      <w:pPr>
        <w:ind w:left="2880" w:hanging="360"/>
      </w:pPr>
      <w:rPr>
        <w:rFonts w:ascii="Symbol" w:hAnsi="Symbol" w:hint="default"/>
      </w:rPr>
    </w:lvl>
    <w:lvl w:ilvl="4" w:tplc="3740F8C2" w:tentative="1">
      <w:start w:val="1"/>
      <w:numFmt w:val="bullet"/>
      <w:lvlText w:val="o"/>
      <w:lvlJc w:val="left"/>
      <w:pPr>
        <w:ind w:left="3600" w:hanging="360"/>
      </w:pPr>
      <w:rPr>
        <w:rFonts w:ascii="Courier New" w:hAnsi="Courier New" w:cs="Courier New" w:hint="default"/>
      </w:rPr>
    </w:lvl>
    <w:lvl w:ilvl="5" w:tplc="DBC48056" w:tentative="1">
      <w:start w:val="1"/>
      <w:numFmt w:val="bullet"/>
      <w:lvlText w:val=""/>
      <w:lvlJc w:val="left"/>
      <w:pPr>
        <w:ind w:left="4320" w:hanging="360"/>
      </w:pPr>
      <w:rPr>
        <w:rFonts w:ascii="Wingdings" w:hAnsi="Wingdings" w:hint="default"/>
      </w:rPr>
    </w:lvl>
    <w:lvl w:ilvl="6" w:tplc="D69CB570" w:tentative="1">
      <w:start w:val="1"/>
      <w:numFmt w:val="bullet"/>
      <w:lvlText w:val=""/>
      <w:lvlJc w:val="left"/>
      <w:pPr>
        <w:ind w:left="5040" w:hanging="360"/>
      </w:pPr>
      <w:rPr>
        <w:rFonts w:ascii="Symbol" w:hAnsi="Symbol" w:hint="default"/>
      </w:rPr>
    </w:lvl>
    <w:lvl w:ilvl="7" w:tplc="075E082A" w:tentative="1">
      <w:start w:val="1"/>
      <w:numFmt w:val="bullet"/>
      <w:lvlText w:val="o"/>
      <w:lvlJc w:val="left"/>
      <w:pPr>
        <w:ind w:left="5760" w:hanging="360"/>
      </w:pPr>
      <w:rPr>
        <w:rFonts w:ascii="Courier New" w:hAnsi="Courier New" w:cs="Courier New" w:hint="default"/>
      </w:rPr>
    </w:lvl>
    <w:lvl w:ilvl="8" w:tplc="8B5E3F8E" w:tentative="1">
      <w:start w:val="1"/>
      <w:numFmt w:val="bullet"/>
      <w:lvlText w:val=""/>
      <w:lvlJc w:val="left"/>
      <w:pPr>
        <w:ind w:left="6480" w:hanging="360"/>
      </w:pPr>
      <w:rPr>
        <w:rFonts w:ascii="Wingdings" w:hAnsi="Wingdings" w:hint="default"/>
      </w:rPr>
    </w:lvl>
  </w:abstractNum>
  <w:abstractNum w:abstractNumId="26" w15:restartNumberingAfterBreak="0">
    <w:nsid w:val="7D1E33BE"/>
    <w:multiLevelType w:val="hybridMultilevel"/>
    <w:tmpl w:val="78409C7A"/>
    <w:lvl w:ilvl="0" w:tplc="414C8F26">
      <w:start w:val="1"/>
      <w:numFmt w:val="bullet"/>
      <w:lvlText w:val="•"/>
      <w:lvlJc w:val="left"/>
      <w:pPr>
        <w:tabs>
          <w:tab w:val="num" w:pos="720"/>
        </w:tabs>
        <w:ind w:left="720" w:hanging="360"/>
      </w:pPr>
      <w:rPr>
        <w:rFonts w:ascii="Arial" w:hAnsi="Arial" w:hint="default"/>
      </w:rPr>
    </w:lvl>
    <w:lvl w:ilvl="1" w:tplc="1EBC9A7A" w:tentative="1">
      <w:start w:val="1"/>
      <w:numFmt w:val="bullet"/>
      <w:lvlText w:val="•"/>
      <w:lvlJc w:val="left"/>
      <w:pPr>
        <w:tabs>
          <w:tab w:val="num" w:pos="1440"/>
        </w:tabs>
        <w:ind w:left="1440" w:hanging="360"/>
      </w:pPr>
      <w:rPr>
        <w:rFonts w:ascii="Arial" w:hAnsi="Arial" w:hint="default"/>
      </w:rPr>
    </w:lvl>
    <w:lvl w:ilvl="2" w:tplc="E75434C0" w:tentative="1">
      <w:start w:val="1"/>
      <w:numFmt w:val="bullet"/>
      <w:lvlText w:val="•"/>
      <w:lvlJc w:val="left"/>
      <w:pPr>
        <w:tabs>
          <w:tab w:val="num" w:pos="2160"/>
        </w:tabs>
        <w:ind w:left="2160" w:hanging="360"/>
      </w:pPr>
      <w:rPr>
        <w:rFonts w:ascii="Arial" w:hAnsi="Arial" w:hint="default"/>
      </w:rPr>
    </w:lvl>
    <w:lvl w:ilvl="3" w:tplc="1B3E89EE" w:tentative="1">
      <w:start w:val="1"/>
      <w:numFmt w:val="bullet"/>
      <w:lvlText w:val="•"/>
      <w:lvlJc w:val="left"/>
      <w:pPr>
        <w:tabs>
          <w:tab w:val="num" w:pos="2880"/>
        </w:tabs>
        <w:ind w:left="2880" w:hanging="360"/>
      </w:pPr>
      <w:rPr>
        <w:rFonts w:ascii="Arial" w:hAnsi="Arial" w:hint="default"/>
      </w:rPr>
    </w:lvl>
    <w:lvl w:ilvl="4" w:tplc="1B4EEDE6" w:tentative="1">
      <w:start w:val="1"/>
      <w:numFmt w:val="bullet"/>
      <w:lvlText w:val="•"/>
      <w:lvlJc w:val="left"/>
      <w:pPr>
        <w:tabs>
          <w:tab w:val="num" w:pos="3600"/>
        </w:tabs>
        <w:ind w:left="3600" w:hanging="360"/>
      </w:pPr>
      <w:rPr>
        <w:rFonts w:ascii="Arial" w:hAnsi="Arial" w:hint="default"/>
      </w:rPr>
    </w:lvl>
    <w:lvl w:ilvl="5" w:tplc="55E6EE58" w:tentative="1">
      <w:start w:val="1"/>
      <w:numFmt w:val="bullet"/>
      <w:lvlText w:val="•"/>
      <w:lvlJc w:val="left"/>
      <w:pPr>
        <w:tabs>
          <w:tab w:val="num" w:pos="4320"/>
        </w:tabs>
        <w:ind w:left="4320" w:hanging="360"/>
      </w:pPr>
      <w:rPr>
        <w:rFonts w:ascii="Arial" w:hAnsi="Arial" w:hint="default"/>
      </w:rPr>
    </w:lvl>
    <w:lvl w:ilvl="6" w:tplc="2F6A781E" w:tentative="1">
      <w:start w:val="1"/>
      <w:numFmt w:val="bullet"/>
      <w:lvlText w:val="•"/>
      <w:lvlJc w:val="left"/>
      <w:pPr>
        <w:tabs>
          <w:tab w:val="num" w:pos="5040"/>
        </w:tabs>
        <w:ind w:left="5040" w:hanging="360"/>
      </w:pPr>
      <w:rPr>
        <w:rFonts w:ascii="Arial" w:hAnsi="Arial" w:hint="default"/>
      </w:rPr>
    </w:lvl>
    <w:lvl w:ilvl="7" w:tplc="8E1A22CA" w:tentative="1">
      <w:start w:val="1"/>
      <w:numFmt w:val="bullet"/>
      <w:lvlText w:val="•"/>
      <w:lvlJc w:val="left"/>
      <w:pPr>
        <w:tabs>
          <w:tab w:val="num" w:pos="5760"/>
        </w:tabs>
        <w:ind w:left="5760" w:hanging="360"/>
      </w:pPr>
      <w:rPr>
        <w:rFonts w:ascii="Arial" w:hAnsi="Arial" w:hint="default"/>
      </w:rPr>
    </w:lvl>
    <w:lvl w:ilvl="8" w:tplc="2002404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1"/>
  </w:num>
  <w:num w:numId="3">
    <w:abstractNumId w:val="6"/>
  </w:num>
  <w:num w:numId="4">
    <w:abstractNumId w:val="8"/>
  </w:num>
  <w:num w:numId="5">
    <w:abstractNumId w:val="7"/>
  </w:num>
  <w:num w:numId="6">
    <w:abstractNumId w:val="2"/>
  </w:num>
  <w:num w:numId="7">
    <w:abstractNumId w:val="19"/>
  </w:num>
  <w:num w:numId="8">
    <w:abstractNumId w:val="23"/>
  </w:num>
  <w:num w:numId="9">
    <w:abstractNumId w:val="24"/>
  </w:num>
  <w:num w:numId="10">
    <w:abstractNumId w:val="20"/>
  </w:num>
  <w:num w:numId="11">
    <w:abstractNumId w:val="15"/>
  </w:num>
  <w:num w:numId="12">
    <w:abstractNumId w:val="21"/>
  </w:num>
  <w:num w:numId="13">
    <w:abstractNumId w:val="13"/>
  </w:num>
  <w:num w:numId="14">
    <w:abstractNumId w:val="4"/>
  </w:num>
  <w:num w:numId="15">
    <w:abstractNumId w:val="22"/>
  </w:num>
  <w:num w:numId="16">
    <w:abstractNumId w:val="1"/>
  </w:num>
  <w:num w:numId="17">
    <w:abstractNumId w:val="18"/>
  </w:num>
  <w:num w:numId="18">
    <w:abstractNumId w:val="14"/>
  </w:num>
  <w:num w:numId="19">
    <w:abstractNumId w:val="17"/>
  </w:num>
  <w:num w:numId="20">
    <w:abstractNumId w:val="25"/>
  </w:num>
  <w:num w:numId="21">
    <w:abstractNumId w:val="12"/>
  </w:num>
  <w:num w:numId="22">
    <w:abstractNumId w:val="9"/>
  </w:num>
  <w:num w:numId="23">
    <w:abstractNumId w:val="10"/>
  </w:num>
  <w:num w:numId="24">
    <w:abstractNumId w:val="0"/>
  </w:num>
  <w:num w:numId="25">
    <w:abstractNumId w:val="16"/>
  </w:num>
  <w:num w:numId="26">
    <w:abstractNumId w:val="26"/>
  </w:num>
  <w:num w:numId="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0003"/>
    <w:rsid w:val="00001061"/>
    <w:rsid w:val="00001A6A"/>
    <w:rsid w:val="000027AD"/>
    <w:rsid w:val="0000460A"/>
    <w:rsid w:val="000109E1"/>
    <w:rsid w:val="0001134B"/>
    <w:rsid w:val="000113A8"/>
    <w:rsid w:val="000117E4"/>
    <w:rsid w:val="00011A80"/>
    <w:rsid w:val="00014FD0"/>
    <w:rsid w:val="000152DC"/>
    <w:rsid w:val="0001766D"/>
    <w:rsid w:val="00017BFC"/>
    <w:rsid w:val="0002007D"/>
    <w:rsid w:val="00021FB9"/>
    <w:rsid w:val="00023B23"/>
    <w:rsid w:val="00024809"/>
    <w:rsid w:val="00024F11"/>
    <w:rsid w:val="00025519"/>
    <w:rsid w:val="00025537"/>
    <w:rsid w:val="00031A9D"/>
    <w:rsid w:val="00032523"/>
    <w:rsid w:val="00033B6D"/>
    <w:rsid w:val="000358D1"/>
    <w:rsid w:val="000360A2"/>
    <w:rsid w:val="000411FB"/>
    <w:rsid w:val="00044392"/>
    <w:rsid w:val="000453E0"/>
    <w:rsid w:val="00046F61"/>
    <w:rsid w:val="00050E93"/>
    <w:rsid w:val="00051F87"/>
    <w:rsid w:val="00052F10"/>
    <w:rsid w:val="00054E73"/>
    <w:rsid w:val="00056420"/>
    <w:rsid w:val="00060928"/>
    <w:rsid w:val="00064D3C"/>
    <w:rsid w:val="0006606D"/>
    <w:rsid w:val="00066BDB"/>
    <w:rsid w:val="00067953"/>
    <w:rsid w:val="000706BA"/>
    <w:rsid w:val="00070B92"/>
    <w:rsid w:val="000718EE"/>
    <w:rsid w:val="00074F7A"/>
    <w:rsid w:val="00075AC0"/>
    <w:rsid w:val="0007674B"/>
    <w:rsid w:val="0007707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44E5"/>
    <w:rsid w:val="000A4A06"/>
    <w:rsid w:val="000A54C8"/>
    <w:rsid w:val="000A7049"/>
    <w:rsid w:val="000B0E51"/>
    <w:rsid w:val="000B0EE8"/>
    <w:rsid w:val="000B3FAE"/>
    <w:rsid w:val="000C2F0B"/>
    <w:rsid w:val="000C32D8"/>
    <w:rsid w:val="000C33AB"/>
    <w:rsid w:val="000C346E"/>
    <w:rsid w:val="000C550D"/>
    <w:rsid w:val="000C75FD"/>
    <w:rsid w:val="000D07B1"/>
    <w:rsid w:val="000D1F9E"/>
    <w:rsid w:val="000D3975"/>
    <w:rsid w:val="000D3AC7"/>
    <w:rsid w:val="000D439D"/>
    <w:rsid w:val="000D5007"/>
    <w:rsid w:val="000D5FE3"/>
    <w:rsid w:val="000D6C98"/>
    <w:rsid w:val="000E0A8A"/>
    <w:rsid w:val="000E2793"/>
    <w:rsid w:val="000E2975"/>
    <w:rsid w:val="000E3D04"/>
    <w:rsid w:val="000E779F"/>
    <w:rsid w:val="000E781C"/>
    <w:rsid w:val="000F031D"/>
    <w:rsid w:val="000F0BD4"/>
    <w:rsid w:val="000F0ECA"/>
    <w:rsid w:val="000F1133"/>
    <w:rsid w:val="000F3EAC"/>
    <w:rsid w:val="000F4A85"/>
    <w:rsid w:val="000F71EE"/>
    <w:rsid w:val="000F7CAB"/>
    <w:rsid w:val="00100AE5"/>
    <w:rsid w:val="00102F4F"/>
    <w:rsid w:val="00103EFA"/>
    <w:rsid w:val="00104C0C"/>
    <w:rsid w:val="00104F9A"/>
    <w:rsid w:val="001051E1"/>
    <w:rsid w:val="00105891"/>
    <w:rsid w:val="001077F9"/>
    <w:rsid w:val="00107DB1"/>
    <w:rsid w:val="00110548"/>
    <w:rsid w:val="00111EDD"/>
    <w:rsid w:val="00120E15"/>
    <w:rsid w:val="001214CE"/>
    <w:rsid w:val="001235DE"/>
    <w:rsid w:val="0012448C"/>
    <w:rsid w:val="00124764"/>
    <w:rsid w:val="00124BF6"/>
    <w:rsid w:val="00125340"/>
    <w:rsid w:val="001253C6"/>
    <w:rsid w:val="001260EE"/>
    <w:rsid w:val="00131AB3"/>
    <w:rsid w:val="00132082"/>
    <w:rsid w:val="00132ED1"/>
    <w:rsid w:val="00133384"/>
    <w:rsid w:val="00133DB6"/>
    <w:rsid w:val="001343A1"/>
    <w:rsid w:val="0013442E"/>
    <w:rsid w:val="00134DB6"/>
    <w:rsid w:val="001353DD"/>
    <w:rsid w:val="001371F0"/>
    <w:rsid w:val="0013763C"/>
    <w:rsid w:val="00141888"/>
    <w:rsid w:val="00141D04"/>
    <w:rsid w:val="00142115"/>
    <w:rsid w:val="0014229A"/>
    <w:rsid w:val="00142DFA"/>
    <w:rsid w:val="00142F71"/>
    <w:rsid w:val="00142F72"/>
    <w:rsid w:val="00144C67"/>
    <w:rsid w:val="00144CD6"/>
    <w:rsid w:val="00144E5B"/>
    <w:rsid w:val="001460C5"/>
    <w:rsid w:val="001472FC"/>
    <w:rsid w:val="001474C5"/>
    <w:rsid w:val="0015200F"/>
    <w:rsid w:val="00153235"/>
    <w:rsid w:val="001537BC"/>
    <w:rsid w:val="00153AEE"/>
    <w:rsid w:val="0015483F"/>
    <w:rsid w:val="00156E60"/>
    <w:rsid w:val="00157873"/>
    <w:rsid w:val="0016061D"/>
    <w:rsid w:val="00160E25"/>
    <w:rsid w:val="00161A75"/>
    <w:rsid w:val="00163765"/>
    <w:rsid w:val="00164B82"/>
    <w:rsid w:val="00164BA9"/>
    <w:rsid w:val="00166FE3"/>
    <w:rsid w:val="00167449"/>
    <w:rsid w:val="00170461"/>
    <w:rsid w:val="0017071A"/>
    <w:rsid w:val="001712A1"/>
    <w:rsid w:val="00171378"/>
    <w:rsid w:val="001749ED"/>
    <w:rsid w:val="001750CB"/>
    <w:rsid w:val="00177DF4"/>
    <w:rsid w:val="001804D4"/>
    <w:rsid w:val="001814EF"/>
    <w:rsid w:val="00182F81"/>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61C"/>
    <w:rsid w:val="001C1A17"/>
    <w:rsid w:val="001C2385"/>
    <w:rsid w:val="001C3136"/>
    <w:rsid w:val="001C3633"/>
    <w:rsid w:val="001C41B6"/>
    <w:rsid w:val="001C623A"/>
    <w:rsid w:val="001C6C89"/>
    <w:rsid w:val="001D1076"/>
    <w:rsid w:val="001D2ECB"/>
    <w:rsid w:val="001D340E"/>
    <w:rsid w:val="001D3E3C"/>
    <w:rsid w:val="001D4545"/>
    <w:rsid w:val="001E2FAE"/>
    <w:rsid w:val="001E78F9"/>
    <w:rsid w:val="001E7BF7"/>
    <w:rsid w:val="001E7EAF"/>
    <w:rsid w:val="001F447F"/>
    <w:rsid w:val="001F7E3D"/>
    <w:rsid w:val="00200E67"/>
    <w:rsid w:val="00202296"/>
    <w:rsid w:val="00202530"/>
    <w:rsid w:val="0020381C"/>
    <w:rsid w:val="002038AB"/>
    <w:rsid w:val="00204097"/>
    <w:rsid w:val="0020650F"/>
    <w:rsid w:val="00211A0B"/>
    <w:rsid w:val="002120E9"/>
    <w:rsid w:val="002127C5"/>
    <w:rsid w:val="0021284F"/>
    <w:rsid w:val="00212AA0"/>
    <w:rsid w:val="00212EA1"/>
    <w:rsid w:val="00213EB1"/>
    <w:rsid w:val="0021439A"/>
    <w:rsid w:val="00214AEE"/>
    <w:rsid w:val="00221CF0"/>
    <w:rsid w:val="00221E9A"/>
    <w:rsid w:val="00222298"/>
    <w:rsid w:val="002242B9"/>
    <w:rsid w:val="002243FE"/>
    <w:rsid w:val="0022458C"/>
    <w:rsid w:val="00224E07"/>
    <w:rsid w:val="00225595"/>
    <w:rsid w:val="00226E0E"/>
    <w:rsid w:val="002270A1"/>
    <w:rsid w:val="00231AEA"/>
    <w:rsid w:val="00232ED7"/>
    <w:rsid w:val="002333C8"/>
    <w:rsid w:val="00233B06"/>
    <w:rsid w:val="00235DE2"/>
    <w:rsid w:val="00241C10"/>
    <w:rsid w:val="00242959"/>
    <w:rsid w:val="00242CED"/>
    <w:rsid w:val="00243AED"/>
    <w:rsid w:val="00244686"/>
    <w:rsid w:val="002454AE"/>
    <w:rsid w:val="00245CA7"/>
    <w:rsid w:val="00245D31"/>
    <w:rsid w:val="00246024"/>
    <w:rsid w:val="002468BF"/>
    <w:rsid w:val="00251589"/>
    <w:rsid w:val="00253EEE"/>
    <w:rsid w:val="00254496"/>
    <w:rsid w:val="00256327"/>
    <w:rsid w:val="00256FF4"/>
    <w:rsid w:val="002618FB"/>
    <w:rsid w:val="002634E2"/>
    <w:rsid w:val="00265FF3"/>
    <w:rsid w:val="00270BFC"/>
    <w:rsid w:val="00270E19"/>
    <w:rsid w:val="00272352"/>
    <w:rsid w:val="002728C0"/>
    <w:rsid w:val="00273894"/>
    <w:rsid w:val="002749A7"/>
    <w:rsid w:val="0027581E"/>
    <w:rsid w:val="00276A46"/>
    <w:rsid w:val="00276E1B"/>
    <w:rsid w:val="002771AE"/>
    <w:rsid w:val="00277311"/>
    <w:rsid w:val="002812C8"/>
    <w:rsid w:val="00282A55"/>
    <w:rsid w:val="00283F3C"/>
    <w:rsid w:val="0028653E"/>
    <w:rsid w:val="002869FE"/>
    <w:rsid w:val="00287C92"/>
    <w:rsid w:val="00291EE0"/>
    <w:rsid w:val="00293213"/>
    <w:rsid w:val="00293EE8"/>
    <w:rsid w:val="00294207"/>
    <w:rsid w:val="00294509"/>
    <w:rsid w:val="00294C82"/>
    <w:rsid w:val="0029598B"/>
    <w:rsid w:val="002977E5"/>
    <w:rsid w:val="002A03DF"/>
    <w:rsid w:val="002A1CFE"/>
    <w:rsid w:val="002A29E8"/>
    <w:rsid w:val="002A2E4B"/>
    <w:rsid w:val="002A60C9"/>
    <w:rsid w:val="002A707F"/>
    <w:rsid w:val="002B0652"/>
    <w:rsid w:val="002B087B"/>
    <w:rsid w:val="002B1900"/>
    <w:rsid w:val="002B3702"/>
    <w:rsid w:val="002B5F94"/>
    <w:rsid w:val="002B665C"/>
    <w:rsid w:val="002B668F"/>
    <w:rsid w:val="002B715B"/>
    <w:rsid w:val="002C1302"/>
    <w:rsid w:val="002C2180"/>
    <w:rsid w:val="002C5AE6"/>
    <w:rsid w:val="002C7CC8"/>
    <w:rsid w:val="002D0C24"/>
    <w:rsid w:val="002D2422"/>
    <w:rsid w:val="002D27C8"/>
    <w:rsid w:val="002D7104"/>
    <w:rsid w:val="002D7650"/>
    <w:rsid w:val="002D76F6"/>
    <w:rsid w:val="002E16E9"/>
    <w:rsid w:val="002E3BD1"/>
    <w:rsid w:val="002E588C"/>
    <w:rsid w:val="002E65A1"/>
    <w:rsid w:val="002E7606"/>
    <w:rsid w:val="002F14D6"/>
    <w:rsid w:val="002F1587"/>
    <w:rsid w:val="002F2535"/>
    <w:rsid w:val="002F325A"/>
    <w:rsid w:val="002F449F"/>
    <w:rsid w:val="002F4B73"/>
    <w:rsid w:val="002F6599"/>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22C"/>
    <w:rsid w:val="00322F85"/>
    <w:rsid w:val="003248FF"/>
    <w:rsid w:val="0032493D"/>
    <w:rsid w:val="00324C9F"/>
    <w:rsid w:val="003254AE"/>
    <w:rsid w:val="00325A0A"/>
    <w:rsid w:val="00326B33"/>
    <w:rsid w:val="003273D3"/>
    <w:rsid w:val="00330C1F"/>
    <w:rsid w:val="00331022"/>
    <w:rsid w:val="003335C1"/>
    <w:rsid w:val="00336147"/>
    <w:rsid w:val="00340828"/>
    <w:rsid w:val="003412FE"/>
    <w:rsid w:val="0035096F"/>
    <w:rsid w:val="003520CA"/>
    <w:rsid w:val="0035439A"/>
    <w:rsid w:val="0036092C"/>
    <w:rsid w:val="00360A85"/>
    <w:rsid w:val="003612BC"/>
    <w:rsid w:val="0036176A"/>
    <w:rsid w:val="00363AF8"/>
    <w:rsid w:val="003645BD"/>
    <w:rsid w:val="00364F24"/>
    <w:rsid w:val="003650AF"/>
    <w:rsid w:val="00365995"/>
    <w:rsid w:val="003668C8"/>
    <w:rsid w:val="00367272"/>
    <w:rsid w:val="0036733B"/>
    <w:rsid w:val="0036771D"/>
    <w:rsid w:val="00371131"/>
    <w:rsid w:val="00371390"/>
    <w:rsid w:val="003715E4"/>
    <w:rsid w:val="003720B1"/>
    <w:rsid w:val="00373659"/>
    <w:rsid w:val="00373A72"/>
    <w:rsid w:val="00373DA1"/>
    <w:rsid w:val="00375D26"/>
    <w:rsid w:val="003765BF"/>
    <w:rsid w:val="003801C5"/>
    <w:rsid w:val="00382A08"/>
    <w:rsid w:val="003856C8"/>
    <w:rsid w:val="00385ABA"/>
    <w:rsid w:val="00386B74"/>
    <w:rsid w:val="00387232"/>
    <w:rsid w:val="00387920"/>
    <w:rsid w:val="0039194F"/>
    <w:rsid w:val="00392205"/>
    <w:rsid w:val="00394570"/>
    <w:rsid w:val="00394C64"/>
    <w:rsid w:val="003951AD"/>
    <w:rsid w:val="00395D24"/>
    <w:rsid w:val="0039616E"/>
    <w:rsid w:val="00396518"/>
    <w:rsid w:val="00397566"/>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5C0"/>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37D0B"/>
    <w:rsid w:val="00444416"/>
    <w:rsid w:val="00445971"/>
    <w:rsid w:val="00453E2A"/>
    <w:rsid w:val="004562EE"/>
    <w:rsid w:val="00456351"/>
    <w:rsid w:val="00456854"/>
    <w:rsid w:val="00456BFD"/>
    <w:rsid w:val="0046206C"/>
    <w:rsid w:val="00462E7F"/>
    <w:rsid w:val="00463DF9"/>
    <w:rsid w:val="00465B0F"/>
    <w:rsid w:val="00467246"/>
    <w:rsid w:val="00471294"/>
    <w:rsid w:val="0047247F"/>
    <w:rsid w:val="00473299"/>
    <w:rsid w:val="0047639C"/>
    <w:rsid w:val="00480BCE"/>
    <w:rsid w:val="004813D2"/>
    <w:rsid w:val="0048245F"/>
    <w:rsid w:val="00482725"/>
    <w:rsid w:val="00482E9C"/>
    <w:rsid w:val="004843DB"/>
    <w:rsid w:val="00490CD9"/>
    <w:rsid w:val="00491926"/>
    <w:rsid w:val="00492C50"/>
    <w:rsid w:val="00495403"/>
    <w:rsid w:val="0049563C"/>
    <w:rsid w:val="00495E66"/>
    <w:rsid w:val="004976BA"/>
    <w:rsid w:val="004A0AF0"/>
    <w:rsid w:val="004A0C72"/>
    <w:rsid w:val="004A275C"/>
    <w:rsid w:val="004A295D"/>
    <w:rsid w:val="004A3AE6"/>
    <w:rsid w:val="004A677A"/>
    <w:rsid w:val="004A74CC"/>
    <w:rsid w:val="004B4676"/>
    <w:rsid w:val="004B5166"/>
    <w:rsid w:val="004B6140"/>
    <w:rsid w:val="004B6D20"/>
    <w:rsid w:val="004B7DB7"/>
    <w:rsid w:val="004C13EB"/>
    <w:rsid w:val="004C36FE"/>
    <w:rsid w:val="004C48CC"/>
    <w:rsid w:val="004C5105"/>
    <w:rsid w:val="004C56D2"/>
    <w:rsid w:val="004C5822"/>
    <w:rsid w:val="004C5BF6"/>
    <w:rsid w:val="004C6F2C"/>
    <w:rsid w:val="004C7D34"/>
    <w:rsid w:val="004D0CA8"/>
    <w:rsid w:val="004D1250"/>
    <w:rsid w:val="004D1778"/>
    <w:rsid w:val="004D46CE"/>
    <w:rsid w:val="004E396A"/>
    <w:rsid w:val="004E435A"/>
    <w:rsid w:val="004E4B2A"/>
    <w:rsid w:val="004E6ECA"/>
    <w:rsid w:val="004E7059"/>
    <w:rsid w:val="004F029D"/>
    <w:rsid w:val="004F0AD1"/>
    <w:rsid w:val="004F10CF"/>
    <w:rsid w:val="004F1813"/>
    <w:rsid w:val="004F32D3"/>
    <w:rsid w:val="004F475C"/>
    <w:rsid w:val="004F5B4E"/>
    <w:rsid w:val="004F6CC0"/>
    <w:rsid w:val="004F7307"/>
    <w:rsid w:val="004F78DE"/>
    <w:rsid w:val="00500621"/>
    <w:rsid w:val="005018D4"/>
    <w:rsid w:val="005025ED"/>
    <w:rsid w:val="00504DD0"/>
    <w:rsid w:val="005064A5"/>
    <w:rsid w:val="0050762D"/>
    <w:rsid w:val="00507C0C"/>
    <w:rsid w:val="00510F9E"/>
    <w:rsid w:val="00511046"/>
    <w:rsid w:val="00511763"/>
    <w:rsid w:val="00511F00"/>
    <w:rsid w:val="00514701"/>
    <w:rsid w:val="00514C01"/>
    <w:rsid w:val="00515070"/>
    <w:rsid w:val="0051569C"/>
    <w:rsid w:val="005157D8"/>
    <w:rsid w:val="00516B12"/>
    <w:rsid w:val="005171E4"/>
    <w:rsid w:val="005222C7"/>
    <w:rsid w:val="005275E1"/>
    <w:rsid w:val="0053190D"/>
    <w:rsid w:val="00531F13"/>
    <w:rsid w:val="0053227B"/>
    <w:rsid w:val="00532670"/>
    <w:rsid w:val="00532693"/>
    <w:rsid w:val="005326A1"/>
    <w:rsid w:val="00535ED0"/>
    <w:rsid w:val="005367FF"/>
    <w:rsid w:val="00536843"/>
    <w:rsid w:val="0053743C"/>
    <w:rsid w:val="00540AC8"/>
    <w:rsid w:val="00542A34"/>
    <w:rsid w:val="00542E3A"/>
    <w:rsid w:val="00544F59"/>
    <w:rsid w:val="005461F2"/>
    <w:rsid w:val="005471CB"/>
    <w:rsid w:val="005504EE"/>
    <w:rsid w:val="00551454"/>
    <w:rsid w:val="00551484"/>
    <w:rsid w:val="00552FAD"/>
    <w:rsid w:val="00553031"/>
    <w:rsid w:val="00554457"/>
    <w:rsid w:val="00554F85"/>
    <w:rsid w:val="0055522B"/>
    <w:rsid w:val="00556181"/>
    <w:rsid w:val="005571E9"/>
    <w:rsid w:val="005605F7"/>
    <w:rsid w:val="00560805"/>
    <w:rsid w:val="00560FF2"/>
    <w:rsid w:val="00562235"/>
    <w:rsid w:val="00563189"/>
    <w:rsid w:val="0056402E"/>
    <w:rsid w:val="00564538"/>
    <w:rsid w:val="00565685"/>
    <w:rsid w:val="005672E3"/>
    <w:rsid w:val="00567B37"/>
    <w:rsid w:val="00571971"/>
    <w:rsid w:val="005720F6"/>
    <w:rsid w:val="00573349"/>
    <w:rsid w:val="00576D55"/>
    <w:rsid w:val="00580A13"/>
    <w:rsid w:val="00580ADC"/>
    <w:rsid w:val="00580B70"/>
    <w:rsid w:val="005810DF"/>
    <w:rsid w:val="00582213"/>
    <w:rsid w:val="00582BD2"/>
    <w:rsid w:val="0058393A"/>
    <w:rsid w:val="005840A7"/>
    <w:rsid w:val="0058488D"/>
    <w:rsid w:val="005856F7"/>
    <w:rsid w:val="00585EAA"/>
    <w:rsid w:val="00593649"/>
    <w:rsid w:val="00593B4F"/>
    <w:rsid w:val="0059476C"/>
    <w:rsid w:val="005962AD"/>
    <w:rsid w:val="00596C90"/>
    <w:rsid w:val="005A0CCB"/>
    <w:rsid w:val="005A1F96"/>
    <w:rsid w:val="005A4ED4"/>
    <w:rsid w:val="005A6E73"/>
    <w:rsid w:val="005A71B1"/>
    <w:rsid w:val="005A7FBD"/>
    <w:rsid w:val="005B2C4E"/>
    <w:rsid w:val="005B36B8"/>
    <w:rsid w:val="005B5302"/>
    <w:rsid w:val="005B67C0"/>
    <w:rsid w:val="005C23C4"/>
    <w:rsid w:val="005C33AA"/>
    <w:rsid w:val="005C33D3"/>
    <w:rsid w:val="005C64A4"/>
    <w:rsid w:val="005D0CF3"/>
    <w:rsid w:val="005D1882"/>
    <w:rsid w:val="005D1C50"/>
    <w:rsid w:val="005D1DE2"/>
    <w:rsid w:val="005D5659"/>
    <w:rsid w:val="005D7D47"/>
    <w:rsid w:val="005E09FF"/>
    <w:rsid w:val="005E0F7E"/>
    <w:rsid w:val="005E11D5"/>
    <w:rsid w:val="005E2116"/>
    <w:rsid w:val="005E344F"/>
    <w:rsid w:val="005E5C7E"/>
    <w:rsid w:val="005E670C"/>
    <w:rsid w:val="005F05C2"/>
    <w:rsid w:val="005F1C21"/>
    <w:rsid w:val="005F3BFA"/>
    <w:rsid w:val="005F5870"/>
    <w:rsid w:val="0060118D"/>
    <w:rsid w:val="00603182"/>
    <w:rsid w:val="00603F47"/>
    <w:rsid w:val="006056E2"/>
    <w:rsid w:val="0060746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2BB8"/>
    <w:rsid w:val="00663EAB"/>
    <w:rsid w:val="006646E1"/>
    <w:rsid w:val="00670F2B"/>
    <w:rsid w:val="0067409C"/>
    <w:rsid w:val="006743B4"/>
    <w:rsid w:val="00674509"/>
    <w:rsid w:val="00676C0B"/>
    <w:rsid w:val="0067760A"/>
    <w:rsid w:val="0067778F"/>
    <w:rsid w:val="00680703"/>
    <w:rsid w:val="00681F46"/>
    <w:rsid w:val="00684B42"/>
    <w:rsid w:val="00685685"/>
    <w:rsid w:val="00686B6D"/>
    <w:rsid w:val="00686E01"/>
    <w:rsid w:val="006877B6"/>
    <w:rsid w:val="00687CF4"/>
    <w:rsid w:val="00696611"/>
    <w:rsid w:val="006A049C"/>
    <w:rsid w:val="006A623F"/>
    <w:rsid w:val="006A7388"/>
    <w:rsid w:val="006A73F1"/>
    <w:rsid w:val="006A75C7"/>
    <w:rsid w:val="006B1718"/>
    <w:rsid w:val="006B6654"/>
    <w:rsid w:val="006B79E9"/>
    <w:rsid w:val="006C05CA"/>
    <w:rsid w:val="006C199D"/>
    <w:rsid w:val="006C28FA"/>
    <w:rsid w:val="006C2E29"/>
    <w:rsid w:val="006C50F7"/>
    <w:rsid w:val="006D0142"/>
    <w:rsid w:val="006D0D26"/>
    <w:rsid w:val="006D3BED"/>
    <w:rsid w:val="006D4762"/>
    <w:rsid w:val="006D62A2"/>
    <w:rsid w:val="006D65D3"/>
    <w:rsid w:val="006D71B9"/>
    <w:rsid w:val="006E0608"/>
    <w:rsid w:val="006E1334"/>
    <w:rsid w:val="006E1C8A"/>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76"/>
    <w:rsid w:val="00740D80"/>
    <w:rsid w:val="007416A4"/>
    <w:rsid w:val="007434A8"/>
    <w:rsid w:val="007441FF"/>
    <w:rsid w:val="00744DD7"/>
    <w:rsid w:val="0074544F"/>
    <w:rsid w:val="00746828"/>
    <w:rsid w:val="007507E6"/>
    <w:rsid w:val="00751DD0"/>
    <w:rsid w:val="00753AE4"/>
    <w:rsid w:val="00754237"/>
    <w:rsid w:val="00754A40"/>
    <w:rsid w:val="007554A5"/>
    <w:rsid w:val="007556DE"/>
    <w:rsid w:val="00755AF2"/>
    <w:rsid w:val="00756D9F"/>
    <w:rsid w:val="00760558"/>
    <w:rsid w:val="00760981"/>
    <w:rsid w:val="00761074"/>
    <w:rsid w:val="007618D8"/>
    <w:rsid w:val="0076287C"/>
    <w:rsid w:val="00762A65"/>
    <w:rsid w:val="007639C4"/>
    <w:rsid w:val="0076511C"/>
    <w:rsid w:val="00771B00"/>
    <w:rsid w:val="007724A1"/>
    <w:rsid w:val="007733A3"/>
    <w:rsid w:val="00775D5D"/>
    <w:rsid w:val="00780D26"/>
    <w:rsid w:val="00781E95"/>
    <w:rsid w:val="00782302"/>
    <w:rsid w:val="00786313"/>
    <w:rsid w:val="00786BAB"/>
    <w:rsid w:val="00787C13"/>
    <w:rsid w:val="00790973"/>
    <w:rsid w:val="00790BA2"/>
    <w:rsid w:val="00790ECD"/>
    <w:rsid w:val="00792210"/>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14EC"/>
    <w:rsid w:val="007C27A7"/>
    <w:rsid w:val="007C2DB1"/>
    <w:rsid w:val="007C3DB2"/>
    <w:rsid w:val="007C4109"/>
    <w:rsid w:val="007C5EE7"/>
    <w:rsid w:val="007C60ED"/>
    <w:rsid w:val="007C637F"/>
    <w:rsid w:val="007C77F4"/>
    <w:rsid w:val="007D0CB0"/>
    <w:rsid w:val="007D1C9B"/>
    <w:rsid w:val="007D415A"/>
    <w:rsid w:val="007D71C0"/>
    <w:rsid w:val="007D71C7"/>
    <w:rsid w:val="007E0F0A"/>
    <w:rsid w:val="007E1EB5"/>
    <w:rsid w:val="007E394E"/>
    <w:rsid w:val="007E63B9"/>
    <w:rsid w:val="007F2E40"/>
    <w:rsid w:val="007F4DE7"/>
    <w:rsid w:val="007F74D2"/>
    <w:rsid w:val="00800596"/>
    <w:rsid w:val="00801151"/>
    <w:rsid w:val="008052FC"/>
    <w:rsid w:val="00806F1F"/>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3575"/>
    <w:rsid w:val="008344BA"/>
    <w:rsid w:val="0085168B"/>
    <w:rsid w:val="008517BF"/>
    <w:rsid w:val="00851C86"/>
    <w:rsid w:val="008570B5"/>
    <w:rsid w:val="00862973"/>
    <w:rsid w:val="00863361"/>
    <w:rsid w:val="00863D78"/>
    <w:rsid w:val="00863E02"/>
    <w:rsid w:val="00865724"/>
    <w:rsid w:val="00865808"/>
    <w:rsid w:val="008665FD"/>
    <w:rsid w:val="00866A19"/>
    <w:rsid w:val="008707FD"/>
    <w:rsid w:val="008714BE"/>
    <w:rsid w:val="00871636"/>
    <w:rsid w:val="00872960"/>
    <w:rsid w:val="00874FB2"/>
    <w:rsid w:val="008755E3"/>
    <w:rsid w:val="008758DB"/>
    <w:rsid w:val="00876019"/>
    <w:rsid w:val="00876F94"/>
    <w:rsid w:val="00877746"/>
    <w:rsid w:val="00877B56"/>
    <w:rsid w:val="00880B6A"/>
    <w:rsid w:val="00881214"/>
    <w:rsid w:val="00881A07"/>
    <w:rsid w:val="00881A46"/>
    <w:rsid w:val="008823A6"/>
    <w:rsid w:val="008823EA"/>
    <w:rsid w:val="00884F41"/>
    <w:rsid w:val="00885719"/>
    <w:rsid w:val="0088575F"/>
    <w:rsid w:val="008879EB"/>
    <w:rsid w:val="00887FF9"/>
    <w:rsid w:val="0089191C"/>
    <w:rsid w:val="00891A31"/>
    <w:rsid w:val="00892A4E"/>
    <w:rsid w:val="00892F21"/>
    <w:rsid w:val="00896324"/>
    <w:rsid w:val="00897894"/>
    <w:rsid w:val="008A2753"/>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7C6"/>
    <w:rsid w:val="00900D44"/>
    <w:rsid w:val="009025CD"/>
    <w:rsid w:val="009027A2"/>
    <w:rsid w:val="00903147"/>
    <w:rsid w:val="00906A25"/>
    <w:rsid w:val="00907809"/>
    <w:rsid w:val="00911ACC"/>
    <w:rsid w:val="00912108"/>
    <w:rsid w:val="009145B6"/>
    <w:rsid w:val="00920DF1"/>
    <w:rsid w:val="00921D47"/>
    <w:rsid w:val="00921E0B"/>
    <w:rsid w:val="00923867"/>
    <w:rsid w:val="009244D5"/>
    <w:rsid w:val="00926836"/>
    <w:rsid w:val="009272F9"/>
    <w:rsid w:val="00927565"/>
    <w:rsid w:val="009301A3"/>
    <w:rsid w:val="0093069C"/>
    <w:rsid w:val="00933147"/>
    <w:rsid w:val="009332A4"/>
    <w:rsid w:val="009333FE"/>
    <w:rsid w:val="009419C3"/>
    <w:rsid w:val="009432BB"/>
    <w:rsid w:val="009458A7"/>
    <w:rsid w:val="009458CE"/>
    <w:rsid w:val="00946056"/>
    <w:rsid w:val="0094618E"/>
    <w:rsid w:val="009471DD"/>
    <w:rsid w:val="00947BF5"/>
    <w:rsid w:val="0095051F"/>
    <w:rsid w:val="009506A8"/>
    <w:rsid w:val="00960D64"/>
    <w:rsid w:val="00961DAF"/>
    <w:rsid w:val="00961F2D"/>
    <w:rsid w:val="00963B4C"/>
    <w:rsid w:val="0096452E"/>
    <w:rsid w:val="00964777"/>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9642B"/>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4305"/>
    <w:rsid w:val="009D5459"/>
    <w:rsid w:val="009D68BA"/>
    <w:rsid w:val="009D6A33"/>
    <w:rsid w:val="009D6C9A"/>
    <w:rsid w:val="009D78DB"/>
    <w:rsid w:val="009E27FB"/>
    <w:rsid w:val="009E3490"/>
    <w:rsid w:val="009E5A18"/>
    <w:rsid w:val="009F0EDD"/>
    <w:rsid w:val="009F119F"/>
    <w:rsid w:val="009F1390"/>
    <w:rsid w:val="009F3067"/>
    <w:rsid w:val="009F4EAA"/>
    <w:rsid w:val="009F748A"/>
    <w:rsid w:val="009F78A1"/>
    <w:rsid w:val="009F7FD5"/>
    <w:rsid w:val="00A01454"/>
    <w:rsid w:val="00A029B5"/>
    <w:rsid w:val="00A05F0C"/>
    <w:rsid w:val="00A06013"/>
    <w:rsid w:val="00A115CD"/>
    <w:rsid w:val="00A116A2"/>
    <w:rsid w:val="00A11890"/>
    <w:rsid w:val="00A11E73"/>
    <w:rsid w:val="00A1456A"/>
    <w:rsid w:val="00A14C14"/>
    <w:rsid w:val="00A1569A"/>
    <w:rsid w:val="00A16568"/>
    <w:rsid w:val="00A168EC"/>
    <w:rsid w:val="00A209EA"/>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6F05"/>
    <w:rsid w:val="00A87F5C"/>
    <w:rsid w:val="00A91116"/>
    <w:rsid w:val="00A91CD3"/>
    <w:rsid w:val="00AA0C01"/>
    <w:rsid w:val="00AA198F"/>
    <w:rsid w:val="00AA2932"/>
    <w:rsid w:val="00AA3291"/>
    <w:rsid w:val="00AA5F95"/>
    <w:rsid w:val="00AA6341"/>
    <w:rsid w:val="00AA6D6C"/>
    <w:rsid w:val="00AA7586"/>
    <w:rsid w:val="00AB02D6"/>
    <w:rsid w:val="00AB15F9"/>
    <w:rsid w:val="00AB25BA"/>
    <w:rsid w:val="00AB2600"/>
    <w:rsid w:val="00AB3186"/>
    <w:rsid w:val="00AB44D2"/>
    <w:rsid w:val="00AC0EF9"/>
    <w:rsid w:val="00AC1701"/>
    <w:rsid w:val="00AC27CE"/>
    <w:rsid w:val="00AC2A3B"/>
    <w:rsid w:val="00AC2E86"/>
    <w:rsid w:val="00AC4478"/>
    <w:rsid w:val="00AC5D5B"/>
    <w:rsid w:val="00AC67E2"/>
    <w:rsid w:val="00AD0495"/>
    <w:rsid w:val="00AD0E57"/>
    <w:rsid w:val="00AD1A7E"/>
    <w:rsid w:val="00AD2644"/>
    <w:rsid w:val="00AD2F7B"/>
    <w:rsid w:val="00AD32DC"/>
    <w:rsid w:val="00AD3849"/>
    <w:rsid w:val="00AD4F64"/>
    <w:rsid w:val="00AD63E9"/>
    <w:rsid w:val="00AD6A29"/>
    <w:rsid w:val="00AE0A30"/>
    <w:rsid w:val="00AE1123"/>
    <w:rsid w:val="00AE1AC4"/>
    <w:rsid w:val="00AE284F"/>
    <w:rsid w:val="00AE48A8"/>
    <w:rsid w:val="00AE5576"/>
    <w:rsid w:val="00AF3967"/>
    <w:rsid w:val="00AF408C"/>
    <w:rsid w:val="00AF4878"/>
    <w:rsid w:val="00AF4C8D"/>
    <w:rsid w:val="00AF6A5B"/>
    <w:rsid w:val="00AF7FBC"/>
    <w:rsid w:val="00B00ACB"/>
    <w:rsid w:val="00B01532"/>
    <w:rsid w:val="00B016CD"/>
    <w:rsid w:val="00B0372F"/>
    <w:rsid w:val="00B03D80"/>
    <w:rsid w:val="00B115E9"/>
    <w:rsid w:val="00B11989"/>
    <w:rsid w:val="00B11A45"/>
    <w:rsid w:val="00B11ED2"/>
    <w:rsid w:val="00B12C1C"/>
    <w:rsid w:val="00B130F0"/>
    <w:rsid w:val="00B14537"/>
    <w:rsid w:val="00B16619"/>
    <w:rsid w:val="00B1750F"/>
    <w:rsid w:val="00B177CB"/>
    <w:rsid w:val="00B21F54"/>
    <w:rsid w:val="00B22405"/>
    <w:rsid w:val="00B224BE"/>
    <w:rsid w:val="00B23CD3"/>
    <w:rsid w:val="00B253E5"/>
    <w:rsid w:val="00B257B4"/>
    <w:rsid w:val="00B26D7B"/>
    <w:rsid w:val="00B27E75"/>
    <w:rsid w:val="00B307B4"/>
    <w:rsid w:val="00B33147"/>
    <w:rsid w:val="00B339AC"/>
    <w:rsid w:val="00B33AC5"/>
    <w:rsid w:val="00B3531C"/>
    <w:rsid w:val="00B35358"/>
    <w:rsid w:val="00B35B0F"/>
    <w:rsid w:val="00B363A5"/>
    <w:rsid w:val="00B37BF3"/>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0CB0"/>
    <w:rsid w:val="00BD17B8"/>
    <w:rsid w:val="00BD2326"/>
    <w:rsid w:val="00BD5370"/>
    <w:rsid w:val="00BE2693"/>
    <w:rsid w:val="00BE2AFA"/>
    <w:rsid w:val="00BE2DA2"/>
    <w:rsid w:val="00BE3238"/>
    <w:rsid w:val="00BF31DB"/>
    <w:rsid w:val="00BF4421"/>
    <w:rsid w:val="00BF4445"/>
    <w:rsid w:val="00BF445F"/>
    <w:rsid w:val="00BF4FDD"/>
    <w:rsid w:val="00BF559D"/>
    <w:rsid w:val="00BF5950"/>
    <w:rsid w:val="00BF788D"/>
    <w:rsid w:val="00C0011C"/>
    <w:rsid w:val="00C00E59"/>
    <w:rsid w:val="00C01EF3"/>
    <w:rsid w:val="00C01FE2"/>
    <w:rsid w:val="00C0407C"/>
    <w:rsid w:val="00C04847"/>
    <w:rsid w:val="00C063FE"/>
    <w:rsid w:val="00C06655"/>
    <w:rsid w:val="00C079F5"/>
    <w:rsid w:val="00C114BD"/>
    <w:rsid w:val="00C11BA9"/>
    <w:rsid w:val="00C14D64"/>
    <w:rsid w:val="00C17875"/>
    <w:rsid w:val="00C23B08"/>
    <w:rsid w:val="00C24F82"/>
    <w:rsid w:val="00C27735"/>
    <w:rsid w:val="00C27AEB"/>
    <w:rsid w:val="00C27C15"/>
    <w:rsid w:val="00C3149B"/>
    <w:rsid w:val="00C31DD9"/>
    <w:rsid w:val="00C32F28"/>
    <w:rsid w:val="00C33131"/>
    <w:rsid w:val="00C336CD"/>
    <w:rsid w:val="00C3412F"/>
    <w:rsid w:val="00C34700"/>
    <w:rsid w:val="00C351E3"/>
    <w:rsid w:val="00C40482"/>
    <w:rsid w:val="00C420F0"/>
    <w:rsid w:val="00C46301"/>
    <w:rsid w:val="00C46486"/>
    <w:rsid w:val="00C50A9E"/>
    <w:rsid w:val="00C50E25"/>
    <w:rsid w:val="00C52F23"/>
    <w:rsid w:val="00C5324A"/>
    <w:rsid w:val="00C53812"/>
    <w:rsid w:val="00C56980"/>
    <w:rsid w:val="00C60FD4"/>
    <w:rsid w:val="00C63603"/>
    <w:rsid w:val="00C702B3"/>
    <w:rsid w:val="00C70895"/>
    <w:rsid w:val="00C70A7F"/>
    <w:rsid w:val="00C70E30"/>
    <w:rsid w:val="00C720B7"/>
    <w:rsid w:val="00C72A60"/>
    <w:rsid w:val="00C730D0"/>
    <w:rsid w:val="00C7312D"/>
    <w:rsid w:val="00C734D5"/>
    <w:rsid w:val="00C766F3"/>
    <w:rsid w:val="00C80D42"/>
    <w:rsid w:val="00C8207A"/>
    <w:rsid w:val="00C8395A"/>
    <w:rsid w:val="00C842A9"/>
    <w:rsid w:val="00C8724D"/>
    <w:rsid w:val="00C9120D"/>
    <w:rsid w:val="00C912F9"/>
    <w:rsid w:val="00C9255C"/>
    <w:rsid w:val="00C93D23"/>
    <w:rsid w:val="00C94167"/>
    <w:rsid w:val="00C95FE4"/>
    <w:rsid w:val="00C97459"/>
    <w:rsid w:val="00C979EA"/>
    <w:rsid w:val="00C979FE"/>
    <w:rsid w:val="00CA1401"/>
    <w:rsid w:val="00CA1D8B"/>
    <w:rsid w:val="00CA3DF5"/>
    <w:rsid w:val="00CA3EC8"/>
    <w:rsid w:val="00CA4983"/>
    <w:rsid w:val="00CA5F10"/>
    <w:rsid w:val="00CA7AF2"/>
    <w:rsid w:val="00CB1495"/>
    <w:rsid w:val="00CB1ECB"/>
    <w:rsid w:val="00CB479F"/>
    <w:rsid w:val="00CB5618"/>
    <w:rsid w:val="00CB5C75"/>
    <w:rsid w:val="00CB65B6"/>
    <w:rsid w:val="00CB6D81"/>
    <w:rsid w:val="00CB7BBB"/>
    <w:rsid w:val="00CB7EE6"/>
    <w:rsid w:val="00CC18ED"/>
    <w:rsid w:val="00CC32B5"/>
    <w:rsid w:val="00CC4043"/>
    <w:rsid w:val="00CC51A2"/>
    <w:rsid w:val="00CC6E3B"/>
    <w:rsid w:val="00CC78A4"/>
    <w:rsid w:val="00CC7989"/>
    <w:rsid w:val="00CD14AB"/>
    <w:rsid w:val="00CD1822"/>
    <w:rsid w:val="00CD1DFB"/>
    <w:rsid w:val="00CD2312"/>
    <w:rsid w:val="00CD3AFE"/>
    <w:rsid w:val="00CD4B9F"/>
    <w:rsid w:val="00CD4BE4"/>
    <w:rsid w:val="00CD5226"/>
    <w:rsid w:val="00CD5B2C"/>
    <w:rsid w:val="00CD5D4F"/>
    <w:rsid w:val="00CD6374"/>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612C"/>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948"/>
    <w:rsid w:val="00D51D14"/>
    <w:rsid w:val="00D532AC"/>
    <w:rsid w:val="00D54289"/>
    <w:rsid w:val="00D57E17"/>
    <w:rsid w:val="00D615FC"/>
    <w:rsid w:val="00D63C48"/>
    <w:rsid w:val="00D63FE1"/>
    <w:rsid w:val="00D64CFC"/>
    <w:rsid w:val="00D66255"/>
    <w:rsid w:val="00D6789F"/>
    <w:rsid w:val="00D71448"/>
    <w:rsid w:val="00D71CED"/>
    <w:rsid w:val="00D7267D"/>
    <w:rsid w:val="00D736AB"/>
    <w:rsid w:val="00D740A3"/>
    <w:rsid w:val="00D747AB"/>
    <w:rsid w:val="00D76C2C"/>
    <w:rsid w:val="00D7789E"/>
    <w:rsid w:val="00D77F85"/>
    <w:rsid w:val="00D77FD5"/>
    <w:rsid w:val="00D8003B"/>
    <w:rsid w:val="00D80179"/>
    <w:rsid w:val="00D82C11"/>
    <w:rsid w:val="00D83BF3"/>
    <w:rsid w:val="00D83F19"/>
    <w:rsid w:val="00D87563"/>
    <w:rsid w:val="00D879D0"/>
    <w:rsid w:val="00D90163"/>
    <w:rsid w:val="00D92AB6"/>
    <w:rsid w:val="00D96BE6"/>
    <w:rsid w:val="00D96F2F"/>
    <w:rsid w:val="00D97E8D"/>
    <w:rsid w:val="00D97F2A"/>
    <w:rsid w:val="00DA0398"/>
    <w:rsid w:val="00DA0961"/>
    <w:rsid w:val="00DA1198"/>
    <w:rsid w:val="00DA2078"/>
    <w:rsid w:val="00DA4804"/>
    <w:rsid w:val="00DA540C"/>
    <w:rsid w:val="00DA5C6D"/>
    <w:rsid w:val="00DB0EE4"/>
    <w:rsid w:val="00DB1AEE"/>
    <w:rsid w:val="00DB2121"/>
    <w:rsid w:val="00DB3F4C"/>
    <w:rsid w:val="00DB4E4A"/>
    <w:rsid w:val="00DB6653"/>
    <w:rsid w:val="00DC138D"/>
    <w:rsid w:val="00DC16A7"/>
    <w:rsid w:val="00DC464E"/>
    <w:rsid w:val="00DC53A4"/>
    <w:rsid w:val="00DC6480"/>
    <w:rsid w:val="00DC6DE0"/>
    <w:rsid w:val="00DC6F14"/>
    <w:rsid w:val="00DC7523"/>
    <w:rsid w:val="00DD4D13"/>
    <w:rsid w:val="00DD5028"/>
    <w:rsid w:val="00DD5138"/>
    <w:rsid w:val="00DD52CD"/>
    <w:rsid w:val="00DD59E1"/>
    <w:rsid w:val="00DE08B9"/>
    <w:rsid w:val="00DE0EE6"/>
    <w:rsid w:val="00DE1F1D"/>
    <w:rsid w:val="00DE2A3D"/>
    <w:rsid w:val="00DE4873"/>
    <w:rsid w:val="00DE6A90"/>
    <w:rsid w:val="00DE7759"/>
    <w:rsid w:val="00DF0111"/>
    <w:rsid w:val="00DF23B3"/>
    <w:rsid w:val="00DF2DA8"/>
    <w:rsid w:val="00DF39AB"/>
    <w:rsid w:val="00DF4B50"/>
    <w:rsid w:val="00DF4D70"/>
    <w:rsid w:val="00DF6D21"/>
    <w:rsid w:val="00E037A1"/>
    <w:rsid w:val="00E03A45"/>
    <w:rsid w:val="00E05669"/>
    <w:rsid w:val="00E056DC"/>
    <w:rsid w:val="00E07313"/>
    <w:rsid w:val="00E101CB"/>
    <w:rsid w:val="00E10677"/>
    <w:rsid w:val="00E11A48"/>
    <w:rsid w:val="00E124CD"/>
    <w:rsid w:val="00E126CA"/>
    <w:rsid w:val="00E13C40"/>
    <w:rsid w:val="00E15039"/>
    <w:rsid w:val="00E15989"/>
    <w:rsid w:val="00E15FB6"/>
    <w:rsid w:val="00E17F21"/>
    <w:rsid w:val="00E2102D"/>
    <w:rsid w:val="00E21733"/>
    <w:rsid w:val="00E21B62"/>
    <w:rsid w:val="00E21BBA"/>
    <w:rsid w:val="00E2634A"/>
    <w:rsid w:val="00E314DC"/>
    <w:rsid w:val="00E326F3"/>
    <w:rsid w:val="00E32CFE"/>
    <w:rsid w:val="00E339A0"/>
    <w:rsid w:val="00E33A1C"/>
    <w:rsid w:val="00E36A35"/>
    <w:rsid w:val="00E40627"/>
    <w:rsid w:val="00E41ED2"/>
    <w:rsid w:val="00E43949"/>
    <w:rsid w:val="00E445B8"/>
    <w:rsid w:val="00E46000"/>
    <w:rsid w:val="00E503B5"/>
    <w:rsid w:val="00E50C78"/>
    <w:rsid w:val="00E51353"/>
    <w:rsid w:val="00E532C1"/>
    <w:rsid w:val="00E54BA9"/>
    <w:rsid w:val="00E55381"/>
    <w:rsid w:val="00E56595"/>
    <w:rsid w:val="00E56AB0"/>
    <w:rsid w:val="00E610B7"/>
    <w:rsid w:val="00E62BDB"/>
    <w:rsid w:val="00E63B99"/>
    <w:rsid w:val="00E6524A"/>
    <w:rsid w:val="00E665D8"/>
    <w:rsid w:val="00E66B9A"/>
    <w:rsid w:val="00E66BA3"/>
    <w:rsid w:val="00E6783B"/>
    <w:rsid w:val="00E721F4"/>
    <w:rsid w:val="00E74FE9"/>
    <w:rsid w:val="00E75A41"/>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2D8A"/>
    <w:rsid w:val="00EB346F"/>
    <w:rsid w:val="00EB3AA0"/>
    <w:rsid w:val="00EB41A5"/>
    <w:rsid w:val="00EB43F7"/>
    <w:rsid w:val="00EB7F0D"/>
    <w:rsid w:val="00EC0A7C"/>
    <w:rsid w:val="00EC2054"/>
    <w:rsid w:val="00EC561F"/>
    <w:rsid w:val="00EC57DC"/>
    <w:rsid w:val="00EC628A"/>
    <w:rsid w:val="00ED01C3"/>
    <w:rsid w:val="00ED210D"/>
    <w:rsid w:val="00ED3320"/>
    <w:rsid w:val="00ED3873"/>
    <w:rsid w:val="00ED72B4"/>
    <w:rsid w:val="00EE117B"/>
    <w:rsid w:val="00EE28BA"/>
    <w:rsid w:val="00EE34E1"/>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2741"/>
    <w:rsid w:val="00F133A3"/>
    <w:rsid w:val="00F14194"/>
    <w:rsid w:val="00F1475C"/>
    <w:rsid w:val="00F14F50"/>
    <w:rsid w:val="00F23422"/>
    <w:rsid w:val="00F24A43"/>
    <w:rsid w:val="00F25432"/>
    <w:rsid w:val="00F25A6E"/>
    <w:rsid w:val="00F25BB5"/>
    <w:rsid w:val="00F27BB0"/>
    <w:rsid w:val="00F30AD4"/>
    <w:rsid w:val="00F3141F"/>
    <w:rsid w:val="00F3173C"/>
    <w:rsid w:val="00F344C7"/>
    <w:rsid w:val="00F36D02"/>
    <w:rsid w:val="00F40C89"/>
    <w:rsid w:val="00F420EA"/>
    <w:rsid w:val="00F42389"/>
    <w:rsid w:val="00F42979"/>
    <w:rsid w:val="00F432C0"/>
    <w:rsid w:val="00F43D62"/>
    <w:rsid w:val="00F457DD"/>
    <w:rsid w:val="00F47FC9"/>
    <w:rsid w:val="00F50EA4"/>
    <w:rsid w:val="00F5129A"/>
    <w:rsid w:val="00F52404"/>
    <w:rsid w:val="00F5356A"/>
    <w:rsid w:val="00F5450F"/>
    <w:rsid w:val="00F567BF"/>
    <w:rsid w:val="00F61D79"/>
    <w:rsid w:val="00F63BEE"/>
    <w:rsid w:val="00F67341"/>
    <w:rsid w:val="00F676C8"/>
    <w:rsid w:val="00F702BF"/>
    <w:rsid w:val="00F70615"/>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97F2C"/>
    <w:rsid w:val="00FA429E"/>
    <w:rsid w:val="00FB748C"/>
    <w:rsid w:val="00FB7545"/>
    <w:rsid w:val="00FC1FBB"/>
    <w:rsid w:val="00FC2E50"/>
    <w:rsid w:val="00FC2F10"/>
    <w:rsid w:val="00FC75C5"/>
    <w:rsid w:val="00FC7FEF"/>
    <w:rsid w:val="00FD1E91"/>
    <w:rsid w:val="00FD2074"/>
    <w:rsid w:val="00FD2D3E"/>
    <w:rsid w:val="00FD52AB"/>
    <w:rsid w:val="00FD5926"/>
    <w:rsid w:val="00FD6A78"/>
    <w:rsid w:val="00FE1C1F"/>
    <w:rsid w:val="00FE24E8"/>
    <w:rsid w:val="00FE28D3"/>
    <w:rsid w:val="00FE32B4"/>
    <w:rsid w:val="00FE331E"/>
    <w:rsid w:val="00FE5330"/>
    <w:rsid w:val="00FE6161"/>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6B75"/>
  <w15:docId w15:val="{19C872C2-2E35-4AC3-9706-6179890B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05F7"/>
    <w:pPr>
      <w:bidi/>
    </w:pPr>
    <w:rPr>
      <w:rFonts w:ascii="Calibri" w:hAnsi="Calibri" w:cs="Calibri"/>
    </w:rPr>
  </w:style>
  <w:style w:type="paragraph" w:styleId="1">
    <w:name w:val="heading 1"/>
    <w:basedOn w:val="a0"/>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680703"/>
    <w:pPr>
      <w:spacing w:after="0" w:line="240" w:lineRule="auto"/>
    </w:pPr>
    <w:rPr>
      <w:rFonts w:ascii="Tahoma" w:hAnsi="Tahoma" w:cs="Tahoma"/>
      <w:sz w:val="16"/>
      <w:szCs w:val="16"/>
    </w:rPr>
  </w:style>
  <w:style w:type="character" w:customStyle="1" w:styleId="a5">
    <w:name w:val="טקסט בלונים תו"/>
    <w:basedOn w:val="a1"/>
    <w:link w:val="a4"/>
    <w:uiPriority w:val="99"/>
    <w:semiHidden/>
    <w:rsid w:val="00680703"/>
    <w:rPr>
      <w:rFonts w:ascii="Tahoma" w:hAnsi="Tahoma" w:cs="Tahoma"/>
      <w:sz w:val="16"/>
      <w:szCs w:val="16"/>
    </w:rPr>
  </w:style>
  <w:style w:type="paragraph" w:styleId="a6">
    <w:name w:val="List Paragraph"/>
    <w:basedOn w:val="a0"/>
    <w:link w:val="a7"/>
    <w:uiPriority w:val="34"/>
    <w:qFormat/>
    <w:rsid w:val="00167449"/>
    <w:pPr>
      <w:ind w:left="720"/>
      <w:contextualSpacing/>
    </w:pPr>
  </w:style>
  <w:style w:type="character" w:styleId="a8">
    <w:name w:val="annotation reference"/>
    <w:basedOn w:val="a1"/>
    <w:unhideWhenUsed/>
    <w:rsid w:val="00EB43F7"/>
    <w:rPr>
      <w:sz w:val="16"/>
      <w:szCs w:val="16"/>
    </w:rPr>
  </w:style>
  <w:style w:type="paragraph" w:styleId="a9">
    <w:name w:val="annotation text"/>
    <w:basedOn w:val="a0"/>
    <w:link w:val="aa"/>
    <w:unhideWhenUsed/>
    <w:rsid w:val="00EB43F7"/>
    <w:pPr>
      <w:spacing w:line="240" w:lineRule="auto"/>
    </w:pPr>
    <w:rPr>
      <w:sz w:val="20"/>
      <w:szCs w:val="20"/>
    </w:rPr>
  </w:style>
  <w:style w:type="character" w:customStyle="1" w:styleId="aa">
    <w:name w:val="טקסט הערה תו"/>
    <w:basedOn w:val="a1"/>
    <w:link w:val="a9"/>
    <w:rsid w:val="00EB43F7"/>
    <w:rPr>
      <w:sz w:val="20"/>
      <w:szCs w:val="20"/>
    </w:rPr>
  </w:style>
  <w:style w:type="paragraph" w:styleId="ab">
    <w:name w:val="annotation subject"/>
    <w:basedOn w:val="a9"/>
    <w:next w:val="a9"/>
    <w:link w:val="ac"/>
    <w:uiPriority w:val="99"/>
    <w:semiHidden/>
    <w:unhideWhenUsed/>
    <w:rsid w:val="00EB43F7"/>
    <w:rPr>
      <w:b/>
      <w:bCs/>
    </w:rPr>
  </w:style>
  <w:style w:type="character" w:customStyle="1" w:styleId="ac">
    <w:name w:val="נושא הערה תו"/>
    <w:basedOn w:val="aa"/>
    <w:link w:val="ab"/>
    <w:uiPriority w:val="99"/>
    <w:semiHidden/>
    <w:rsid w:val="00EB43F7"/>
    <w:rPr>
      <w:b/>
      <w:bCs/>
      <w:sz w:val="20"/>
      <w:szCs w:val="20"/>
    </w:rPr>
  </w:style>
  <w:style w:type="character" w:styleId="Hyperlink">
    <w:name w:val="Hyperlink"/>
    <w:basedOn w:val="a1"/>
    <w:uiPriority w:val="99"/>
    <w:unhideWhenUsed/>
    <w:rsid w:val="00242CED"/>
    <w:rPr>
      <w:color w:val="0000FF" w:themeColor="hyperlink"/>
      <w:u w:val="single"/>
    </w:rPr>
  </w:style>
  <w:style w:type="paragraph" w:styleId="ad">
    <w:name w:val="header"/>
    <w:basedOn w:val="a0"/>
    <w:link w:val="ae"/>
    <w:uiPriority w:val="99"/>
    <w:unhideWhenUsed/>
    <w:rsid w:val="008755E3"/>
    <w:pPr>
      <w:tabs>
        <w:tab w:val="center" w:pos="4153"/>
        <w:tab w:val="right" w:pos="8306"/>
      </w:tabs>
      <w:spacing w:after="0" w:line="240" w:lineRule="auto"/>
    </w:pPr>
  </w:style>
  <w:style w:type="character" w:customStyle="1" w:styleId="ae">
    <w:name w:val="כותרת עליונה תו"/>
    <w:basedOn w:val="a1"/>
    <w:link w:val="ad"/>
    <w:uiPriority w:val="99"/>
    <w:rsid w:val="008755E3"/>
  </w:style>
  <w:style w:type="paragraph" w:styleId="af">
    <w:name w:val="footer"/>
    <w:basedOn w:val="a0"/>
    <w:link w:val="af0"/>
    <w:uiPriority w:val="99"/>
    <w:unhideWhenUsed/>
    <w:rsid w:val="008755E3"/>
    <w:pPr>
      <w:tabs>
        <w:tab w:val="center" w:pos="4153"/>
        <w:tab w:val="right" w:pos="8306"/>
      </w:tabs>
      <w:spacing w:after="0" w:line="240" w:lineRule="auto"/>
    </w:pPr>
  </w:style>
  <w:style w:type="character" w:customStyle="1" w:styleId="af0">
    <w:name w:val="כותרת תחתונה תו"/>
    <w:basedOn w:val="a1"/>
    <w:link w:val="af"/>
    <w:uiPriority w:val="99"/>
    <w:rsid w:val="008755E3"/>
  </w:style>
  <w:style w:type="character" w:styleId="FollowedHyperlink">
    <w:name w:val="FollowedHyperlink"/>
    <w:basedOn w:val="a1"/>
    <w:uiPriority w:val="99"/>
    <w:semiHidden/>
    <w:unhideWhenUsed/>
    <w:rsid w:val="00AC5D5B"/>
    <w:rPr>
      <w:color w:val="800080" w:themeColor="followedHyperlink"/>
      <w:u w:val="single"/>
    </w:rPr>
  </w:style>
  <w:style w:type="paragraph" w:styleId="af1">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0"/>
    <w:link w:val="af2"/>
    <w:uiPriority w:val="99"/>
    <w:unhideWhenUsed/>
    <w:qFormat/>
    <w:rsid w:val="006E5D28"/>
    <w:pPr>
      <w:spacing w:after="0" w:line="240" w:lineRule="auto"/>
    </w:pPr>
    <w:rPr>
      <w:sz w:val="20"/>
      <w:szCs w:val="20"/>
    </w:rPr>
  </w:style>
  <w:style w:type="character" w:customStyle="1" w:styleId="af2">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1"/>
    <w:link w:val="af1"/>
    <w:uiPriority w:val="99"/>
    <w:rsid w:val="006E5D28"/>
    <w:rPr>
      <w:sz w:val="20"/>
      <w:szCs w:val="20"/>
    </w:rPr>
  </w:style>
  <w:style w:type="character" w:styleId="af3">
    <w:name w:val="footnote reference"/>
    <w:aliases w:val="Footnote Reference Superscript,Footnote symbol,Footnote Reference Number,Footnote Reference_LVL6,Footnote Reference_LVL61,Footnote Reference_LVL62,Footnote Reference_LVL63,Footnote Reference_LVL64,fr,SUPERS,EN Footnote Reference"/>
    <w:basedOn w:val="a1"/>
    <w:uiPriority w:val="99"/>
    <w:unhideWhenUsed/>
    <w:rsid w:val="006E5D28"/>
    <w:rPr>
      <w:vertAlign w:val="superscript"/>
    </w:rPr>
  </w:style>
  <w:style w:type="table" w:styleId="af4">
    <w:name w:val="Table Grid"/>
    <w:basedOn w:val="a2"/>
    <w:uiPriority w:val="5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A71B6D"/>
    <w:rPr>
      <w:color w:val="605E5C"/>
      <w:shd w:val="clear" w:color="auto" w:fill="E1DFDD"/>
    </w:rPr>
  </w:style>
  <w:style w:type="paragraph" w:styleId="af5">
    <w:name w:val="Revision"/>
    <w:hidden/>
    <w:uiPriority w:val="99"/>
    <w:semiHidden/>
    <w:rsid w:val="0074544F"/>
    <w:pPr>
      <w:spacing w:after="0" w:line="240" w:lineRule="auto"/>
    </w:pPr>
  </w:style>
  <w:style w:type="paragraph" w:styleId="NormalWeb">
    <w:name w:val="Normal (Web)"/>
    <w:basedOn w:val="a0"/>
    <w:uiPriority w:val="99"/>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פיסקת רשימה תו"/>
    <w:basedOn w:val="a1"/>
    <w:link w:val="a6"/>
    <w:uiPriority w:val="34"/>
    <w:locked/>
    <w:rsid w:val="00C95FE4"/>
  </w:style>
  <w:style w:type="character" w:styleId="af6">
    <w:name w:val="Strong"/>
    <w:basedOn w:val="a1"/>
    <w:uiPriority w:val="22"/>
    <w:qFormat/>
    <w:rsid w:val="00DC16A7"/>
    <w:rPr>
      <w:b/>
      <w:bCs/>
    </w:rPr>
  </w:style>
  <w:style w:type="character" w:customStyle="1" w:styleId="ui-provider">
    <w:name w:val="ui-provider"/>
    <w:basedOn w:val="a1"/>
    <w:rsid w:val="00CA1D8B"/>
  </w:style>
  <w:style w:type="character" w:customStyle="1" w:styleId="10">
    <w:name w:val="כותרת 1 תו"/>
    <w:basedOn w:val="a1"/>
    <w:link w:val="1"/>
    <w:uiPriority w:val="9"/>
    <w:rsid w:val="00482E9C"/>
    <w:rPr>
      <w:rFonts w:ascii="Times New Roman" w:eastAsia="Times New Roman" w:hAnsi="Times New Roman" w:cs="Times New Roman"/>
      <w:b/>
      <w:bCs/>
      <w:kern w:val="36"/>
      <w:sz w:val="48"/>
      <w:szCs w:val="48"/>
    </w:rPr>
  </w:style>
  <w:style w:type="paragraph" w:customStyle="1" w:styleId="af7">
    <w:name w:val="כותרת ראשית"/>
    <w:basedOn w:val="a0"/>
    <w:next w:val="a0"/>
    <w:link w:val="af8"/>
    <w:qFormat/>
    <w:rsid w:val="0096452E"/>
    <w:pPr>
      <w:spacing w:before="120" w:after="240" w:line="360" w:lineRule="auto"/>
      <w:ind w:left="23"/>
      <w:contextualSpacing/>
      <w:jc w:val="center"/>
      <w:outlineLvl w:val="0"/>
    </w:pPr>
    <w:rPr>
      <w:rFonts w:ascii="David" w:hAnsi="David" w:cs="David"/>
      <w:b/>
      <w:bCs/>
      <w:spacing w:val="5"/>
      <w:kern w:val="28"/>
      <w:sz w:val="28"/>
      <w:szCs w:val="28"/>
    </w:rPr>
  </w:style>
  <w:style w:type="paragraph" w:customStyle="1" w:styleId="a">
    <w:name w:val="כותרת משנה ממוספרת"/>
    <w:basedOn w:val="a0"/>
    <w:next w:val="a0"/>
    <w:link w:val="af9"/>
    <w:qFormat/>
    <w:rsid w:val="0096452E"/>
    <w:pPr>
      <w:keepNext/>
      <w:numPr>
        <w:numId w:val="18"/>
      </w:numPr>
      <w:spacing w:before="240" w:after="120" w:line="360" w:lineRule="auto"/>
      <w:contextualSpacing/>
      <w:jc w:val="both"/>
    </w:pPr>
    <w:rPr>
      <w:rFonts w:asciiTheme="minorHAnsi" w:eastAsiaTheme="minorEastAsia" w:hAnsiTheme="minorHAnsi" w:cstheme="minorHAnsi"/>
      <w:bCs/>
      <w:sz w:val="28"/>
      <w:szCs w:val="24"/>
    </w:rPr>
  </w:style>
  <w:style w:type="character" w:customStyle="1" w:styleId="af8">
    <w:name w:val="כותרת ראשית תו"/>
    <w:basedOn w:val="a1"/>
    <w:link w:val="af7"/>
    <w:rsid w:val="0096452E"/>
    <w:rPr>
      <w:rFonts w:ascii="David" w:hAnsi="David" w:cs="David"/>
      <w:b/>
      <w:bCs/>
      <w:spacing w:val="5"/>
      <w:kern w:val="28"/>
      <w:sz w:val="28"/>
      <w:szCs w:val="28"/>
    </w:rPr>
  </w:style>
  <w:style w:type="paragraph" w:customStyle="1" w:styleId="11">
    <w:name w:val="כותרת משנה רמה 1"/>
    <w:basedOn w:val="a0"/>
    <w:next w:val="a0"/>
    <w:link w:val="12"/>
    <w:qFormat/>
    <w:rsid w:val="0096452E"/>
    <w:pPr>
      <w:keepNext/>
      <w:spacing w:before="240" w:after="120" w:line="360" w:lineRule="auto"/>
      <w:ind w:left="23"/>
      <w:contextualSpacing/>
      <w:jc w:val="both"/>
      <w:outlineLvl w:val="0"/>
    </w:pPr>
    <w:rPr>
      <w:rFonts w:ascii="David" w:eastAsia="Calibri" w:hAnsi="David" w:cs="David"/>
      <w:b/>
      <w:bCs/>
      <w:sz w:val="24"/>
      <w:szCs w:val="24"/>
    </w:rPr>
  </w:style>
  <w:style w:type="character" w:customStyle="1" w:styleId="af9">
    <w:name w:val="כותרת משנה ממוספרת תו"/>
    <w:basedOn w:val="a1"/>
    <w:link w:val="a"/>
    <w:rsid w:val="0096452E"/>
    <w:rPr>
      <w:rFonts w:eastAsiaTheme="minorEastAsia" w:cstheme="minorHAnsi"/>
      <w:bCs/>
      <w:sz w:val="28"/>
      <w:szCs w:val="24"/>
    </w:rPr>
  </w:style>
  <w:style w:type="character" w:customStyle="1" w:styleId="12">
    <w:name w:val="כותרת משנה רמה 1 תו"/>
    <w:basedOn w:val="a1"/>
    <w:link w:val="11"/>
    <w:rsid w:val="0096452E"/>
    <w:rPr>
      <w:rFonts w:ascii="David" w:eastAsia="Calibri" w:hAnsi="David" w:cs="David"/>
      <w:b/>
      <w:bCs/>
      <w:sz w:val="24"/>
      <w:szCs w:val="24"/>
    </w:rPr>
  </w:style>
  <w:style w:type="character" w:customStyle="1" w:styleId="UnresolvedMention2">
    <w:name w:val="Unresolved Mention2"/>
    <w:basedOn w:val="a1"/>
    <w:uiPriority w:val="99"/>
    <w:semiHidden/>
    <w:unhideWhenUsed/>
    <w:rsid w:val="00C702B3"/>
    <w:rPr>
      <w:color w:val="605E5C"/>
      <w:shd w:val="clear" w:color="auto" w:fill="E1DFDD"/>
    </w:rPr>
  </w:style>
  <w:style w:type="paragraph" w:customStyle="1" w:styleId="p1">
    <w:name w:val="p1"/>
    <w:basedOn w:val="a0"/>
    <w:rsid w:val="002120E9"/>
    <w:pPr>
      <w:bidi w:val="0"/>
      <w:spacing w:before="100" w:beforeAutospacing="1" w:after="100" w:afterAutospacing="1" w:line="240" w:lineRule="auto"/>
    </w:pPr>
    <w:rPr>
      <w:rFonts w:ascii="Times New Roman" w:eastAsia="Times New Roman" w:hAnsi="Times New Roman" w:cs="Times New Roman"/>
      <w:sz w:val="24"/>
      <w:szCs w:val="24"/>
      <w:lang w:val="" w:bidi="ar-SA"/>
    </w:rPr>
  </w:style>
  <w:style w:type="character" w:customStyle="1" w:styleId="s1">
    <w:name w:val="s1"/>
    <w:basedOn w:val="a1"/>
    <w:rsid w:val="002120E9"/>
  </w:style>
  <w:style w:type="paragraph" w:customStyle="1" w:styleId="p2">
    <w:name w:val="p2"/>
    <w:basedOn w:val="a0"/>
    <w:rsid w:val="002120E9"/>
    <w:pPr>
      <w:bidi w:val="0"/>
      <w:spacing w:before="100" w:beforeAutospacing="1" w:after="100" w:afterAutospacing="1" w:line="240" w:lineRule="auto"/>
    </w:pPr>
    <w:rPr>
      <w:rFonts w:ascii="Times New Roman" w:eastAsia="Times New Roman" w:hAnsi="Times New Roman" w:cs="Times New Roman"/>
      <w:sz w:val="24"/>
      <w:szCs w:val="24"/>
      <w:lang w:val="" w:bidi="ar-SA"/>
    </w:rPr>
  </w:style>
  <w:style w:type="paragraph" w:customStyle="1" w:styleId="p3">
    <w:name w:val="p3"/>
    <w:basedOn w:val="a0"/>
    <w:rsid w:val="002120E9"/>
    <w:pPr>
      <w:bidi w:val="0"/>
      <w:spacing w:before="100" w:beforeAutospacing="1" w:after="100" w:afterAutospacing="1" w:line="240" w:lineRule="auto"/>
    </w:pPr>
    <w:rPr>
      <w:rFonts w:ascii="Times New Roman" w:eastAsia="Times New Roman" w:hAnsi="Times New Roman" w:cs="Times New Roman"/>
      <w:sz w:val="24"/>
      <w:szCs w:val="24"/>
      <w:lang w:val="" w:bidi="ar-SA"/>
    </w:rPr>
  </w:style>
  <w:style w:type="character" w:customStyle="1" w:styleId="apple-converted-space">
    <w:name w:val="apple-converted-space"/>
    <w:basedOn w:val="a1"/>
    <w:rsid w:val="0021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6ACB-2FD9-475C-ADCE-2D7128EDCE64}">
  <ds:schemaRefs>
    <ds:schemaRef ds:uri="http://schemas.microsoft.com/sharepoint/v3/contenttype/forms"/>
  </ds:schemaRefs>
</ds:datastoreItem>
</file>

<file path=customXml/itemProps2.xml><?xml version="1.0" encoding="utf-8"?>
<ds:datastoreItem xmlns:ds="http://schemas.openxmlformats.org/officeDocument/2006/customXml" ds:itemID="{DBFBCADE-083D-4AC3-A135-DB1B1A4E1A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E2D6384-D868-4D7A-8DF9-80753EA30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0B17BB-DFA1-4656-ABA6-64F21F92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1701</Words>
  <Characters>8506</Characters>
  <Application>Microsoft Office Word</Application>
  <DocSecurity>4</DocSecurity>
  <Lines>70</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נמרוד כהן</dc:creator>
  <cp:lastModifiedBy>רוסול דכוור</cp:lastModifiedBy>
  <cp:revision>2</cp:revision>
  <cp:lastPrinted>2026-01-05T12:50:00Z</cp:lastPrinted>
  <dcterms:created xsi:type="dcterms:W3CDTF">2026-01-12T10:02:00Z</dcterms:created>
  <dcterms:modified xsi:type="dcterms:W3CDTF">2026-01-12T10:02:00Z</dcterms:modified>
</cp:coreProperties>
</file>