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5D5403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E333A" w:rsidRDefault="00EB3C83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2E333A">
              <w:rPr>
                <w:rFonts w:ascii="Calibri" w:hAnsi="Calibri" w:cs="Calibri"/>
                <w:b/>
                <w:bCs/>
                <w:rtl/>
              </w:rPr>
              <w:t>בנק ישראל</w:t>
            </w:r>
          </w:p>
          <w:p w:rsidR="00031A9D" w:rsidRPr="002E333A" w:rsidRDefault="00EB3C83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333A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2E333A" w:rsidRDefault="00EB3C83" w:rsidP="005E28F6">
            <w:pPr>
              <w:bidi/>
              <w:jc w:val="center"/>
              <w:rPr>
                <w:rFonts w:ascii="Calibri" w:hAnsi="Calibri" w:cs="Calibri"/>
              </w:rPr>
            </w:pPr>
            <w:r w:rsidRPr="002E333A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E333A" w:rsidRDefault="00EB3C83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 w:rsidRPr="002E333A">
              <w:rPr>
                <w:rFonts w:ascii="Calibri" w:hAnsi="Calibri" w:cs="Calibri"/>
                <w:highlight w:val="green"/>
                <w:rtl/>
              </w:rPr>
              <w:t>‏</w:t>
            </w:r>
            <w:r w:rsidRPr="002E333A">
              <w:rPr>
                <w:rFonts w:ascii="Calibri" w:hAnsi="Calibri" w:cs="Calibri"/>
                <w:rtl/>
              </w:rPr>
              <w:t xml:space="preserve">ירושלים, </w:t>
            </w:r>
            <w:r w:rsidRPr="002E333A">
              <w:rPr>
                <w:rFonts w:ascii="Calibri" w:hAnsi="Calibri" w:cs="Calibri"/>
                <w:rtl/>
              </w:rPr>
              <w:fldChar w:fldCharType="begin"/>
            </w:r>
            <w:r w:rsidRPr="002E333A">
              <w:rPr>
                <w:rFonts w:ascii="Calibri" w:hAnsi="Calibri" w:cs="Calibri"/>
                <w:rtl/>
              </w:rPr>
              <w:instrText xml:space="preserve"> </w:instrText>
            </w:r>
            <w:r w:rsidRPr="002E333A">
              <w:rPr>
                <w:rFonts w:ascii="Calibri" w:hAnsi="Calibri" w:cs="Calibri"/>
              </w:rPr>
              <w:instrText>DATE</w:instrText>
            </w:r>
            <w:r w:rsidRPr="002E333A">
              <w:rPr>
                <w:rFonts w:ascii="Calibri" w:hAnsi="Calibri" w:cs="Calibri"/>
                <w:rtl/>
              </w:rPr>
              <w:instrText xml:space="preserve"> \@ "</w:instrText>
            </w:r>
            <w:r w:rsidRPr="002E333A">
              <w:rPr>
                <w:rFonts w:ascii="Calibri" w:hAnsi="Calibri" w:cs="Calibri"/>
              </w:rPr>
              <w:instrText>d MMMM, yyyy" \h</w:instrText>
            </w:r>
            <w:r w:rsidRPr="002E333A">
              <w:rPr>
                <w:rFonts w:ascii="Calibri" w:hAnsi="Calibri" w:cs="Calibri"/>
                <w:rtl/>
              </w:rPr>
              <w:instrText xml:space="preserve"> </w:instrText>
            </w:r>
            <w:r w:rsidRPr="002E333A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‏ט"ו שבט, תשפ"ו</w:t>
            </w:r>
            <w:r w:rsidRPr="002E333A">
              <w:rPr>
                <w:rFonts w:ascii="Calibri" w:hAnsi="Calibri" w:cs="Calibri"/>
                <w:rtl/>
              </w:rPr>
              <w:fldChar w:fldCharType="end"/>
            </w:r>
          </w:p>
          <w:p w:rsidR="00031A9D" w:rsidRPr="002E333A" w:rsidRDefault="00EB3C83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highlight w:val="green"/>
              </w:rPr>
            </w:pPr>
            <w:r w:rsidRPr="002E333A">
              <w:rPr>
                <w:rFonts w:ascii="Calibri" w:hAnsi="Calibri" w:cs="Calibri"/>
                <w:rtl/>
              </w:rPr>
              <w:fldChar w:fldCharType="begin"/>
            </w:r>
            <w:r w:rsidRPr="002E333A">
              <w:rPr>
                <w:rFonts w:ascii="Calibri" w:hAnsi="Calibri" w:cs="Calibri"/>
                <w:rtl/>
              </w:rPr>
              <w:instrText xml:space="preserve"> </w:instrText>
            </w:r>
            <w:r w:rsidRPr="002E333A">
              <w:rPr>
                <w:rFonts w:ascii="Calibri" w:hAnsi="Calibri" w:cs="Calibri"/>
              </w:rPr>
              <w:instrText>DATE</w:instrText>
            </w:r>
            <w:r w:rsidRPr="002E333A">
              <w:rPr>
                <w:rFonts w:ascii="Calibri" w:hAnsi="Calibri" w:cs="Calibri"/>
                <w:rtl/>
              </w:rPr>
              <w:instrText xml:space="preserve"> \@ "</w:instrText>
            </w:r>
            <w:r w:rsidRPr="002E333A">
              <w:rPr>
                <w:rFonts w:ascii="Calibri" w:hAnsi="Calibri" w:cs="Calibri"/>
              </w:rPr>
              <w:instrText>d MMMM, yyyy</w:instrText>
            </w:r>
            <w:r w:rsidRPr="002E333A">
              <w:rPr>
                <w:rFonts w:ascii="Calibri" w:hAnsi="Calibri" w:cs="Calibri"/>
                <w:rtl/>
              </w:rPr>
              <w:instrText xml:space="preserve">" </w:instrText>
            </w:r>
            <w:r w:rsidRPr="002E333A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‏2 פברואר, 2026</w:t>
            </w:r>
            <w:r w:rsidRPr="002E333A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031A9D" w:rsidRPr="002E333A" w:rsidRDefault="00031A9D" w:rsidP="005E28F6">
      <w:pPr>
        <w:bidi/>
        <w:rPr>
          <w:rFonts w:ascii="Calibri" w:hAnsi="Calibri" w:cs="Calibri"/>
          <w:rtl/>
        </w:rPr>
      </w:pPr>
    </w:p>
    <w:p w:rsidR="00B0362F" w:rsidRPr="002E333A" w:rsidRDefault="00EB3C83" w:rsidP="00B0362F">
      <w:pPr>
        <w:pStyle w:val="NormalWeb"/>
        <w:bidi/>
        <w:spacing w:after="240" w:line="360" w:lineRule="auto"/>
        <w:jc w:val="both"/>
        <w:rPr>
          <w:rFonts w:ascii="Calibri" w:eastAsia="Calibri" w:hAnsi="Calibri" w:cs="Calibri"/>
          <w:lang w:bidi="ar-SA"/>
        </w:rPr>
      </w:pPr>
      <w:r w:rsidRPr="002E333A">
        <w:rPr>
          <w:rFonts w:ascii="Calibri" w:eastAsia="Calibri" w:hAnsi="Calibri" w:cs="Calibri"/>
          <w:rtl/>
          <w:lang w:bidi="ar-SA"/>
        </w:rPr>
        <w:t>بيان صحفي:</w:t>
      </w:r>
    </w:p>
    <w:p w:rsidR="00B0362F" w:rsidRPr="002E333A" w:rsidRDefault="00EB3C83" w:rsidP="00B0362F">
      <w:pPr>
        <w:pStyle w:val="NormalWeb"/>
        <w:bidi/>
        <w:spacing w:after="24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E333A"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النتائج الرئيسية لاستطلاع مسؤولي الائتمان في بنك إسرائيل للربع الأخير من عام 2025</w:t>
      </w:r>
    </w:p>
    <w:p w:rsidR="00B0362F" w:rsidRPr="002E333A" w:rsidRDefault="00EB3C83" w:rsidP="00B0362F">
      <w:pPr>
        <w:pStyle w:val="NormalWeb"/>
        <w:bidi/>
        <w:spacing w:before="0" w:beforeAutospacing="0" w:after="240" w:afterAutospacing="0" w:line="360" w:lineRule="auto"/>
        <w:jc w:val="both"/>
        <w:rPr>
          <w:rFonts w:ascii="Calibri" w:eastAsia="Calibri" w:hAnsi="Calibri" w:cs="Calibri"/>
          <w:rtl/>
          <w:lang w:bidi="ar-SA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النتائج المنشورة هنا هي </w:t>
      </w:r>
      <w:r w:rsidR="00183A04" w:rsidRPr="002E333A">
        <w:rPr>
          <w:rFonts w:ascii="Calibri" w:eastAsia="Calibri" w:hAnsi="Calibri" w:cs="Calibri"/>
          <w:rtl/>
          <w:lang w:bidi="ar-SA"/>
        </w:rPr>
        <w:t xml:space="preserve">نتائج </w:t>
      </w:r>
      <w:r w:rsidRPr="002E333A">
        <w:rPr>
          <w:rFonts w:ascii="Calibri" w:eastAsia="Calibri" w:hAnsi="Calibri" w:cs="Calibri"/>
          <w:rtl/>
          <w:lang w:bidi="ar-SA"/>
        </w:rPr>
        <w:t>إجمالية وتتعلق بجميع المؤسسات المصرفية. وهي ممثلة بميزانيات صافية مرجحة</w:t>
      </w:r>
      <w:r w:rsidRPr="002E333A">
        <w:rPr>
          <w:rStyle w:val="FootnoteReference"/>
          <w:rFonts w:ascii="Calibri" w:eastAsia="Calibri" w:hAnsi="Calibri" w:cs="Calibri"/>
          <w:rtl/>
        </w:rPr>
        <w:t xml:space="preserve"> </w:t>
      </w:r>
      <w:r>
        <w:rPr>
          <w:rStyle w:val="FootnoteReference"/>
          <w:rFonts w:ascii="Calibri" w:eastAsia="Calibri" w:hAnsi="Calibri" w:cs="Calibri"/>
          <w:rtl/>
        </w:rPr>
        <w:footnoteReference w:id="1"/>
      </w:r>
      <w:r w:rsidRPr="002E333A">
        <w:rPr>
          <w:rFonts w:ascii="Calibri" w:eastAsia="Calibri" w:hAnsi="Calibri" w:cs="Calibri"/>
          <w:rtl/>
          <w:lang w:bidi="ar-SA"/>
        </w:rPr>
        <w:t xml:space="preserve"> تلخص التغير </w:t>
      </w:r>
      <w:r w:rsidR="00BB459A" w:rsidRPr="002E333A">
        <w:rPr>
          <w:rFonts w:ascii="Calibri" w:eastAsia="Calibri" w:hAnsi="Calibri" w:cs="Calibri"/>
          <w:rtl/>
          <w:lang w:bidi="ar-SA"/>
        </w:rPr>
        <w:t>الذي طرأ</w:t>
      </w:r>
      <w:r w:rsidRPr="002E333A">
        <w:rPr>
          <w:rFonts w:ascii="Calibri" w:eastAsia="Calibri" w:hAnsi="Calibri" w:cs="Calibri"/>
          <w:rtl/>
          <w:lang w:bidi="ar-SA"/>
        </w:rPr>
        <w:t xml:space="preserve"> في الربع الأخير من عام 2025 مقارنةً بالربع السابق، والتغير المتوقع في الربع الأول من عام 2026 مقارنةً بالربع الأخير من عام 2025.</w:t>
      </w:r>
    </w:p>
    <w:p w:rsidR="00DB16B4" w:rsidRPr="002E333A" w:rsidRDefault="00EB3C83" w:rsidP="00DB16B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في الربع الأخير من عام </w:t>
      </w:r>
      <w:r w:rsidR="00B0362F" w:rsidRPr="002E333A">
        <w:rPr>
          <w:rFonts w:ascii="Calibri" w:eastAsia="Calibri" w:hAnsi="Calibri" w:cs="Calibri"/>
          <w:rtl/>
          <w:lang w:bidi="ar-SA"/>
        </w:rPr>
        <w:t>2025</w:t>
      </w:r>
      <w:r w:rsidRPr="002E333A">
        <w:rPr>
          <w:rFonts w:ascii="Calibri" w:eastAsia="Calibri" w:hAnsi="Calibri" w:cs="Calibri"/>
          <w:rtl/>
          <w:lang w:bidi="ar-SA"/>
        </w:rPr>
        <w:t xml:space="preserve">، لوحظ ارتفاع في طلب الأسر على الائتمان الاستهلاكي، بينما بقي الطلب على </w:t>
      </w:r>
      <w:r w:rsidR="00B0362F" w:rsidRPr="002E333A">
        <w:rPr>
          <w:rFonts w:ascii="Calibri" w:eastAsia="Calibri" w:hAnsi="Calibri" w:cs="Calibri"/>
          <w:rtl/>
          <w:lang w:bidi="ar-SA"/>
        </w:rPr>
        <w:t>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الإسكان</w:t>
      </w:r>
      <w:r w:rsidR="00B0362F" w:rsidRPr="002E333A">
        <w:rPr>
          <w:rFonts w:ascii="Calibri" w:eastAsia="Calibri" w:hAnsi="Calibri" w:cs="Calibri"/>
          <w:rtl/>
          <w:lang w:bidi="ar-SA"/>
        </w:rPr>
        <w:t>ي</w:t>
      </w:r>
      <w:r w:rsidRPr="002E333A">
        <w:rPr>
          <w:rFonts w:ascii="Calibri" w:eastAsia="Calibri" w:hAnsi="Calibri" w:cs="Calibri"/>
          <w:rtl/>
          <w:lang w:bidi="ar-SA"/>
        </w:rPr>
        <w:t xml:space="preserve"> ثابت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. في قطاع الأعمال، استمر ارتفاع طلب </w:t>
      </w:r>
      <w:r w:rsidR="00B0362F" w:rsidRPr="002E333A">
        <w:rPr>
          <w:rFonts w:ascii="Calibri" w:eastAsia="Calibri" w:hAnsi="Calibri" w:cs="Calibri"/>
          <w:rtl/>
          <w:lang w:bidi="ar-SA"/>
        </w:rPr>
        <w:t>المصالح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 على الائتمان، كما ازداد الطلب عل</w:t>
      </w:r>
      <w:r w:rsidR="00B0362F" w:rsidRPr="002E333A">
        <w:rPr>
          <w:rFonts w:ascii="Calibri" w:eastAsia="Calibri" w:hAnsi="Calibri" w:cs="Calibri"/>
          <w:rtl/>
          <w:lang w:bidi="ar-SA"/>
        </w:rPr>
        <w:t>ى 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في قطاع البناء.</w:t>
      </w:r>
    </w:p>
    <w:p w:rsidR="00DB16B4" w:rsidRPr="002E333A" w:rsidRDefault="00EB3C83" w:rsidP="00B0362F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afterAutospacing="0"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وفق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B0362F" w:rsidRPr="002E333A">
        <w:rPr>
          <w:rFonts w:ascii="Calibri" w:eastAsia="Calibri" w:hAnsi="Calibri" w:cs="Calibri"/>
          <w:rtl/>
          <w:lang w:bidi="ar-SA"/>
        </w:rPr>
        <w:t>للمشاركين في الاستطلاع</w:t>
      </w:r>
      <w:r w:rsidRPr="002E333A">
        <w:rPr>
          <w:rFonts w:ascii="Calibri" w:eastAsia="Calibri" w:hAnsi="Calibri" w:cs="Calibri"/>
          <w:rtl/>
          <w:lang w:bidi="ar-SA"/>
        </w:rPr>
        <w:t>،</w:t>
      </w:r>
      <w:r w:rsidRPr="002E333A">
        <w:rPr>
          <w:rFonts w:ascii="Calibri" w:eastAsia="Calibri" w:hAnsi="Calibri" w:cs="Calibri"/>
          <w:rtl/>
          <w:lang w:bidi="ar-SA"/>
        </w:rPr>
        <w:t xml:space="preserve"> فإن إعادة التمويل وزيادة المخزون و</w:t>
      </w:r>
      <w:r w:rsidR="00183A04" w:rsidRPr="002E333A">
        <w:rPr>
          <w:rFonts w:ascii="Calibri" w:eastAsia="Calibri" w:hAnsi="Calibri" w:cs="Calibri"/>
          <w:rtl/>
          <w:lang w:bidi="ar-SA"/>
        </w:rPr>
        <w:t xml:space="preserve">مردود </w:t>
      </w:r>
      <w:r w:rsidRPr="002E333A">
        <w:rPr>
          <w:rFonts w:ascii="Calibri" w:eastAsia="Calibri" w:hAnsi="Calibri" w:cs="Calibri"/>
          <w:rtl/>
          <w:lang w:bidi="ar-SA"/>
        </w:rPr>
        <w:t xml:space="preserve">رأس المال، أي مشكلة التدفق النقدي </w:t>
      </w:r>
      <w:r w:rsidR="00183A04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، كانت من أسباب ارتفاع طلب </w:t>
      </w:r>
      <w:r w:rsidR="00B0362F" w:rsidRPr="002E333A">
        <w:rPr>
          <w:rFonts w:ascii="Calibri" w:eastAsia="Calibri" w:hAnsi="Calibri" w:cs="Calibri"/>
          <w:rtl/>
          <w:lang w:bidi="ar-SA"/>
        </w:rPr>
        <w:t>المصالح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 على الائتمان.</w:t>
      </w:r>
    </w:p>
    <w:p w:rsidR="00DB16B4" w:rsidRPr="002E333A" w:rsidRDefault="00EB3C83" w:rsidP="00183A04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0" w:beforeAutospacing="0"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من المتوقع أن يزداد طلب الأسر على </w:t>
      </w:r>
      <w:r w:rsidR="00B0362F" w:rsidRPr="002E333A">
        <w:rPr>
          <w:rFonts w:ascii="Calibri" w:eastAsia="Calibri" w:hAnsi="Calibri" w:cs="Calibri"/>
          <w:rtl/>
          <w:lang w:bidi="ar-SA"/>
        </w:rPr>
        <w:t>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الإسكان</w:t>
      </w:r>
      <w:r w:rsidR="00B0362F" w:rsidRPr="002E333A">
        <w:rPr>
          <w:rFonts w:ascii="Calibri" w:eastAsia="Calibri" w:hAnsi="Calibri" w:cs="Calibri"/>
          <w:rtl/>
          <w:lang w:bidi="ar-SA"/>
        </w:rPr>
        <w:t>ي</w:t>
      </w:r>
      <w:r w:rsidRPr="002E333A">
        <w:rPr>
          <w:rFonts w:ascii="Calibri" w:eastAsia="Calibri" w:hAnsi="Calibri" w:cs="Calibri"/>
          <w:rtl/>
          <w:lang w:bidi="ar-SA"/>
        </w:rPr>
        <w:t xml:space="preserve"> والاستهلاك</w:t>
      </w:r>
      <w:r w:rsidR="00B0362F" w:rsidRPr="002E333A">
        <w:rPr>
          <w:rFonts w:ascii="Calibri" w:eastAsia="Calibri" w:hAnsi="Calibri" w:cs="Calibri"/>
          <w:rtl/>
          <w:lang w:bidi="ar-SA"/>
        </w:rPr>
        <w:t>ي</w:t>
      </w:r>
      <w:r w:rsidRPr="002E333A">
        <w:rPr>
          <w:rFonts w:ascii="Calibri" w:eastAsia="Calibri" w:hAnsi="Calibri" w:cs="Calibri"/>
          <w:rtl/>
          <w:lang w:bidi="ar-SA"/>
        </w:rPr>
        <w:t xml:space="preserve"> خلال الربع القادم، وكذلك </w:t>
      </w:r>
      <w:r w:rsidRPr="002E333A">
        <w:rPr>
          <w:rFonts w:ascii="Calibri" w:eastAsia="Calibri" w:hAnsi="Calibri" w:cs="Calibri"/>
          <w:rtl/>
          <w:lang w:bidi="ar-SA"/>
        </w:rPr>
        <w:t xml:space="preserve">طلب </w:t>
      </w:r>
      <w:r w:rsidR="00B0362F" w:rsidRPr="002E333A">
        <w:rPr>
          <w:rFonts w:ascii="Calibri" w:eastAsia="Calibri" w:hAnsi="Calibri" w:cs="Calibri"/>
          <w:rtl/>
          <w:lang w:bidi="ar-SA"/>
        </w:rPr>
        <w:t>المصالح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من جميع الأحجام على </w:t>
      </w:r>
      <w:r w:rsidR="00B0362F" w:rsidRPr="002E333A">
        <w:rPr>
          <w:rFonts w:ascii="Calibri" w:eastAsia="Calibri" w:hAnsi="Calibri" w:cs="Calibri"/>
          <w:rtl/>
          <w:lang w:bidi="ar-SA"/>
        </w:rPr>
        <w:t>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B0362F" w:rsidRPr="002E333A">
        <w:rPr>
          <w:rFonts w:ascii="Calibri" w:eastAsia="Calibri" w:hAnsi="Calibri" w:cs="Calibri"/>
          <w:rtl/>
          <w:lang w:bidi="ar-SA"/>
        </w:rPr>
        <w:t>التجاري</w:t>
      </w:r>
      <w:r w:rsidRPr="002E333A">
        <w:rPr>
          <w:rFonts w:ascii="Calibri" w:eastAsia="Calibri" w:hAnsi="Calibri" w:cs="Calibri"/>
          <w:rtl/>
          <w:lang w:bidi="ar-SA"/>
        </w:rPr>
        <w:t>. أما في قطاعي البناء والعقارات، فمن المتوقع أن يستقر الطلب على الائتمان.</w:t>
      </w:r>
    </w:p>
    <w:p w:rsidR="00DB16B4" w:rsidRPr="002E333A" w:rsidRDefault="00EB3C83" w:rsidP="00DB16B4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في الربع الأخير من عام </w:t>
      </w:r>
      <w:r w:rsidR="00B0362F" w:rsidRPr="002E333A">
        <w:rPr>
          <w:rFonts w:ascii="Calibri" w:eastAsia="Calibri" w:hAnsi="Calibri" w:cs="Calibri"/>
          <w:rtl/>
          <w:lang w:bidi="ar-SA"/>
        </w:rPr>
        <w:t>2025</w:t>
      </w:r>
      <w:r w:rsidRPr="002E333A">
        <w:rPr>
          <w:rFonts w:ascii="Calibri" w:eastAsia="Calibri" w:hAnsi="Calibri" w:cs="Calibri"/>
          <w:rtl/>
          <w:lang w:bidi="ar-SA"/>
        </w:rPr>
        <w:t xml:space="preserve">، استمر تشديد هوامش الائتمان </w:t>
      </w:r>
      <w:r w:rsidR="00B0362F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B0362F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العالية </w:t>
      </w:r>
      <w:r w:rsidR="00B0362F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والمتوسطة، وكذلك </w:t>
      </w:r>
      <w:r w:rsidR="00B0362F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B0362F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 لقطاع الإسكان. في الوقت نفسه، استمرت </w:t>
      </w:r>
      <w:r w:rsidR="00B0362F" w:rsidRPr="002E333A">
        <w:rPr>
          <w:rFonts w:ascii="Calibri" w:eastAsia="Calibri" w:hAnsi="Calibri" w:cs="Calibri"/>
          <w:rtl/>
          <w:lang w:bidi="ar-SA"/>
        </w:rPr>
        <w:t>ال</w:t>
      </w:r>
      <w:r w:rsidRPr="002E333A">
        <w:rPr>
          <w:rFonts w:ascii="Calibri" w:eastAsia="Calibri" w:hAnsi="Calibri" w:cs="Calibri"/>
          <w:rtl/>
          <w:lang w:bidi="ar-SA"/>
        </w:rPr>
        <w:t xml:space="preserve">مرونة </w:t>
      </w:r>
      <w:r w:rsidR="00B0362F" w:rsidRPr="002E333A">
        <w:rPr>
          <w:rFonts w:ascii="Calibri" w:eastAsia="Calibri" w:hAnsi="Calibri" w:cs="Calibri"/>
          <w:rtl/>
          <w:lang w:bidi="ar-SA"/>
        </w:rPr>
        <w:t xml:space="preserve">في </w:t>
      </w:r>
      <w:r w:rsidRPr="002E333A">
        <w:rPr>
          <w:rFonts w:ascii="Calibri" w:eastAsia="Calibri" w:hAnsi="Calibri" w:cs="Calibri"/>
          <w:rtl/>
          <w:lang w:bidi="ar-SA"/>
        </w:rPr>
        <w:t xml:space="preserve">شروط الائتمان في القطاعات الأخرى، والتي تجلّت بشكل </w:t>
      </w:r>
      <w:r w:rsidR="00183A04" w:rsidRPr="002E333A">
        <w:rPr>
          <w:rFonts w:ascii="Calibri" w:eastAsia="Calibri" w:hAnsi="Calibri" w:cs="Calibri"/>
          <w:rtl/>
          <w:lang w:bidi="ar-SA"/>
        </w:rPr>
        <w:t>أساسي</w:t>
      </w:r>
      <w:r w:rsidRPr="002E333A">
        <w:rPr>
          <w:rFonts w:ascii="Calibri" w:eastAsia="Calibri" w:hAnsi="Calibri" w:cs="Calibri"/>
          <w:rtl/>
          <w:lang w:bidi="ar-SA"/>
        </w:rPr>
        <w:t xml:space="preserve"> في هوامش الائتمان </w:t>
      </w:r>
      <w:r w:rsidR="00B0362F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B0362F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المنخفضة.</w:t>
      </w:r>
    </w:p>
    <w:p w:rsidR="00DB16B4" w:rsidRPr="002E333A" w:rsidRDefault="00EB3C83" w:rsidP="00DB16B4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>وفق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B0362F" w:rsidRPr="002E333A">
        <w:rPr>
          <w:rFonts w:ascii="Calibri" w:eastAsia="Calibri" w:hAnsi="Calibri" w:cs="Calibri"/>
          <w:rtl/>
          <w:lang w:bidi="ar-SA"/>
        </w:rPr>
        <w:t>للمشاركين في الاستطلاع</w:t>
      </w:r>
      <w:r w:rsidRPr="002E333A">
        <w:rPr>
          <w:rFonts w:ascii="Calibri" w:eastAsia="Calibri" w:hAnsi="Calibri" w:cs="Calibri"/>
          <w:rtl/>
          <w:lang w:bidi="ar-SA"/>
        </w:rPr>
        <w:t xml:space="preserve">، تُعدّ المنافسة في </w:t>
      </w:r>
      <w:r w:rsidRPr="002E333A">
        <w:rPr>
          <w:rFonts w:ascii="Calibri" w:eastAsia="Calibri" w:hAnsi="Calibri" w:cs="Calibri"/>
          <w:rtl/>
          <w:lang w:bidi="ar-SA"/>
        </w:rPr>
        <w:t xml:space="preserve">سوق الائتمان </w:t>
      </w:r>
      <w:r w:rsidR="00B0362F" w:rsidRPr="002E333A">
        <w:rPr>
          <w:rFonts w:ascii="Calibri" w:eastAsia="Calibri" w:hAnsi="Calibri" w:cs="Calibri"/>
          <w:rtl/>
          <w:lang w:bidi="ar-SA"/>
        </w:rPr>
        <w:t xml:space="preserve">هي </w:t>
      </w:r>
      <w:r w:rsidRPr="002E333A">
        <w:rPr>
          <w:rFonts w:ascii="Calibri" w:eastAsia="Calibri" w:hAnsi="Calibri" w:cs="Calibri"/>
          <w:rtl/>
          <w:lang w:bidi="ar-SA"/>
        </w:rPr>
        <w:t>العامل الرئيسي في مرونة هوامش الائتمان أو تخفيفها.</w:t>
      </w:r>
    </w:p>
    <w:p w:rsidR="00183A04" w:rsidRPr="002E333A" w:rsidRDefault="00183A04" w:rsidP="004C64EC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4C64EC" w:rsidRPr="002E333A" w:rsidRDefault="00EB3C83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أ. الطلب على الائتمان</w:t>
      </w:r>
    </w:p>
    <w:p w:rsidR="00DB16B4" w:rsidRPr="002E333A" w:rsidRDefault="00EB3C83" w:rsidP="004C64EC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>في الربع الأخير من عام 2025، شهد الطلب على الائتمان الاستهلاكي من الأسر ارتفاع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، بينما لم يطرأ أي تغيير على الطلب على الائتمان السكني. في قطاع الأعمال، استمر الطلب على الائتمان من المصالح التجارية الصغيرة والمتوسطة في الازدياد؛ كما ازداد </w:t>
      </w:r>
      <w:r w:rsidRPr="002E333A">
        <w:rPr>
          <w:rFonts w:ascii="Calibri" w:eastAsia="Calibri" w:hAnsi="Calibri" w:cs="Calibri"/>
          <w:rtl/>
          <w:lang w:bidi="ar-SA"/>
        </w:rPr>
        <w:lastRenderedPageBreak/>
        <w:t>الطلب على الائتمان في قطاع الإنشاءات، واستقر في قطاع العقارات</w:t>
      </w:r>
      <w:r>
        <w:rPr>
          <w:rStyle w:val="FootnoteReference"/>
          <w:rFonts w:ascii="Calibri" w:eastAsia="Calibri" w:hAnsi="Calibri" w:cs="Calibri"/>
          <w:rtl/>
        </w:rPr>
        <w:footnoteReference w:id="2"/>
      </w:r>
      <w:r w:rsidR="00C74141" w:rsidRPr="002E333A">
        <w:rPr>
          <w:rFonts w:ascii="Calibri" w:eastAsia="Calibri" w:hAnsi="Calibri" w:cs="Calibri"/>
          <w:rtl/>
        </w:rPr>
        <w:t xml:space="preserve">. </w:t>
      </w:r>
      <w:r w:rsidRPr="002E333A">
        <w:rPr>
          <w:rFonts w:ascii="Calibri" w:eastAsia="Calibri" w:hAnsi="Calibri" w:cs="Calibri"/>
          <w:rtl/>
          <w:lang w:bidi="ar-SA"/>
        </w:rPr>
        <w:t>تتوقع البنوك زيادة في الطلب على ا</w:t>
      </w:r>
      <w:r w:rsidRPr="002E333A">
        <w:rPr>
          <w:rFonts w:ascii="Calibri" w:eastAsia="Calibri" w:hAnsi="Calibri" w:cs="Calibri"/>
          <w:rtl/>
          <w:lang w:bidi="ar-SA"/>
        </w:rPr>
        <w:t xml:space="preserve">لائتمان السكني والاستهلاكي من الأسر. أما في قطاع الأعمال، فتتوقع البنوك زيادة في الطلب على الائتمان التجاري </w:t>
      </w:r>
      <w:r w:rsidR="00183A04" w:rsidRPr="002E333A">
        <w:rPr>
          <w:rFonts w:ascii="Calibri" w:eastAsia="Calibri" w:hAnsi="Calibri" w:cs="Calibri"/>
          <w:rtl/>
          <w:lang w:bidi="ar-SA"/>
        </w:rPr>
        <w:t>للمصالح التجارية من جميع الأحجام</w:t>
      </w:r>
      <w:r w:rsidRPr="002E333A">
        <w:rPr>
          <w:rFonts w:ascii="Calibri" w:eastAsia="Calibri" w:hAnsi="Calibri" w:cs="Calibri"/>
          <w:rtl/>
          <w:lang w:bidi="ar-SA"/>
        </w:rPr>
        <w:t>، واستقرار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 في قطاعي الإنشاءات والعقارات. (الشكل 1).</w:t>
      </w:r>
    </w:p>
    <w:p w:rsidR="00DB16B4" w:rsidRPr="002E333A" w:rsidRDefault="00EB3C83" w:rsidP="00DB16B4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الرسم البياني 1.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>* التغير في الطلب على الائتمان (الب</w:t>
      </w:r>
      <w:r w:rsidRPr="002E333A">
        <w:rPr>
          <w:rFonts w:ascii="Calibri" w:eastAsia="Calibri" w:hAnsi="Calibri" w:cs="Calibri"/>
          <w:rtl/>
          <w:lang w:bidi="ar-SA"/>
        </w:rPr>
        <w:t>يانات المتوقعة ب</w:t>
      </w:r>
      <w:r w:rsidR="004C64EC" w:rsidRPr="002E333A">
        <w:rPr>
          <w:rFonts w:ascii="Calibri" w:eastAsia="Calibri" w:hAnsi="Calibri" w:cs="Calibri"/>
          <w:rtl/>
          <w:lang w:bidi="ar-SA"/>
        </w:rPr>
        <w:t>ال</w:t>
      </w:r>
      <w:r w:rsidRPr="002E333A">
        <w:rPr>
          <w:rFonts w:ascii="Calibri" w:eastAsia="Calibri" w:hAnsi="Calibri" w:cs="Calibri"/>
          <w:rtl/>
          <w:lang w:bidi="ar-SA"/>
        </w:rPr>
        <w:t xml:space="preserve">خط </w:t>
      </w:r>
      <w:r w:rsidR="004C64EC" w:rsidRPr="002E333A">
        <w:rPr>
          <w:rFonts w:ascii="Calibri" w:eastAsia="Calibri" w:hAnsi="Calibri" w:cs="Calibri"/>
          <w:rtl/>
          <w:lang w:bidi="ar-SA"/>
        </w:rPr>
        <w:t>ال</w:t>
      </w:r>
      <w:r w:rsidRPr="002E333A">
        <w:rPr>
          <w:rFonts w:ascii="Calibri" w:eastAsia="Calibri" w:hAnsi="Calibri" w:cs="Calibri"/>
          <w:rtl/>
          <w:lang w:bidi="ar-SA"/>
        </w:rPr>
        <w:t>منقط)</w:t>
      </w:r>
    </w:p>
    <w:p w:rsidR="00C74141" w:rsidRPr="002E333A" w:rsidRDefault="00EB3C83" w:rsidP="00C74141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421989" cy="3157268"/>
            <wp:effectExtent l="0" t="0" r="7620" b="508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4141" w:rsidRPr="002E333A" w:rsidRDefault="00EB3C83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</w:rPr>
        <w:t xml:space="preserve"> </w:t>
      </w:r>
      <w:r w:rsidRPr="002E333A">
        <w:rPr>
          <w:rFonts w:ascii="Calibri" w:hAnsi="Calibri" w:cs="Calibri"/>
          <w:noProof/>
        </w:rPr>
        <w:drawing>
          <wp:inline distT="0" distB="0" distL="0" distR="0">
            <wp:extent cx="5331616" cy="3372929"/>
            <wp:effectExtent l="0" t="0" r="2540" b="18415"/>
            <wp:docPr id="3" name="תרשים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16B4" w:rsidRPr="002E333A" w:rsidRDefault="00EB3C83" w:rsidP="00DB16B4">
      <w:pPr>
        <w:pStyle w:val="NormalWeb"/>
        <w:bidi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</w:rPr>
        <w:lastRenderedPageBreak/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4C64EC" w:rsidRPr="002E333A">
        <w:rPr>
          <w:rFonts w:ascii="Calibri" w:eastAsia="Calibri" w:hAnsi="Calibri" w:cs="Calibri"/>
          <w:rtl/>
          <w:lang w:bidi="ar-SA"/>
        </w:rPr>
        <w:t>الايجابية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زيادة الطلب على الائتمان والعكس صحيح.</w:t>
      </w: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فيما يتعلق بتأثير العوامل المختلفة على الطلب على الائتمان، يبدو أن إعادة التمويل وزيادة المخزون و</w:t>
      </w:r>
      <w:r w:rsidR="00183A04" w:rsidRPr="002E333A">
        <w:rPr>
          <w:rFonts w:ascii="Calibri" w:eastAsia="Calibri" w:hAnsi="Calibri" w:cs="Calibri"/>
          <w:rtl/>
          <w:lang w:bidi="ar-SA"/>
        </w:rPr>
        <w:t xml:space="preserve">مردود </w:t>
      </w:r>
      <w:r w:rsidRPr="002E333A">
        <w:rPr>
          <w:rFonts w:ascii="Calibri" w:eastAsia="Calibri" w:hAnsi="Calibri" w:cs="Calibri"/>
          <w:rtl/>
          <w:lang w:bidi="ar-SA"/>
        </w:rPr>
        <w:t xml:space="preserve">رأس المال، أي مشكلة التدفق النقدي </w:t>
      </w:r>
      <w:r w:rsidR="00183A04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، كانت العوامل التي أدت إلى زيادة الطلب على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4C64EC" w:rsidRPr="002E333A">
        <w:rPr>
          <w:rFonts w:ascii="Calibri" w:eastAsia="Calibri" w:hAnsi="Calibri" w:cs="Calibri"/>
          <w:rtl/>
          <w:lang w:bidi="ar-SA"/>
        </w:rPr>
        <w:t>الصغيرة و</w:t>
      </w:r>
      <w:r w:rsidRPr="002E333A">
        <w:rPr>
          <w:rFonts w:ascii="Calibri" w:eastAsia="Calibri" w:hAnsi="Calibri" w:cs="Calibri"/>
          <w:rtl/>
          <w:lang w:bidi="ar-SA"/>
        </w:rPr>
        <w:t>متناهية الصغر في الربع الأخير من عام 2025 (الشكل 2).</w:t>
      </w:r>
    </w:p>
    <w:p w:rsidR="00DB16B4" w:rsidRPr="002E333A" w:rsidRDefault="00DB16B4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الشكل 2: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 xml:space="preserve">* </w:t>
      </w:r>
      <w:r w:rsidR="004C64EC" w:rsidRPr="002E333A">
        <w:rPr>
          <w:rFonts w:ascii="Calibri" w:eastAsia="Calibri" w:hAnsi="Calibri" w:cs="Calibri"/>
          <w:rtl/>
          <w:lang w:bidi="ar-SA"/>
        </w:rPr>
        <w:t>ا</w:t>
      </w:r>
      <w:r w:rsidRPr="002E333A">
        <w:rPr>
          <w:rFonts w:ascii="Calibri" w:eastAsia="Calibri" w:hAnsi="Calibri" w:cs="Calibri"/>
          <w:rtl/>
          <w:lang w:bidi="ar-SA"/>
        </w:rPr>
        <w:t xml:space="preserve">لتغير في تأثير العوامل المختلفة على الطلب على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للمصالح التجارية الصغيرة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4C64EC" w:rsidRPr="002E333A">
        <w:rPr>
          <w:rFonts w:ascii="Calibri" w:eastAsia="Calibri" w:hAnsi="Calibri" w:cs="Calibri"/>
          <w:rtl/>
          <w:lang w:bidi="ar-SA"/>
        </w:rPr>
        <w:t>و</w:t>
      </w:r>
      <w:r w:rsidRPr="002E333A">
        <w:rPr>
          <w:rFonts w:ascii="Calibri" w:eastAsia="Calibri" w:hAnsi="Calibri" w:cs="Calibri"/>
          <w:rtl/>
          <w:lang w:bidi="ar-SA"/>
        </w:rPr>
        <w:t xml:space="preserve">متناهية الصغر </w:t>
      </w:r>
    </w:p>
    <w:p w:rsidR="00C74141" w:rsidRPr="002E333A" w:rsidRDefault="00EB3C83" w:rsidP="00C74141">
      <w:pPr>
        <w:pStyle w:val="NormalWeb"/>
        <w:bidi/>
        <w:spacing w:line="360" w:lineRule="auto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562600" cy="3149600"/>
            <wp:effectExtent l="0" t="0" r="0" b="12700"/>
            <wp:docPr id="4" name="תרשים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2E333A">
        <w:rPr>
          <w:rFonts w:ascii="Calibri" w:eastAsia="Calibri" w:hAnsi="Calibri" w:cs="Calibri"/>
          <w:rtl/>
        </w:rPr>
        <w:t xml:space="preserve"> </w:t>
      </w: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</w:rPr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4C64EC" w:rsidRPr="002E333A">
        <w:rPr>
          <w:rFonts w:ascii="Calibri" w:eastAsia="Calibri" w:hAnsi="Calibri" w:cs="Calibri"/>
          <w:rtl/>
          <w:lang w:bidi="ar-SA"/>
        </w:rPr>
        <w:t>الايجابية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المساهمة في زيادة الطلب، والعكس صحيح.</w:t>
      </w: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ب. عرض الائتمان</w:t>
      </w: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>استمر</w:t>
      </w:r>
      <w:r w:rsidR="004C64EC" w:rsidRPr="002E333A">
        <w:rPr>
          <w:rFonts w:ascii="Calibri" w:eastAsia="Calibri" w:hAnsi="Calibri" w:cs="Calibri"/>
          <w:rtl/>
          <w:lang w:bidi="ar-SA"/>
        </w:rPr>
        <w:t>ت المرونة في</w:t>
      </w:r>
      <w:r w:rsidRPr="002E333A">
        <w:rPr>
          <w:rFonts w:ascii="Calibri" w:eastAsia="Calibri" w:hAnsi="Calibri" w:cs="Calibri"/>
          <w:rtl/>
          <w:lang w:bidi="ar-SA"/>
        </w:rPr>
        <w:t xml:space="preserve"> شروط الائتمان في الربع الأخير من عام 2025 في معظم قطاعات الائتمان، وانعكس ذلك بشكل رئيسي في هوامش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4C64EC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المنخفضة. في الوقت نفسه، استمر </w:t>
      </w:r>
      <w:r w:rsidRPr="002E333A">
        <w:rPr>
          <w:rFonts w:ascii="Calibri" w:eastAsia="Calibri" w:hAnsi="Calibri" w:cs="Calibri"/>
          <w:rtl/>
          <w:lang w:bidi="ar-SA"/>
        </w:rPr>
        <w:t xml:space="preserve">تضييق هوامش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مستوى المخاطر العالية </w:t>
      </w:r>
      <w:r w:rsidR="004C64EC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والمتوسطة، والائتمان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ذي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4C64EC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 للإسكان (الشكل 3).</w:t>
      </w:r>
    </w:p>
    <w:p w:rsidR="00DB16B4" w:rsidRPr="002E333A" w:rsidRDefault="00EB3C83" w:rsidP="00DB16B4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الشكل 3: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 xml:space="preserve">* </w:t>
      </w:r>
      <w:r w:rsidR="004C64EC" w:rsidRPr="002E333A">
        <w:rPr>
          <w:rFonts w:ascii="Calibri" w:eastAsia="Calibri" w:hAnsi="Calibri" w:cs="Calibri"/>
          <w:rtl/>
          <w:lang w:bidi="ar-SA"/>
        </w:rPr>
        <w:t>ا</w:t>
      </w:r>
      <w:r w:rsidRPr="002E333A">
        <w:rPr>
          <w:rFonts w:ascii="Calibri" w:eastAsia="Calibri" w:hAnsi="Calibri" w:cs="Calibri"/>
          <w:rtl/>
          <w:lang w:bidi="ar-SA"/>
        </w:rPr>
        <w:t>لتغيرات في شروط الائتمان لطلبات الائتمان الجديدة</w:t>
      </w:r>
    </w:p>
    <w:p w:rsidR="00C74141" w:rsidRPr="002E333A" w:rsidRDefault="00EB3C83" w:rsidP="00C74141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lastRenderedPageBreak/>
        <w:drawing>
          <wp:inline distT="0" distB="0" distL="0" distR="0">
            <wp:extent cx="5233419" cy="2958465"/>
            <wp:effectExtent l="0" t="0" r="5715" b="13335"/>
            <wp:docPr id="6" name="תרשים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4141" w:rsidRPr="002E333A" w:rsidRDefault="00EB3C83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274310" cy="2977626"/>
            <wp:effectExtent l="0" t="0" r="2540" b="13335"/>
            <wp:docPr id="5" name="תרשים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16B4" w:rsidRPr="002E333A" w:rsidRDefault="00EB3C83" w:rsidP="004C64EC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</w:rPr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4C64EC" w:rsidRPr="002E333A">
        <w:rPr>
          <w:rFonts w:ascii="Calibri" w:eastAsia="Calibri" w:hAnsi="Calibri" w:cs="Calibri"/>
          <w:rtl/>
          <w:lang w:bidi="ar-SA"/>
        </w:rPr>
        <w:t>السلبية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مساهمة في </w:t>
      </w:r>
      <w:r w:rsidR="004C64EC" w:rsidRPr="002E333A">
        <w:rPr>
          <w:rFonts w:ascii="Calibri" w:eastAsia="Calibri" w:hAnsi="Calibri" w:cs="Calibri"/>
          <w:rtl/>
          <w:lang w:bidi="ar-SA"/>
        </w:rPr>
        <w:t>مرونة أو تخفيف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4C64EC" w:rsidRPr="002E333A">
        <w:rPr>
          <w:rFonts w:ascii="Calibri" w:eastAsia="Calibri" w:hAnsi="Calibri" w:cs="Calibri"/>
          <w:rtl/>
          <w:lang w:bidi="ar-SA"/>
        </w:rPr>
        <w:t>الهوامش</w:t>
      </w:r>
      <w:r w:rsidRPr="002E333A">
        <w:rPr>
          <w:rFonts w:ascii="Calibri" w:eastAsia="Calibri" w:hAnsi="Calibri" w:cs="Calibri"/>
          <w:rtl/>
          <w:lang w:bidi="ar-SA"/>
        </w:rPr>
        <w:t>، والعكس صحيح.</w:t>
      </w: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لا تزال عوامل المنافسة هي العوامل الرئيسية </w:t>
      </w:r>
      <w:r w:rsidR="004C64EC" w:rsidRPr="002E333A">
        <w:rPr>
          <w:rFonts w:ascii="Calibri" w:eastAsia="Calibri" w:hAnsi="Calibri" w:cs="Calibri"/>
          <w:rtl/>
          <w:lang w:bidi="ar-SA"/>
        </w:rPr>
        <w:t xml:space="preserve">لمرونة </w:t>
      </w:r>
      <w:r w:rsidR="00BB459A" w:rsidRPr="002E333A">
        <w:rPr>
          <w:rFonts w:ascii="Calibri" w:eastAsia="Calibri" w:hAnsi="Calibri" w:cs="Calibri"/>
          <w:rtl/>
          <w:lang w:bidi="ar-SA"/>
        </w:rPr>
        <w:t>الهوامش</w:t>
      </w:r>
      <w:r w:rsidRPr="002E333A">
        <w:rPr>
          <w:rFonts w:ascii="Calibri" w:eastAsia="Calibri" w:hAnsi="Calibri" w:cs="Calibri"/>
          <w:rtl/>
          <w:lang w:bidi="ar-SA"/>
        </w:rPr>
        <w:t xml:space="preserve"> (الشكل 4).</w:t>
      </w:r>
    </w:p>
    <w:p w:rsidR="00DB16B4" w:rsidRPr="002E333A" w:rsidRDefault="00DB16B4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183A04" w:rsidRPr="002E333A" w:rsidRDefault="00183A04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183A04" w:rsidRPr="002E333A" w:rsidRDefault="00183A04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183A04" w:rsidRPr="002E333A" w:rsidRDefault="00183A04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الشكل 4: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 xml:space="preserve">* </w:t>
      </w:r>
      <w:r w:rsidR="00BB459A" w:rsidRPr="002E333A">
        <w:rPr>
          <w:rFonts w:ascii="Calibri" w:eastAsia="Calibri" w:hAnsi="Calibri" w:cs="Calibri"/>
          <w:rtl/>
          <w:lang w:bidi="ar-SA"/>
        </w:rPr>
        <w:t>التغيرات</w:t>
      </w:r>
      <w:r w:rsidRPr="002E333A">
        <w:rPr>
          <w:rFonts w:ascii="Calibri" w:eastAsia="Calibri" w:hAnsi="Calibri" w:cs="Calibri"/>
          <w:rtl/>
          <w:lang w:bidi="ar-SA"/>
        </w:rPr>
        <w:t xml:space="preserve"> في تأثير العوامل المختلفة على تغير </w:t>
      </w:r>
      <w:r w:rsidR="00BB459A" w:rsidRPr="002E333A">
        <w:rPr>
          <w:rFonts w:ascii="Calibri" w:eastAsia="Calibri" w:hAnsi="Calibri" w:cs="Calibri"/>
          <w:rtl/>
          <w:lang w:bidi="ar-SA"/>
        </w:rPr>
        <w:t>هوامش الائتمان</w:t>
      </w:r>
      <w:r w:rsidRPr="002E333A">
        <w:rPr>
          <w:rFonts w:ascii="Calibri" w:eastAsia="Calibri" w:hAnsi="Calibri" w:cs="Calibri"/>
          <w:rtl/>
          <w:lang w:bidi="ar-SA"/>
        </w:rPr>
        <w:t>.</w:t>
      </w:r>
    </w:p>
    <w:p w:rsidR="00C74141" w:rsidRPr="002E333A" w:rsidRDefault="00EB3C83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772606" cy="3735238"/>
            <wp:effectExtent l="0" t="0" r="0" b="17780"/>
            <wp:docPr id="11" name="תרשים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4141" w:rsidRPr="002E333A" w:rsidRDefault="00EB3C83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bookmarkStart w:id="0" w:name="_GoBack"/>
      <w:r w:rsidRPr="002E333A">
        <w:rPr>
          <w:rFonts w:ascii="Calibri" w:hAnsi="Calibri" w:cs="Calibri"/>
          <w:noProof/>
        </w:rPr>
        <w:drawing>
          <wp:inline distT="0" distB="0" distL="0" distR="0">
            <wp:extent cx="5773420" cy="3485071"/>
            <wp:effectExtent l="0" t="0" r="17780" b="1270"/>
            <wp:docPr id="12" name="תרשים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DB16B4" w:rsidRPr="002E333A" w:rsidRDefault="00EB3C83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</w:rPr>
        <w:lastRenderedPageBreak/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BB459A" w:rsidRPr="002E333A">
        <w:rPr>
          <w:rFonts w:ascii="Calibri" w:eastAsia="Calibri" w:hAnsi="Calibri" w:cs="Calibri"/>
          <w:rtl/>
          <w:lang w:bidi="ar-SA"/>
        </w:rPr>
        <w:t>السلبية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المساهمة في مرونة أو </w:t>
      </w:r>
      <w:r w:rsidR="00BB459A" w:rsidRPr="002E333A">
        <w:rPr>
          <w:rFonts w:ascii="Calibri" w:eastAsia="Calibri" w:hAnsi="Calibri" w:cs="Calibri"/>
          <w:rtl/>
          <w:lang w:bidi="ar-SA"/>
        </w:rPr>
        <w:t xml:space="preserve">تخفيف </w:t>
      </w:r>
      <w:r w:rsidR="00183A04" w:rsidRPr="002E333A">
        <w:rPr>
          <w:rFonts w:ascii="Calibri" w:eastAsia="Calibri" w:hAnsi="Calibri" w:cs="Calibri"/>
          <w:rtl/>
          <w:lang w:bidi="ar-SA"/>
        </w:rPr>
        <w:t>هوامش</w:t>
      </w:r>
      <w:r w:rsidR="00BB459A" w:rsidRPr="002E333A">
        <w:rPr>
          <w:rFonts w:ascii="Calibri" w:eastAsia="Calibri" w:hAnsi="Calibri" w:cs="Calibri"/>
          <w:rtl/>
          <w:lang w:bidi="ar-SA"/>
        </w:rPr>
        <w:t>،</w:t>
      </w:r>
      <w:r w:rsidRPr="002E333A">
        <w:rPr>
          <w:rFonts w:ascii="Calibri" w:eastAsia="Calibri" w:hAnsi="Calibri" w:cs="Calibri"/>
          <w:rtl/>
          <w:lang w:bidi="ar-SA"/>
        </w:rPr>
        <w:t xml:space="preserve"> والعكس صحيح.</w:t>
      </w:r>
    </w:p>
    <w:sectPr w:rsidR="00DB16B4" w:rsidRPr="002E333A" w:rsidSect="00CC24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3C83">
      <w:pPr>
        <w:spacing w:after="0" w:line="240" w:lineRule="auto"/>
      </w:pPr>
      <w:r>
        <w:separator/>
      </w:r>
    </w:p>
  </w:endnote>
  <w:endnote w:type="continuationSeparator" w:id="0">
    <w:p w:rsidR="00000000" w:rsidRDefault="00EB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EB3C83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EB3C83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104E070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EB3C83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545801DB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EB3C83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5100A07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EB3C83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733AEC51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BC" w:rsidRDefault="00EB3C83" w:rsidP="00E04682">
      <w:pPr>
        <w:spacing w:after="0" w:line="240" w:lineRule="auto"/>
      </w:pPr>
      <w:r>
        <w:separator/>
      </w:r>
    </w:p>
  </w:footnote>
  <w:footnote w:type="continuationSeparator" w:id="0">
    <w:p w:rsidR="00152EBC" w:rsidRDefault="00EB3C83" w:rsidP="00E04682">
      <w:pPr>
        <w:spacing w:after="0" w:line="240" w:lineRule="auto"/>
      </w:pPr>
      <w:r>
        <w:continuationSeparator/>
      </w:r>
    </w:p>
  </w:footnote>
  <w:footnote w:id="1">
    <w:p w:rsidR="00C74141" w:rsidRPr="00C74141" w:rsidRDefault="00EB3C83" w:rsidP="00C74141">
      <w:pPr>
        <w:pStyle w:val="FootnoteText"/>
        <w:ind w:left="-58"/>
        <w:rPr>
          <w:rFonts w:asciiTheme="minorHAnsi" w:hAnsiTheme="minorHAnsi" w:cstheme="minorHAnsi"/>
          <w:sz w:val="18"/>
          <w:szCs w:val="18"/>
          <w:rtl/>
        </w:rPr>
      </w:pPr>
      <w:r w:rsidRPr="00C7414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74141">
        <w:rPr>
          <w:rFonts w:asciiTheme="minorHAnsi" w:hAnsiTheme="minorHAnsi" w:cstheme="minorHAnsi"/>
          <w:sz w:val="18"/>
          <w:szCs w:val="18"/>
          <w:rtl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يُحسب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بالفرق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بين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نسبة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ونسبة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السلبية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الأسئلة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المتعلقة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بالطلب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على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اعتبرت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زاد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زاد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إيجابية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بينما اعتبرت الإجابات 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انخفض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انخفض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سلبية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بحيث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زيادة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الطلب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على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صحيح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الأسئلة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المتعلقة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بعرض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أي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سياسة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توفير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وشروطه،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تم اعتبار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تشديد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التشديد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إيجابية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بينما اعتبر إجابات 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المرونة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مرونة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سلبية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بحيث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تشديد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سياسة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أو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شروطه،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صحيح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وُزِّعت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وفق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لحصة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بنك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شريحة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ائتمان</w:t>
      </w:r>
      <w:r w:rsidR="00DB16B4" w:rsidRPr="00DB16B4">
        <w:rPr>
          <w:rFonts w:asciiTheme="minorHAnsi" w:hAnsiTheme="minorHAnsi" w:cs="Calibri"/>
          <w:sz w:val="18"/>
          <w:szCs w:val="18"/>
          <w:rtl/>
          <w:lang w:bidi="ar-SA"/>
        </w:rPr>
        <w:t>.</w:t>
      </w:r>
    </w:p>
    <w:p w:rsidR="00C74141" w:rsidRPr="00C74141" w:rsidRDefault="00EB3C83" w:rsidP="00C74141">
      <w:pPr>
        <w:pStyle w:val="FootnoteText"/>
        <w:ind w:left="-58"/>
        <w:rPr>
          <w:rFonts w:asciiTheme="minorHAnsi" w:hAnsiTheme="minorHAnsi" w:cstheme="minorHAnsi"/>
          <w:sz w:val="18"/>
          <w:szCs w:val="18"/>
          <w:rtl/>
        </w:rPr>
      </w:pPr>
      <w:r w:rsidRPr="00C74141">
        <w:rPr>
          <w:rFonts w:asciiTheme="minorHAnsi" w:hAnsiTheme="minorHAnsi" w:cstheme="minorHAnsi"/>
          <w:sz w:val="18"/>
          <w:szCs w:val="18"/>
          <w:rtl/>
        </w:rPr>
        <w:t xml:space="preserve"> </w:t>
      </w:r>
    </w:p>
  </w:footnote>
  <w:footnote w:id="2">
    <w:p w:rsidR="00C74141" w:rsidRPr="00C74141" w:rsidRDefault="00EB3C83" w:rsidP="00183A04">
      <w:pPr>
        <w:pStyle w:val="FootnoteText"/>
        <w:ind w:left="-64"/>
        <w:rPr>
          <w:rFonts w:asciiTheme="minorHAnsi" w:hAnsiTheme="minorHAnsi" w:cstheme="minorHAnsi"/>
          <w:sz w:val="18"/>
          <w:szCs w:val="18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يُعرّف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والعقارات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وفق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للتصنيف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الموحد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للقطاعات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الاقتصادية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الصادر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دا</w:t>
      </w:r>
      <w:r w:rsidR="00BB459A">
        <w:rPr>
          <w:rFonts w:asciiTheme="minorHAnsi" w:hAnsiTheme="minorHAnsi" w:cs="Times New Roman" w:hint="cs"/>
          <w:sz w:val="16"/>
          <w:szCs w:val="16"/>
          <w:rtl/>
          <w:lang w:val="en-GB" w:bidi="ar-SA"/>
        </w:rPr>
        <w:t>ئ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رة الاحصاء المركزية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(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الفئة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80799D">
        <w:rPr>
          <w:rFonts w:asciiTheme="minorHAnsi" w:hAnsiTheme="minorHAnsi" w:cstheme="minorHAnsi"/>
          <w:sz w:val="16"/>
          <w:szCs w:val="16"/>
        </w:rPr>
        <w:t>F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)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رئيسي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تشييد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المنشآت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والمباني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والبنية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التحتية،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بينما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(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الفئة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80799D">
        <w:rPr>
          <w:rFonts w:asciiTheme="minorHAnsi" w:hAnsiTheme="minorHAnsi" w:cstheme="minorHAnsi"/>
          <w:sz w:val="16"/>
          <w:szCs w:val="16"/>
        </w:rPr>
        <w:t>L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)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الأنشطة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العقارية،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ولا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سيما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وبيع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وتأجير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وتشغيل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ولا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تطوير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مشاريع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المعدة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للبيع</w:t>
      </w:r>
      <w:r w:rsidR="004C64EC" w:rsidRPr="004C64EC">
        <w:rPr>
          <w:rFonts w:asciiTheme="minorHAnsi" w:hAnsiTheme="minorHAnsi" w:cs="Calibri"/>
          <w:sz w:val="18"/>
          <w:szCs w:val="18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FD58ACD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E16CA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A1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AD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D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EC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02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E6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EC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A91E689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FE6892E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604A81F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1DE8D50C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E108B2B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1C682B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92D1A4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FBBAB23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34647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6F8172F"/>
    <w:multiLevelType w:val="hybridMultilevel"/>
    <w:tmpl w:val="4A98379A"/>
    <w:lvl w:ilvl="0" w:tplc="F828C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2C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0C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A9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27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48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E4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80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1806"/>
    <w:multiLevelType w:val="hybridMultilevel"/>
    <w:tmpl w:val="B210C3D4"/>
    <w:lvl w:ilvl="0" w:tplc="F1D2C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5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6B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E0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E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20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A5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1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A4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A6A469C2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E3E438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CEBCC12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C166DA3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327C1BA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E40E6B2A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BDA0595A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583C4724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BE905320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C7EE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E6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0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09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CE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83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7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CD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CB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22A0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E6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C1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0F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42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09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8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28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09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2EBC"/>
    <w:rsid w:val="00156135"/>
    <w:rsid w:val="00156C21"/>
    <w:rsid w:val="00162DCC"/>
    <w:rsid w:val="00166DBC"/>
    <w:rsid w:val="001705B9"/>
    <w:rsid w:val="00170DDB"/>
    <w:rsid w:val="00183A04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333A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64EC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403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A5C37"/>
    <w:rsid w:val="007B2299"/>
    <w:rsid w:val="007B2E35"/>
    <w:rsid w:val="007B64D4"/>
    <w:rsid w:val="007C40B7"/>
    <w:rsid w:val="007C41CE"/>
    <w:rsid w:val="007E3CCC"/>
    <w:rsid w:val="00803D2A"/>
    <w:rsid w:val="008058DF"/>
    <w:rsid w:val="0080799D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355D"/>
    <w:rsid w:val="00914AC1"/>
    <w:rsid w:val="00921F03"/>
    <w:rsid w:val="00945654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0653"/>
    <w:rsid w:val="009C6D0D"/>
    <w:rsid w:val="009E2FD2"/>
    <w:rsid w:val="00A03993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D06A6"/>
    <w:rsid w:val="00AE7479"/>
    <w:rsid w:val="00AF1FA7"/>
    <w:rsid w:val="00B0362F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459A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74141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B16B4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B3C83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72180"/>
    <w:rsid w:val="00F8256F"/>
    <w:rsid w:val="00F95970"/>
    <w:rsid w:val="00FB0F06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NormalWeb">
    <w:name w:val="Normal (Web)"/>
    <w:basedOn w:val="Normal"/>
    <w:uiPriority w:val="99"/>
    <w:unhideWhenUsed/>
    <w:rsid w:val="00C7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141"/>
    <w:pPr>
      <w:widowControl w:val="0"/>
      <w:bidi/>
      <w:spacing w:after="0" w:line="240" w:lineRule="auto"/>
      <w:ind w:left="340"/>
      <w:contextualSpacing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141"/>
    <w:rPr>
      <w:rFonts w:ascii="David" w:eastAsia="Calibri" w:hAnsi="David" w:cs="Davi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1!PivotTable1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משקי בית וסה"כ עסקים 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301223307671993"/>
          <c:y val="2.65658023113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4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1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2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3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4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5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6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7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8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9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0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1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2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3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4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9.1956889614755177E-2"/>
          <c:y val="0.11988237072460184"/>
          <c:w val="0.88143463482599471"/>
          <c:h val="0.5550033419735576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1'!$B$3:$B$4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8F3-4C77-942D-D9B33EDD3FA6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8F3-4C77-942D-D9B33EDD3FA6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8F3-4C77-942D-D9B33EDD3FA6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8F3-4C77-942D-D9B33EDD3FA6}"/>
              </c:ext>
            </c:extLst>
          </c:dPt>
          <c:cat>
            <c:multiLvlStrRef>
              <c:f>'טבלאות תרשים 1'!$A$5:$A$14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1'!$B$5:$B$14</c:f>
              <c:numCache>
                <c:formatCode>General</c:formatCode>
                <c:ptCount val="7"/>
                <c:pt idx="0">
                  <c:v>48.888059116097779</c:v>
                </c:pt>
                <c:pt idx="1">
                  <c:v>47.538175828704922</c:v>
                </c:pt>
                <c:pt idx="2">
                  <c:v>24.742823519951543</c:v>
                </c:pt>
                <c:pt idx="3">
                  <c:v>12.346153461312346</c:v>
                </c:pt>
                <c:pt idx="4">
                  <c:v>-21.752485331078248</c:v>
                </c:pt>
                <c:pt idx="5">
                  <c:v>2.2181547778088726</c:v>
                </c:pt>
                <c:pt idx="6">
                  <c:v>24.758068905899034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8F3-4C77-942D-D9B33EDD3FA6}"/>
            </c:ext>
          </c:extLst>
        </c:ser>
        <c:ser>
          <c:idx val="1"/>
          <c:order val="1"/>
          <c:tx>
            <c:strRef>
              <c:f>'טבלאות תרשים 1'!$C$3:$C$4</c:f>
              <c:strCache>
                <c:ptCount val="1"/>
                <c:pt idx="0">
                  <c:v>עסקים - סך הכל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88F3-4C77-942D-D9B33EDD3FA6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88F3-4C77-942D-D9B33EDD3FA6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88F3-4C77-942D-D9B33EDD3FA6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0-88F3-4C77-942D-D9B33EDD3FA6}"/>
              </c:ext>
            </c:extLst>
          </c:dPt>
          <c:cat>
            <c:multiLvlStrRef>
              <c:f>'טבלאות תרשים 1'!$A$5:$A$14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1'!$C$5:$C$14</c:f>
              <c:numCache>
                <c:formatCode>General</c:formatCode>
                <c:ptCount val="7"/>
                <c:pt idx="0">
                  <c:v>-33.353123244700178</c:v>
                </c:pt>
                <c:pt idx="1">
                  <c:v>0</c:v>
                </c:pt>
                <c:pt idx="2">
                  <c:v>0</c:v>
                </c:pt>
                <c:pt idx="3">
                  <c:v>0.54262305339565897</c:v>
                </c:pt>
                <c:pt idx="4">
                  <c:v>-25.643322936823068</c:v>
                </c:pt>
                <c:pt idx="5">
                  <c:v>29.102099511116407</c:v>
                </c:pt>
                <c:pt idx="6">
                  <c:v>11.41733429104567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88F3-4C77-942D-D9B33EDD3FA6}"/>
            </c:ext>
          </c:extLst>
        </c:ser>
        <c:ser>
          <c:idx val="2"/>
          <c:order val="2"/>
          <c:tx>
            <c:strRef>
              <c:f>'טבלאות תרשים 1'!$D$3:$D$4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88F3-4C77-942D-D9B33EDD3FA6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88F3-4C77-942D-D9B33EDD3FA6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88F3-4C77-942D-D9B33EDD3FA6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88F3-4C77-942D-D9B33EDD3FA6}"/>
              </c:ext>
            </c:extLst>
          </c:dPt>
          <c:cat>
            <c:multiLvlStrRef>
              <c:f>'טבלאות תרשים 1'!$A$5:$A$14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1'!$D$5:$D$14</c:f>
              <c:numCache>
                <c:formatCode>General</c:formatCode>
                <c:ptCount val="7"/>
                <c:pt idx="0">
                  <c:v>33.916860796901751</c:v>
                </c:pt>
                <c:pt idx="1">
                  <c:v>-25.405358684950812</c:v>
                </c:pt>
                <c:pt idx="2">
                  <c:v>13.135229482573729</c:v>
                </c:pt>
                <c:pt idx="3">
                  <c:v>-3.0185925688909441</c:v>
                </c:pt>
                <c:pt idx="4">
                  <c:v>4.1263618851876211</c:v>
                </c:pt>
                <c:pt idx="5">
                  <c:v>24.913346598424567</c:v>
                </c:pt>
                <c:pt idx="6">
                  <c:v>30.914512449054573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88F3-4C77-942D-D9B33EDD3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5308968"/>
        <c:axId val="765309296"/>
      </c:lineChart>
      <c:catAx>
        <c:axId val="765308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65309296"/>
        <c:crossesAt val="-100"/>
        <c:auto val="1"/>
        <c:lblAlgn val="ctr"/>
        <c:lblOffset val="100"/>
        <c:noMultiLvlLbl val="0"/>
      </c:catAx>
      <c:valAx>
        <c:axId val="765309296"/>
        <c:scaling>
          <c:orientation val="minMax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653089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620518807196124E-2"/>
          <c:y val="0.87942094513879077"/>
          <c:w val="0.94877243975365411"/>
          <c:h val="9.30335824137012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1!PivotTable2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עסקים לפי גודל עסק וענפי הבינוי והנדל"ן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41695058908711469"/>
          <c:y val="2.62295081967213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  <a:prstDash val="dash"/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  <a:prstDash val="dash"/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</c:marker>
      </c:pivotFmt>
      <c:pivotFmt>
        <c:idx val="8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2060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rgbClr val="002060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rgbClr val="357C32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1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2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3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4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5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6"/>
        <c:spPr>
          <a:solidFill>
            <a:schemeClr val="accent1"/>
          </a:solidFill>
          <a:ln w="28575" cap="rnd">
            <a:solidFill>
              <a:srgbClr val="002060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7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8"/>
        <c:spPr>
          <a:solidFill>
            <a:schemeClr val="accent1"/>
          </a:solidFill>
          <a:ln w="28575" cap="rnd">
            <a:solidFill>
              <a:srgbClr val="002060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9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0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1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2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3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4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5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  <a:prstDash val="dash"/>
            </a:ln>
            <a:effectLst/>
          </c:spPr>
        </c:marker>
      </c:pivotFmt>
      <c:pivotFmt>
        <c:idx val="46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7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8"/>
        <c:spPr>
          <a:solidFill>
            <a:schemeClr val="accent1"/>
          </a:solidFill>
          <a:ln w="28575" cap="rnd">
            <a:solidFill>
              <a:srgbClr val="357C32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9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0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1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2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3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4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5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6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7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9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60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1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2"/>
        <c:spPr>
          <a:solidFill>
            <a:schemeClr val="accent1"/>
          </a:solidFill>
          <a:ln w="28575" cap="rnd">
            <a:solidFill>
              <a:srgbClr val="002060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3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4"/>
        <c:spPr>
          <a:solidFill>
            <a:schemeClr val="accent1"/>
          </a:solidFill>
          <a:ln w="28575" cap="rnd">
            <a:solidFill>
              <a:srgbClr val="002060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6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7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8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9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70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1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  <a:prstDash val="dash"/>
            </a:ln>
            <a:effectLst/>
          </c:spPr>
        </c:marker>
      </c:pivotFmt>
      <c:pivotFmt>
        <c:idx val="72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3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4"/>
        <c:spPr>
          <a:solidFill>
            <a:schemeClr val="accent1"/>
          </a:solidFill>
          <a:ln w="28575" cap="rnd">
            <a:solidFill>
              <a:srgbClr val="357C32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6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7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8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9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9.1772679482459971E-2"/>
          <c:y val="0.12758331503382794"/>
          <c:w val="0.86695722152967347"/>
          <c:h val="0.554836732364976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1'!$G$3:$G$4</c:f>
              <c:strCache>
                <c:ptCount val="1"/>
                <c:pt idx="0">
                  <c:v>אשראי לענף הבינוי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4B5-4353-9721-DA4C33619959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1'!$G$5:$G$14</c:f>
              <c:numCache>
                <c:formatCode>General</c:formatCode>
                <c:ptCount val="7"/>
                <c:pt idx="0">
                  <c:v>-7.3938900949778184</c:v>
                </c:pt>
                <c:pt idx="1">
                  <c:v>28.337336286999999</c:v>
                </c:pt>
                <c:pt idx="2">
                  <c:v>48.124578623855626</c:v>
                </c:pt>
                <c:pt idx="3">
                  <c:v>0</c:v>
                </c:pt>
                <c:pt idx="4">
                  <c:v>-28.749985218172501</c:v>
                </c:pt>
                <c:pt idx="5">
                  <c:v>34.587427588996235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4B5-4353-9721-DA4C33619959}"/>
            </c:ext>
          </c:extLst>
        </c:ser>
        <c:ser>
          <c:idx val="1"/>
          <c:order val="1"/>
          <c:tx>
            <c:strRef>
              <c:f>'טבלאות תרשים 1'!$H$3:$H$4</c:f>
              <c:strCache>
                <c:ptCount val="1"/>
                <c:pt idx="0">
                  <c:v>אשראי לענף הנדל"ן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0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2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1'!$H$5:$H$14</c:f>
              <c:numCache>
                <c:formatCode>General</c:formatCode>
                <c:ptCount val="7"/>
                <c:pt idx="0">
                  <c:v>-40.600966908162405</c:v>
                </c:pt>
                <c:pt idx="1">
                  <c:v>0</c:v>
                </c:pt>
                <c:pt idx="2">
                  <c:v>3.7403553282074808</c:v>
                </c:pt>
                <c:pt idx="3">
                  <c:v>-36.911376615910733</c:v>
                </c:pt>
                <c:pt idx="4">
                  <c:v>-30.668856992184015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F4B5-4353-9721-DA4C33619959}"/>
            </c:ext>
          </c:extLst>
        </c:ser>
        <c:ser>
          <c:idx val="2"/>
          <c:order val="2"/>
          <c:tx>
            <c:strRef>
              <c:f>'טבלאות תרשים 1'!$I$3:$I$4</c:f>
              <c:strCache>
                <c:ptCount val="1"/>
                <c:pt idx="0">
                  <c:v>אשראי לעסקים בינוניים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1'!$I$5:$I$14</c:f>
              <c:numCache>
                <c:formatCode>General</c:formatCode>
                <c:ptCount val="7"/>
                <c:pt idx="0">
                  <c:v>-32.983328747967015</c:v>
                </c:pt>
                <c:pt idx="1">
                  <c:v>34.783672077965214</c:v>
                </c:pt>
                <c:pt idx="2">
                  <c:v>35.081598319350817</c:v>
                </c:pt>
                <c:pt idx="3">
                  <c:v>3.3786240640067571</c:v>
                </c:pt>
                <c:pt idx="4">
                  <c:v>0</c:v>
                </c:pt>
                <c:pt idx="5">
                  <c:v>0</c:v>
                </c:pt>
                <c:pt idx="6">
                  <c:v>12.101437257951595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F4B5-4353-9721-DA4C33619959}"/>
            </c:ext>
          </c:extLst>
        </c:ser>
        <c:ser>
          <c:idx val="3"/>
          <c:order val="3"/>
          <c:tx>
            <c:strRef>
              <c:f>'טבלאות תרשים 1'!$J$3:$J$4</c:f>
              <c:strCache>
                <c:ptCount val="1"/>
                <c:pt idx="0">
                  <c:v>אשראי לעסקים גדולים</c:v>
                </c:pt>
              </c:strCache>
            </c:strRef>
          </c:tx>
          <c:spPr>
            <a:ln w="28575" cap="rnd">
              <a:solidFill>
                <a:srgbClr val="357C3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57C32"/>
              </a:solidFill>
              <a:ln w="9525">
                <a:solidFill>
                  <a:srgbClr val="357C32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  <a:prstDash val="dash"/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E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0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2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4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1'!$J$5:$J$14</c:f>
              <c:numCache>
                <c:formatCode>General</c:formatCode>
                <c:ptCount val="7"/>
                <c:pt idx="0">
                  <c:v>-52.700357952258102</c:v>
                </c:pt>
                <c:pt idx="1">
                  <c:v>0</c:v>
                </c:pt>
                <c:pt idx="2">
                  <c:v>1.4931210104955206</c:v>
                </c:pt>
                <c:pt idx="3">
                  <c:v>0</c:v>
                </c:pt>
                <c:pt idx="4">
                  <c:v>-29.393707080735457</c:v>
                </c:pt>
                <c:pt idx="5">
                  <c:v>38.450974301638453</c:v>
                </c:pt>
                <c:pt idx="6">
                  <c:v>9.4252038936094245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5-F4B5-4353-9721-DA4C33619959}"/>
            </c:ext>
          </c:extLst>
        </c:ser>
        <c:ser>
          <c:idx val="4"/>
          <c:order val="4"/>
          <c:tx>
            <c:strRef>
              <c:f>'טבלאות תרשים 1'!$K$3:$K$4</c:f>
              <c:strCache>
                <c:ptCount val="1"/>
                <c:pt idx="0">
                  <c:v>אשראי לעסקים זעירים וקטנים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7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9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B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D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1'!$K$5:$K$14</c:f>
              <c:numCache>
                <c:formatCode>General</c:formatCode>
                <c:ptCount val="7"/>
                <c:pt idx="0">
                  <c:v>29.569823856954837</c:v>
                </c:pt>
                <c:pt idx="1">
                  <c:v>56.930939943172277</c:v>
                </c:pt>
                <c:pt idx="2">
                  <c:v>8.7490614426825015</c:v>
                </c:pt>
                <c:pt idx="3">
                  <c:v>14.450496214741044</c:v>
                </c:pt>
                <c:pt idx="4">
                  <c:v>31.675195576126701</c:v>
                </c:pt>
                <c:pt idx="5">
                  <c:v>43.506506428756495</c:v>
                </c:pt>
                <c:pt idx="6">
                  <c:v>21.705452470778294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E-F4B5-4353-9721-DA4C33619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1717416"/>
        <c:axId val="771717744"/>
      </c:lineChart>
      <c:catAx>
        <c:axId val="77171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71717744"/>
        <c:crossesAt val="-100"/>
        <c:auto val="0"/>
        <c:lblAlgn val="ctr"/>
        <c:lblOffset val="100"/>
        <c:noMultiLvlLbl val="0"/>
      </c:catAx>
      <c:valAx>
        <c:axId val="771717744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717174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"/>
          <c:y val="0.8754367710012072"/>
          <c:w val="1"/>
          <c:h val="0.116347005590356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2!גרף 2 א 1</c:name>
    <c:fmtId val="-1"/>
  </c:pivotSource>
  <c:chart>
    <c:autoTitleDeleted val="1"/>
    <c:pivotFmts>
      <c:pivotFmt>
        <c:idx val="0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pPr>
            <a:noFill/>
            <a:ln w="9525">
              <a:noFill/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8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7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9.3376076537656949E-2"/>
          <c:y val="8.3250330888126153E-2"/>
          <c:w val="0.91686650846239826"/>
          <c:h val="0.63624415154627412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2'!$U$3:$U$4</c:f>
              <c:strCache>
                <c:ptCount val="1"/>
                <c:pt idx="0">
                  <c:v>מטרת האשראי או המניע לאשראי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2'!$U$5:$U$12</c:f>
              <c:numCache>
                <c:formatCode>General</c:formatCode>
                <c:ptCount val="6"/>
                <c:pt idx="0">
                  <c:v>14.771314634017255</c:v>
                </c:pt>
                <c:pt idx="1">
                  <c:v>0.84897133963660409</c:v>
                </c:pt>
                <c:pt idx="2">
                  <c:v>14.726132104190548</c:v>
                </c:pt>
                <c:pt idx="3">
                  <c:v>12.772119113839507</c:v>
                </c:pt>
                <c:pt idx="4">
                  <c:v>-1.1099093383044396</c:v>
                </c:pt>
                <c:pt idx="5">
                  <c:v>6.3200924592736802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6D-4F7D-95F2-E3A31FD4FD16}"/>
            </c:ext>
          </c:extLst>
        </c:ser>
        <c:ser>
          <c:idx val="2"/>
          <c:order val="2"/>
          <c:tx>
            <c:strRef>
              <c:f>'טבלאות תרשים 2'!$V$3:$V$4</c:f>
              <c:strCache>
                <c:ptCount val="1"/>
                <c:pt idx="0">
                  <c:v>רמת הריבית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2'!$V$5:$V$12</c:f>
              <c:numCache>
                <c:formatCode>General</c:formatCode>
                <c:ptCount val="6"/>
                <c:pt idx="0">
                  <c:v>-26.845903585922152</c:v>
                </c:pt>
                <c:pt idx="1">
                  <c:v>-7.9728417619681089</c:v>
                </c:pt>
                <c:pt idx="2">
                  <c:v>4.1942509904916117</c:v>
                </c:pt>
                <c:pt idx="3">
                  <c:v>-14.382842026341789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6D-4F7D-95F2-E3A31FD4FD16}"/>
            </c:ext>
          </c:extLst>
        </c:ser>
        <c:ser>
          <c:idx val="3"/>
          <c:order val="3"/>
          <c:tx>
            <c:strRef>
              <c:f>'טבלאות תרשים 2'!$W$3:$W$4</c:f>
              <c:strCache>
                <c:ptCount val="1"/>
                <c:pt idx="0">
                  <c:v>שימוש בחלופות מימון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2'!$W$5:$W$12</c:f>
              <c:numCache>
                <c:formatCode>General</c:formatCode>
                <c:ptCount val="6"/>
                <c:pt idx="0">
                  <c:v>-16.097905765818176</c:v>
                </c:pt>
                <c:pt idx="1">
                  <c:v>-3.6841858183852634</c:v>
                </c:pt>
                <c:pt idx="2">
                  <c:v>-1.9631981336210735</c:v>
                </c:pt>
                <c:pt idx="3">
                  <c:v>-8.2575308782341672</c:v>
                </c:pt>
                <c:pt idx="4">
                  <c:v>0</c:v>
                </c:pt>
                <c:pt idx="5">
                  <c:v>-8.0562649689919432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6D-4F7D-95F2-E3A31FD4FD16}"/>
            </c:ext>
          </c:extLst>
        </c:ser>
        <c:ser>
          <c:idx val="4"/>
          <c:order val="4"/>
          <c:tx>
            <c:strRef>
              <c:f>'טבלאות תרשים 2'!$X$3:$X$4</c:f>
              <c:strCache>
                <c:ptCount val="1"/>
                <c:pt idx="0">
                  <c:v>מלאי והון חוזר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2'!$X$5:$X$12</c:f>
              <c:numCache>
                <c:formatCode>General</c:formatCode>
                <c:ptCount val="6"/>
                <c:pt idx="0">
                  <c:v>64.945700292679348</c:v>
                </c:pt>
                <c:pt idx="1">
                  <c:v>18.859653665524561</c:v>
                </c:pt>
                <c:pt idx="2">
                  <c:v>18.708931020162581</c:v>
                </c:pt>
                <c:pt idx="3">
                  <c:v>34.283940279822879</c:v>
                </c:pt>
                <c:pt idx="4">
                  <c:v>6.5348728305261394</c:v>
                </c:pt>
                <c:pt idx="5">
                  <c:v>6.5768454627934227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6D-4F7D-95F2-E3A31FD4F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35468432"/>
        <c:axId val="935465480"/>
      </c:barChart>
      <c:lineChart>
        <c:grouping val="standard"/>
        <c:varyColors val="0"/>
        <c:ser>
          <c:idx val="0"/>
          <c:order val="0"/>
          <c:tx>
            <c:strRef>
              <c:f>'טבלאות תרשים 2'!$T$3:$T$4</c:f>
              <c:strCache>
                <c:ptCount val="1"/>
                <c:pt idx="0">
                  <c:v>השינוי שחל בביקוש לאשראי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2'!$T$5:$T$12</c:f>
              <c:numCache>
                <c:formatCode>General</c:formatCode>
                <c:ptCount val="6"/>
                <c:pt idx="0">
                  <c:v>29.569823856954837</c:v>
                </c:pt>
                <c:pt idx="1">
                  <c:v>56.930939943172277</c:v>
                </c:pt>
                <c:pt idx="2">
                  <c:v>8.7490614426825015</c:v>
                </c:pt>
                <c:pt idx="3">
                  <c:v>14.450496214741044</c:v>
                </c:pt>
                <c:pt idx="4">
                  <c:v>31.675195576126701</c:v>
                </c:pt>
                <c:pt idx="5">
                  <c:v>43.506506428756495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66D-4F7D-95F2-E3A31FD4F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68432"/>
        <c:axId val="935465480"/>
      </c:lineChart>
      <c:catAx>
        <c:axId val="93546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65480"/>
        <c:crosses val="autoZero"/>
        <c:auto val="1"/>
        <c:lblAlgn val="ctr"/>
        <c:lblOffset val="100"/>
        <c:noMultiLvlLbl val="0"/>
      </c:catAx>
      <c:valAx>
        <c:axId val="935465480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6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536859522994404"/>
          <c:w val="0.99966509710390239"/>
          <c:h val="0.12463129470235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א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2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מרווחים ברמת סיכון</a:t>
            </a:r>
            <a:r>
              <a:rPr lang="he-IL" sz="12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 לא גבוהה</a:t>
            </a:r>
            <a:endParaRPr lang="en-US" sz="12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3109459317585304"/>
          <c:y val="1.960883921767843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8.1872335958005249E-2"/>
          <c:y val="0.10431276598899712"/>
          <c:w val="0.85948010498687677"/>
          <c:h val="0.56705280484007292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3'!$B$3:$B$4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3'!$B$5:$B$12</c:f>
              <c:numCache>
                <c:formatCode>General</c:formatCode>
                <c:ptCount val="6"/>
                <c:pt idx="0">
                  <c:v>-66.090939345601726</c:v>
                </c:pt>
                <c:pt idx="1">
                  <c:v>-79.580551563</c:v>
                </c:pt>
                <c:pt idx="2">
                  <c:v>-94.450527062516642</c:v>
                </c:pt>
                <c:pt idx="3">
                  <c:v>-78.647516114293239</c:v>
                </c:pt>
                <c:pt idx="4">
                  <c:v>-43.78019288336268</c:v>
                </c:pt>
                <c:pt idx="5">
                  <c:v>-41.765474357874702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82-42FA-B884-D14AA4338A05}"/>
            </c:ext>
          </c:extLst>
        </c:ser>
        <c:ser>
          <c:idx val="1"/>
          <c:order val="1"/>
          <c:tx>
            <c:strRef>
              <c:f>'טבלאות תרשים 3'!$C$3:$C$4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3'!$C$5:$C$12</c:f>
              <c:numCache>
                <c:formatCode>General</c:formatCode>
                <c:ptCount val="6"/>
                <c:pt idx="0">
                  <c:v>-58.796929473517594</c:v>
                </c:pt>
                <c:pt idx="1">
                  <c:v>-63.531385119572938</c:v>
                </c:pt>
                <c:pt idx="2">
                  <c:v>4.8901452272706587</c:v>
                </c:pt>
                <c:pt idx="3">
                  <c:v>-7.715854731707716</c:v>
                </c:pt>
                <c:pt idx="4">
                  <c:v>43.354522974056643</c:v>
                </c:pt>
                <c:pt idx="5">
                  <c:v>20.758312942283034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82-42FA-B884-D14AA4338A05}"/>
            </c:ext>
          </c:extLst>
        </c:ser>
        <c:ser>
          <c:idx val="2"/>
          <c:order val="2"/>
          <c:tx>
            <c:strRef>
              <c:f>'טבלאות תרשים 3'!$D$3:$D$4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3'!$D$5:$D$12</c:f>
              <c:numCache>
                <c:formatCode>General</c:formatCode>
                <c:ptCount val="6"/>
                <c:pt idx="0">
                  <c:v>-91.242610371264973</c:v>
                </c:pt>
                <c:pt idx="1">
                  <c:v>-79.838715352179833</c:v>
                </c:pt>
                <c:pt idx="2">
                  <c:v>-93.983683746187964</c:v>
                </c:pt>
                <c:pt idx="3">
                  <c:v>-85.744179676257232</c:v>
                </c:pt>
                <c:pt idx="4">
                  <c:v>-45.2001184380712</c:v>
                </c:pt>
                <c:pt idx="5">
                  <c:v>-44.979466643434939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82-42FA-B884-D14AA4338A05}"/>
            </c:ext>
          </c:extLst>
        </c:ser>
        <c:ser>
          <c:idx val="3"/>
          <c:order val="3"/>
          <c:tx>
            <c:strRef>
              <c:f>'טבלאות תרשים 3'!$E$3:$E$4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3'!$E$5:$E$12</c:f>
              <c:numCache>
                <c:formatCode>General</c:formatCode>
                <c:ptCount val="6"/>
                <c:pt idx="0">
                  <c:v>-67.060992417932937</c:v>
                </c:pt>
                <c:pt idx="1">
                  <c:v>-73.533776930326468</c:v>
                </c:pt>
                <c:pt idx="2">
                  <c:v>-44.693977485946938</c:v>
                </c:pt>
                <c:pt idx="3">
                  <c:v>-94.407862908888816</c:v>
                </c:pt>
                <c:pt idx="4">
                  <c:v>-56.880553362244953</c:v>
                </c:pt>
                <c:pt idx="5">
                  <c:v>-57.625351631669496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782-42FA-B884-D14AA4338A05}"/>
            </c:ext>
          </c:extLst>
        </c:ser>
        <c:ser>
          <c:idx val="4"/>
          <c:order val="4"/>
          <c:tx>
            <c:strRef>
              <c:f>'טבלאות תרשים 3'!$F$3:$F$4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3'!$F$5:$F$12</c:f>
              <c:numCache>
                <c:formatCode>General</c:formatCode>
                <c:ptCount val="6"/>
                <c:pt idx="0">
                  <c:v>-81.333262546244001</c:v>
                </c:pt>
                <c:pt idx="1">
                  <c:v>-81.278122288756165</c:v>
                </c:pt>
                <c:pt idx="2">
                  <c:v>-82.366098035252904</c:v>
                </c:pt>
                <c:pt idx="3">
                  <c:v>-90.923836095154613</c:v>
                </c:pt>
                <c:pt idx="4">
                  <c:v>-46.395600701482437</c:v>
                </c:pt>
                <c:pt idx="5">
                  <c:v>-44.622633559044623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782-42FA-B884-D14AA4338A05}"/>
            </c:ext>
          </c:extLst>
        </c:ser>
        <c:ser>
          <c:idx val="5"/>
          <c:order val="5"/>
          <c:tx>
            <c:strRef>
              <c:f>'טבלאות תרשים 3'!$G$3:$G$4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3'!$G$5:$G$12</c:f>
              <c:numCache>
                <c:formatCode>General</c:formatCode>
                <c:ptCount val="6"/>
                <c:pt idx="0">
                  <c:v>-76.969999666023639</c:v>
                </c:pt>
                <c:pt idx="1">
                  <c:v>-59.69195148536123</c:v>
                </c:pt>
                <c:pt idx="2">
                  <c:v>-34.28655054213143</c:v>
                </c:pt>
                <c:pt idx="3">
                  <c:v>-75.1175800023737</c:v>
                </c:pt>
                <c:pt idx="4">
                  <c:v>25.14032274560056</c:v>
                </c:pt>
                <c:pt idx="5">
                  <c:v>-11.281446552788719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782-42FA-B884-D14AA4338A05}"/>
            </c:ext>
          </c:extLst>
        </c:ser>
        <c:ser>
          <c:idx val="6"/>
          <c:order val="6"/>
          <c:tx>
            <c:strRef>
              <c:f>'טבלאות תרשים 3'!$H$3:$H$4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3'!$H$5:$H$12</c:f>
              <c:numCache>
                <c:formatCode>General</c:formatCode>
                <c:ptCount val="6"/>
                <c:pt idx="0">
                  <c:v>-66.581487750299743</c:v>
                </c:pt>
                <c:pt idx="1">
                  <c:v>-58.388926487116777</c:v>
                </c:pt>
                <c:pt idx="2">
                  <c:v>-35.375446285729247</c:v>
                </c:pt>
                <c:pt idx="3">
                  <c:v>-25.139798099224581</c:v>
                </c:pt>
                <c:pt idx="4">
                  <c:v>-34.252416531197241</c:v>
                </c:pt>
                <c:pt idx="5">
                  <c:v>-11.768582368058842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782-42FA-B884-D14AA4338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24480"/>
        <c:axId val="935421528"/>
      </c:lineChart>
      <c:catAx>
        <c:axId val="93542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21528"/>
        <c:crosses val="autoZero"/>
        <c:auto val="1"/>
        <c:lblAlgn val="ctr"/>
        <c:lblOffset val="100"/>
        <c:noMultiLvlLbl val="0"/>
      </c:catAx>
      <c:valAx>
        <c:axId val="935421528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2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50708661417324E-3"/>
          <c:y val="0.84199949582573363"/>
          <c:w val="0.99454929133858272"/>
          <c:h val="0.158000504174266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ב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2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מרווחים ברמת סיכון גבוהה</a:t>
            </a:r>
            <a:endParaRPr lang="en-US" sz="12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937270877950069"/>
          <c:y val="3.2911208679560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7.6521515707885249E-2"/>
          <c:y val="0.10431276598899712"/>
          <c:w val="0.84580482504268883"/>
          <c:h val="0.5896516748965701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3'!$L$3:$L$4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3'!$L$5:$L$12</c:f>
              <c:numCache>
                <c:formatCode>General</c:formatCode>
                <c:ptCount val="6"/>
                <c:pt idx="0">
                  <c:v>2.184679518793446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-12.837426259961488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DD-46E8-811E-C6213574AD57}"/>
            </c:ext>
          </c:extLst>
        </c:ser>
        <c:ser>
          <c:idx val="1"/>
          <c:order val="1"/>
          <c:tx>
            <c:strRef>
              <c:f>'טבלאות תרשים 3'!$M$3:$M$4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3'!$M$5:$M$12</c:f>
              <c:numCache>
                <c:formatCode>General</c:formatCode>
                <c:ptCount val="6"/>
                <c:pt idx="0">
                  <c:v>13.1497960314263</c:v>
                </c:pt>
                <c:pt idx="1">
                  <c:v>21.27471974885745</c:v>
                </c:pt>
                <c:pt idx="2">
                  <c:v>40.095033866059431</c:v>
                </c:pt>
                <c:pt idx="3">
                  <c:v>14.838501792314839</c:v>
                </c:pt>
                <c:pt idx="4">
                  <c:v>20.803049915079196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DD-46E8-811E-C6213574AD57}"/>
            </c:ext>
          </c:extLst>
        </c:ser>
        <c:ser>
          <c:idx val="2"/>
          <c:order val="2"/>
          <c:tx>
            <c:strRef>
              <c:f>'טבלאות תרשים 3'!$N$3:$N$4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3'!$N$5:$N$12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DD-46E8-811E-C6213574AD57}"/>
            </c:ext>
          </c:extLst>
        </c:ser>
        <c:ser>
          <c:idx val="3"/>
          <c:order val="3"/>
          <c:tx>
            <c:strRef>
              <c:f>'טבלאות תרשים 3'!$O$3:$O$4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3'!$O$5:$O$12</c:f>
              <c:numCache>
                <c:formatCode>General</c:formatCode>
                <c:ptCount val="6"/>
                <c:pt idx="0">
                  <c:v>49.84993038145015</c:v>
                </c:pt>
                <c:pt idx="1">
                  <c:v>43.145480247956854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DD-46E8-811E-C6213574AD57}"/>
            </c:ext>
          </c:extLst>
        </c:ser>
        <c:ser>
          <c:idx val="4"/>
          <c:order val="4"/>
          <c:tx>
            <c:strRef>
              <c:f>'טבלאות תרשים 3'!$P$3:$P$4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3'!$P$5:$P$12</c:f>
              <c:numCache>
                <c:formatCode>General</c:formatCode>
                <c:ptCount val="6"/>
                <c:pt idx="0">
                  <c:v>10.375200383531126</c:v>
                </c:pt>
                <c:pt idx="1">
                  <c:v>8.9104081618732689</c:v>
                </c:pt>
                <c:pt idx="2">
                  <c:v>-15.425582625953723</c:v>
                </c:pt>
                <c:pt idx="3">
                  <c:v>1.4845305248074228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9DD-46E8-811E-C6213574AD57}"/>
            </c:ext>
          </c:extLst>
        </c:ser>
        <c:ser>
          <c:idx val="5"/>
          <c:order val="5"/>
          <c:tx>
            <c:strRef>
              <c:f>'טבלאות תרשים 3'!$Q$3:$Q$4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3'!$Q$5:$Q$12</c:f>
              <c:numCache>
                <c:formatCode>General</c:formatCode>
                <c:ptCount val="6"/>
                <c:pt idx="0">
                  <c:v>-23.958981049387507</c:v>
                </c:pt>
                <c:pt idx="1">
                  <c:v>-25.501608870897993</c:v>
                </c:pt>
                <c:pt idx="2">
                  <c:v>0</c:v>
                </c:pt>
                <c:pt idx="3">
                  <c:v>18.647281486594881</c:v>
                </c:pt>
                <c:pt idx="4">
                  <c:v>31.675195576126701</c:v>
                </c:pt>
                <c:pt idx="5">
                  <c:v>32.225059875967773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DD-46E8-811E-C6213574AD57}"/>
            </c:ext>
          </c:extLst>
        </c:ser>
        <c:ser>
          <c:idx val="6"/>
          <c:order val="6"/>
          <c:tx>
            <c:strRef>
              <c:f>'טבלאות תרשים 3'!$R$3:$R$4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3'!$R$5:$R$12</c:f>
              <c:numCache>
                <c:formatCode>General</c:formatCode>
                <c:ptCount val="6"/>
                <c:pt idx="0">
                  <c:v>-13.927856785941783</c:v>
                </c:pt>
                <c:pt idx="1">
                  <c:v>-17.22493632453445</c:v>
                </c:pt>
                <c:pt idx="2">
                  <c:v>-8.3245190163833502</c:v>
                </c:pt>
                <c:pt idx="3">
                  <c:v>-12.140218356263579</c:v>
                </c:pt>
                <c:pt idx="4">
                  <c:v>-8.1520906022755444</c:v>
                </c:pt>
                <c:pt idx="5">
                  <c:v>-7.8307229613391538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9DD-46E8-811E-C6213574AD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73352"/>
        <c:axId val="935472368"/>
      </c:lineChart>
      <c:catAx>
        <c:axId val="93547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72368"/>
        <c:crosses val="autoZero"/>
        <c:auto val="1"/>
        <c:lblAlgn val="ctr"/>
        <c:lblOffset val="100"/>
        <c:noMultiLvlLbl val="0"/>
      </c:catAx>
      <c:valAx>
        <c:axId val="935472368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7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896100012814944E-3"/>
          <c:y val="0.86083188753948126"/>
          <c:w val="0.99131032916263995"/>
          <c:h val="0.139168112460518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5!PivotTable29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</a:t>
            </a:r>
            <a:r>
              <a:rPr lang="he-IL" sz="14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 אשראי לעסקים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5029678982434889"/>
          <c:y val="4.28581673192490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8131138153185403E-2"/>
          <c:y val="0.12200435729847495"/>
          <c:w val="0.92068565974707706"/>
          <c:h val="0.589741692124549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'טבלאות תרשים 5'!$B$3:$B$4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5'!$B$5:$B$12</c:f>
              <c:numCache>
                <c:formatCode>General</c:formatCode>
                <c:ptCount val="6"/>
                <c:pt idx="0">
                  <c:v>-45.08382243193909</c:v>
                </c:pt>
                <c:pt idx="1">
                  <c:v>-49.428250642598854</c:v>
                </c:pt>
                <c:pt idx="2">
                  <c:v>-50.106956603384084</c:v>
                </c:pt>
                <c:pt idx="3">
                  <c:v>-62.397462791234155</c:v>
                </c:pt>
                <c:pt idx="4">
                  <c:v>-50.488305229381865</c:v>
                </c:pt>
                <c:pt idx="5">
                  <c:v>-45.682519725849396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9-4F1E-AFEF-17AB73F8BECD}"/>
            </c:ext>
          </c:extLst>
        </c:ser>
        <c:ser>
          <c:idx val="1"/>
          <c:order val="1"/>
          <c:tx>
            <c:strRef>
              <c:f>'טבלאות תרשים 5'!$C$3:$C$4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5'!$C$5:$C$12</c:f>
              <c:numCache>
                <c:formatCode>General</c:formatCode>
                <c:ptCount val="6"/>
                <c:pt idx="0">
                  <c:v>-22.527219485869413</c:v>
                </c:pt>
                <c:pt idx="1">
                  <c:v>-18.011808378702689</c:v>
                </c:pt>
                <c:pt idx="2">
                  <c:v>-13.500200477094502</c:v>
                </c:pt>
                <c:pt idx="3">
                  <c:v>-20.962091295832302</c:v>
                </c:pt>
                <c:pt idx="4">
                  <c:v>-9.75418131630407</c:v>
                </c:pt>
                <c:pt idx="5">
                  <c:v>-9.7006998370388029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69-4F1E-AFEF-17AB73F8BECD}"/>
            </c:ext>
          </c:extLst>
        </c:ser>
        <c:ser>
          <c:idx val="2"/>
          <c:order val="2"/>
          <c:tx>
            <c:strRef>
              <c:f>'טבלאות תרשים 5'!$D$3:$D$4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5'!$D$5:$D$12</c:f>
              <c:numCache>
                <c:formatCode>General</c:formatCode>
                <c:ptCount val="6"/>
                <c:pt idx="0">
                  <c:v>-24.533247020220799</c:v>
                </c:pt>
                <c:pt idx="1">
                  <c:v>-10.981724558021963</c:v>
                </c:pt>
                <c:pt idx="2">
                  <c:v>0</c:v>
                </c:pt>
                <c:pt idx="3">
                  <c:v>-3.6972571060704218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69-4F1E-AFEF-17AB73F8BECD}"/>
            </c:ext>
          </c:extLst>
        </c:ser>
        <c:ser>
          <c:idx val="3"/>
          <c:order val="3"/>
          <c:tx>
            <c:strRef>
              <c:f>'טבלאות תרשים 5'!$E$3:$E$4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5'!$E$5:$E$12</c:f>
              <c:numCache>
                <c:formatCode>General</c:formatCode>
                <c:ptCount val="6"/>
                <c:pt idx="0">
                  <c:v>15.986020816877208</c:v>
                </c:pt>
                <c:pt idx="1">
                  <c:v>3.6605748526739879</c:v>
                </c:pt>
                <c:pt idx="2">
                  <c:v>0</c:v>
                </c:pt>
                <c:pt idx="3">
                  <c:v>1.2324190353568074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69-4F1E-AFEF-17AB73F8B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5520288"/>
        <c:axId val="1035517664"/>
      </c:barChart>
      <c:lineChart>
        <c:grouping val="standard"/>
        <c:varyColors val="0"/>
        <c:ser>
          <c:idx val="4"/>
          <c:order val="4"/>
          <c:tx>
            <c:strRef>
              <c:f>'טבלאות תרשים 5'!$F$3:$F$4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5'!$F$5:$F$12</c:f>
              <c:numCache>
                <c:formatCode>General</c:formatCode>
                <c:ptCount val="6"/>
                <c:pt idx="0">
                  <c:v>-58.966442424530698</c:v>
                </c:pt>
                <c:pt idx="1">
                  <c:v>-57.244972258864493</c:v>
                </c:pt>
                <c:pt idx="2">
                  <c:v>-45.745872862870222</c:v>
                </c:pt>
                <c:pt idx="3">
                  <c:v>-41.915636115764677</c:v>
                </c:pt>
                <c:pt idx="4">
                  <c:v>-23.198305758480405</c:v>
                </c:pt>
                <c:pt idx="5">
                  <c:v>-21.277697771085112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B69-4F1E-AFEF-17AB73F8B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520288"/>
        <c:axId val="1035517664"/>
      </c:lineChart>
      <c:catAx>
        <c:axId val="103552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5517664"/>
        <c:crosses val="autoZero"/>
        <c:auto val="1"/>
        <c:lblAlgn val="ctr"/>
        <c:lblOffset val="100"/>
        <c:noMultiLvlLbl val="0"/>
      </c:catAx>
      <c:valAx>
        <c:axId val="1035517664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035520288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93014823504319E-2"/>
          <c:y val="0.85890599105237653"/>
          <c:w val="0.97413684675554169"/>
          <c:h val="0.14109400894762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5!PivotTable31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ג. אשראי צרכני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9152579972122805"/>
          <c:y val="7.43807301095673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9465942420154816E-2"/>
          <c:y val="9.3880951861626719E-2"/>
          <c:w val="0.90939100945984919"/>
          <c:h val="0.61880515628067279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5'!$Q$3:$Q$4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5'!$Q$5:$Q$12</c:f>
              <c:numCache>
                <c:formatCode>General</c:formatCode>
                <c:ptCount val="6"/>
                <c:pt idx="0">
                  <c:v>-98.665359882095999</c:v>
                </c:pt>
                <c:pt idx="1">
                  <c:v>-99.611458273799229</c:v>
                </c:pt>
                <c:pt idx="2">
                  <c:v>-50.346578741499307</c:v>
                </c:pt>
                <c:pt idx="3">
                  <c:v>-61.499653497615498</c:v>
                </c:pt>
                <c:pt idx="4">
                  <c:v>-48.409189459054772</c:v>
                </c:pt>
                <c:pt idx="5">
                  <c:v>-26.228806490031143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E3-4CC1-AAA3-0BA04CECE6B1}"/>
            </c:ext>
          </c:extLst>
        </c:ser>
        <c:ser>
          <c:idx val="2"/>
          <c:order val="2"/>
          <c:tx>
            <c:strRef>
              <c:f>'טבלאות תרשים 5'!$R$3:$R$4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5'!$R$5:$R$12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0.23971629020119858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E3-4CC1-AAA3-0BA04CECE6B1}"/>
            </c:ext>
          </c:extLst>
        </c:ser>
        <c:ser>
          <c:idx val="3"/>
          <c:order val="3"/>
          <c:tx>
            <c:strRef>
              <c:f>'טבלאות תרשים 5'!$S$3:$S$4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5'!$S$5:$S$12</c:f>
              <c:numCache>
                <c:formatCode>General</c:formatCode>
                <c:ptCount val="6"/>
                <c:pt idx="0">
                  <c:v>0</c:v>
                </c:pt>
                <c:pt idx="1">
                  <c:v>-22.306118013044614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E3-4CC1-AAA3-0BA04CECE6B1}"/>
            </c:ext>
          </c:extLst>
        </c:ser>
        <c:ser>
          <c:idx val="4"/>
          <c:order val="4"/>
          <c:tx>
            <c:strRef>
              <c:f>'טבלאות תרשים 5'!$T$3:$T$4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5'!$T$5:$T$12</c:f>
              <c:numCache>
                <c:formatCode>General</c:formatCode>
                <c:ptCount val="6"/>
                <c:pt idx="0">
                  <c:v>0.18936644820056811</c:v>
                </c:pt>
                <c:pt idx="1">
                  <c:v>0</c:v>
                </c:pt>
                <c:pt idx="2">
                  <c:v>0</c:v>
                </c:pt>
                <c:pt idx="3">
                  <c:v>-3.9022200143882935</c:v>
                </c:pt>
                <c:pt idx="4">
                  <c:v>0</c:v>
                </c:pt>
                <c:pt idx="5">
                  <c:v>-3.9378594067196895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E3-4CC1-AAA3-0BA04CECE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9071736"/>
        <c:axId val="1039065176"/>
      </c:barChart>
      <c:lineChart>
        <c:grouping val="standard"/>
        <c:varyColors val="0"/>
        <c:ser>
          <c:idx val="0"/>
          <c:order val="0"/>
          <c:tx>
            <c:strRef>
              <c:f>'טבלאות תרשים 5'!$P$3:$P$4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5'!$P$5:$P$12</c:f>
              <c:numCache>
                <c:formatCode>General</c:formatCode>
                <c:ptCount val="6"/>
                <c:pt idx="0">
                  <c:v>-40.254672268120764</c:v>
                </c:pt>
                <c:pt idx="1">
                  <c:v>-37.806931405825615</c:v>
                </c:pt>
                <c:pt idx="2">
                  <c:v>-21.849982651056301</c:v>
                </c:pt>
                <c:pt idx="3">
                  <c:v>-18.64000822774408</c:v>
                </c:pt>
                <c:pt idx="4">
                  <c:v>-21.202253566736392</c:v>
                </c:pt>
                <c:pt idx="5">
                  <c:v>-9.7996526646989981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CE3-4CC1-AAA3-0BA04CECE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9071736"/>
        <c:axId val="1039065176"/>
      </c:lineChart>
      <c:catAx>
        <c:axId val="103907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9065176"/>
        <c:crosses val="autoZero"/>
        <c:auto val="1"/>
        <c:lblAlgn val="ctr"/>
        <c:lblOffset val="100"/>
        <c:noMultiLvlLbl val="0"/>
      </c:catAx>
      <c:valAx>
        <c:axId val="1039065176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907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658965963438343E-2"/>
          <c:y val="0.86340649226661526"/>
          <c:w val="0.97551485947670535"/>
          <c:h val="0.136593507733384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2894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2026-02-02T09:27:00Z</dcterms:created>
  <dcterms:modified xsi:type="dcterms:W3CDTF">2026-02-02T09:27:00Z</dcterms:modified>
</cp:coreProperties>
</file>