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56" w:rsidRPr="00210EB4" w:rsidRDefault="00210EB4">
      <w:pPr>
        <w:rPr>
          <w:b/>
          <w:bCs/>
          <w:sz w:val="28"/>
          <w:szCs w:val="28"/>
          <w:rtl/>
        </w:rPr>
      </w:pPr>
      <w:bookmarkStart w:id="0" w:name="_GoBack"/>
      <w:bookmarkEnd w:id="0"/>
      <w:r w:rsidRPr="00210EB4">
        <w:rPr>
          <w:rFonts w:hint="cs"/>
          <w:b/>
          <w:bCs/>
          <w:sz w:val="28"/>
          <w:szCs w:val="28"/>
          <w:rtl/>
        </w:rPr>
        <w:t>بنك إسرائيل</w:t>
      </w:r>
    </w:p>
    <w:p w:rsidR="00210EB4" w:rsidRPr="00210EB4" w:rsidRDefault="00210EB4">
      <w:pPr>
        <w:rPr>
          <w:b/>
          <w:bCs/>
          <w:sz w:val="28"/>
          <w:szCs w:val="28"/>
          <w:rtl/>
        </w:rPr>
      </w:pPr>
      <w:r w:rsidRPr="00210EB4">
        <w:rPr>
          <w:rFonts w:hint="cs"/>
          <w:b/>
          <w:bCs/>
          <w:sz w:val="28"/>
          <w:szCs w:val="28"/>
          <w:rtl/>
        </w:rPr>
        <w:t>شعبة الموارد البشرية ومدير</w:t>
      </w:r>
      <w:r w:rsidR="00DC40CA">
        <w:rPr>
          <w:rFonts w:hint="cs"/>
          <w:b/>
          <w:bCs/>
          <w:sz w:val="28"/>
          <w:szCs w:val="28"/>
          <w:rtl/>
        </w:rPr>
        <w:t>ي</w:t>
      </w:r>
      <w:r w:rsidRPr="00210EB4">
        <w:rPr>
          <w:rFonts w:hint="cs"/>
          <w:b/>
          <w:bCs/>
          <w:sz w:val="28"/>
          <w:szCs w:val="28"/>
          <w:rtl/>
        </w:rPr>
        <w:t>ة شعبة المشتريات</w:t>
      </w:r>
    </w:p>
    <w:p w:rsidR="00210EB4" w:rsidRDefault="00210EB4">
      <w:pPr>
        <w:rPr>
          <w:rtl/>
        </w:rPr>
      </w:pPr>
    </w:p>
    <w:p w:rsidR="00210EB4" w:rsidRDefault="00210EB4" w:rsidP="00CF1461">
      <w:pPr>
        <w:jc w:val="center"/>
        <w:rPr>
          <w:b/>
          <w:bCs/>
          <w:rtl/>
        </w:rPr>
      </w:pPr>
      <w:r w:rsidRPr="00210EB4">
        <w:rPr>
          <w:rFonts w:hint="cs"/>
          <w:b/>
          <w:bCs/>
          <w:rtl/>
        </w:rPr>
        <w:t xml:space="preserve">مناقصة علنية </w:t>
      </w:r>
      <w:r w:rsidR="00CF1461">
        <w:rPr>
          <w:rFonts w:hint="cs"/>
          <w:b/>
          <w:bCs/>
          <w:rtl/>
        </w:rPr>
        <w:t>رقم 19/17 لشراء رافعات شوكية ومعدات رفع</w:t>
      </w:r>
    </w:p>
    <w:p w:rsidR="00CF1461" w:rsidRDefault="00CF1461" w:rsidP="00991D68">
      <w:pPr>
        <w:jc w:val="center"/>
        <w:rPr>
          <w:b/>
          <w:bCs/>
          <w:rtl/>
        </w:rPr>
      </w:pPr>
    </w:p>
    <w:p w:rsidR="00C75A08" w:rsidRDefault="00C75A08" w:rsidP="00CF1461">
      <w:pPr>
        <w:pStyle w:val="a3"/>
        <w:numPr>
          <w:ilvl w:val="0"/>
          <w:numId w:val="2"/>
        </w:numPr>
      </w:pPr>
      <w:r>
        <w:rPr>
          <w:rFonts w:hint="cs"/>
          <w:rtl/>
        </w:rPr>
        <w:t>يدعو بنك إسرائيل (فيما يلي: "</w:t>
      </w:r>
      <w:r w:rsidRPr="00713D8D">
        <w:rPr>
          <w:rFonts w:hint="cs"/>
          <w:b/>
          <w:bCs/>
          <w:rtl/>
        </w:rPr>
        <w:t>البنك</w:t>
      </w:r>
      <w:r>
        <w:rPr>
          <w:rFonts w:hint="cs"/>
          <w:rtl/>
        </w:rPr>
        <w:t>")</w:t>
      </w:r>
      <w:r w:rsidR="00D7723E">
        <w:rPr>
          <w:rFonts w:hint="cs"/>
          <w:rtl/>
        </w:rPr>
        <w:t xml:space="preserve"> بواسطة هذا الإعلان لتقديم عروض </w:t>
      </w:r>
      <w:r w:rsidR="00CF1461">
        <w:rPr>
          <w:rFonts w:hint="cs"/>
          <w:rtl/>
        </w:rPr>
        <w:t>لشراء رافعتين شوكيتين: رافعة شوكية لاستخدام شخص يمشي ورافعة شوكية كبيرة</w:t>
      </w:r>
      <w:r w:rsidR="00D7723E">
        <w:rPr>
          <w:rFonts w:hint="cs"/>
          <w:rtl/>
        </w:rPr>
        <w:t xml:space="preserve"> </w:t>
      </w:r>
      <w:r w:rsidR="00713D8D">
        <w:rPr>
          <w:rFonts w:hint="cs"/>
          <w:rtl/>
        </w:rPr>
        <w:t xml:space="preserve">(فيما يلي: </w:t>
      </w:r>
      <w:r w:rsidR="00CF1461">
        <w:rPr>
          <w:rFonts w:hint="cs"/>
          <w:rtl/>
        </w:rPr>
        <w:t>"</w:t>
      </w:r>
      <w:r w:rsidR="00CF1461">
        <w:rPr>
          <w:rFonts w:hint="cs"/>
          <w:b/>
          <w:bCs/>
          <w:rtl/>
        </w:rPr>
        <w:t>المعدات</w:t>
      </w:r>
      <w:r w:rsidR="00CF1461">
        <w:rPr>
          <w:rFonts w:hint="cs"/>
          <w:rtl/>
        </w:rPr>
        <w:t xml:space="preserve">" أو </w:t>
      </w:r>
      <w:r w:rsidR="00EC040A">
        <w:rPr>
          <w:rFonts w:hint="cs"/>
          <w:rtl/>
        </w:rPr>
        <w:t>"</w:t>
      </w:r>
      <w:r w:rsidR="00CF1461" w:rsidRPr="00713D8D">
        <w:rPr>
          <w:rFonts w:hint="cs"/>
          <w:b/>
          <w:bCs/>
          <w:rtl/>
        </w:rPr>
        <w:t>الخدمات</w:t>
      </w:r>
      <w:r w:rsidR="00EC040A">
        <w:rPr>
          <w:rFonts w:hint="cs"/>
          <w:rtl/>
        </w:rPr>
        <w:t xml:space="preserve">" أو </w:t>
      </w:r>
      <w:r w:rsidR="00713D8D">
        <w:rPr>
          <w:rFonts w:hint="cs"/>
          <w:rtl/>
        </w:rPr>
        <w:t>"</w:t>
      </w:r>
      <w:r w:rsidR="00CF1461">
        <w:rPr>
          <w:rFonts w:hint="cs"/>
          <w:b/>
          <w:bCs/>
          <w:rtl/>
        </w:rPr>
        <w:t>الرافعات الشوكية</w:t>
      </w:r>
      <w:r w:rsidR="00713D8D">
        <w:rPr>
          <w:rFonts w:hint="cs"/>
          <w:rtl/>
        </w:rPr>
        <w:t>"), وفقاً للمواصفات المُفصلة في مستند تعريف الخدمات المُرفق كجزء د</w:t>
      </w:r>
      <w:r w:rsidR="00713D8D">
        <w:rPr>
          <w:rFonts w:hint="cs"/>
          <w:rtl/>
          <w:lang w:bidi="he-IL"/>
        </w:rPr>
        <w:t xml:space="preserve">' </w:t>
      </w:r>
      <w:r w:rsidR="006C2C94">
        <w:rPr>
          <w:rFonts w:hint="cs"/>
          <w:rtl/>
        </w:rPr>
        <w:t>من مستندات المناقصة.</w:t>
      </w:r>
      <w:r w:rsidR="00EC040A">
        <w:rPr>
          <w:rFonts w:hint="cs"/>
          <w:rtl/>
        </w:rPr>
        <w:t xml:space="preserve"> الخدمات الكاملة مُفصلة في مستندات المناقصة.</w:t>
      </w:r>
    </w:p>
    <w:p w:rsidR="00763B13" w:rsidRDefault="00C75A08" w:rsidP="00CF1461">
      <w:pPr>
        <w:pStyle w:val="a3"/>
        <w:numPr>
          <w:ilvl w:val="0"/>
          <w:numId w:val="2"/>
        </w:numPr>
      </w:pPr>
      <w:r w:rsidRPr="00991D68">
        <w:rPr>
          <w:rFonts w:hint="cs"/>
          <w:rtl/>
        </w:rPr>
        <w:t xml:space="preserve">ستكون فترة التعاقد </w:t>
      </w:r>
      <w:r w:rsidR="00382A49">
        <w:rPr>
          <w:rFonts w:hint="cs"/>
          <w:rtl/>
        </w:rPr>
        <w:t>لفترة 3 سنوات</w:t>
      </w:r>
      <w:r w:rsidR="00CF1461">
        <w:rPr>
          <w:rFonts w:hint="cs"/>
          <w:rtl/>
        </w:rPr>
        <w:t xml:space="preserve">, </w:t>
      </w:r>
      <w:r w:rsidR="00763B13" w:rsidRPr="00991D68">
        <w:rPr>
          <w:rFonts w:hint="cs"/>
          <w:rtl/>
        </w:rPr>
        <w:t>يخض</w:t>
      </w:r>
      <w:r w:rsidR="00CF1461">
        <w:rPr>
          <w:rFonts w:hint="cs"/>
          <w:rtl/>
        </w:rPr>
        <w:t>ع لإمكانية تقصيرها من قبل البنك</w:t>
      </w:r>
      <w:r w:rsidR="00763B13" w:rsidRPr="00991D68">
        <w:rPr>
          <w:rFonts w:hint="cs"/>
          <w:rtl/>
        </w:rPr>
        <w:t xml:space="preserve">. بالإضافة الى ذلك, يحق للبنك استخدام حق تمديد فترة التعاقد من </w:t>
      </w:r>
      <w:r w:rsidR="00CF1461">
        <w:rPr>
          <w:rFonts w:hint="cs"/>
          <w:rtl/>
        </w:rPr>
        <w:t>حين الى آ</w:t>
      </w:r>
      <w:r w:rsidR="00382A49">
        <w:rPr>
          <w:rFonts w:hint="cs"/>
          <w:rtl/>
        </w:rPr>
        <w:t>خر</w:t>
      </w:r>
      <w:r w:rsidR="00CF1461">
        <w:rPr>
          <w:rFonts w:hint="cs"/>
          <w:rtl/>
        </w:rPr>
        <w:t>, بصورة إجمالية حتى سبعة سنوات إضافية لغرض شراء خدمات صيانة</w:t>
      </w:r>
      <w:r w:rsidR="00763B13" w:rsidRPr="00991D68">
        <w:rPr>
          <w:rFonts w:hint="cs"/>
          <w:rtl/>
        </w:rPr>
        <w:t>. بالإضافة الى ذلك, يحق للبنك خلال فترة التعاقد شراء خدمات إضافية من الفائز وفقاً للحقوق الاختيارية المُفصلة في اتفاقية التعاقد.</w:t>
      </w:r>
    </w:p>
    <w:p w:rsidR="00A81972" w:rsidRDefault="00C26997" w:rsidP="00A81972">
      <w:pPr>
        <w:pStyle w:val="a3"/>
        <w:numPr>
          <w:ilvl w:val="0"/>
          <w:numId w:val="2"/>
        </w:numPr>
      </w:pPr>
      <w:r>
        <w:rPr>
          <w:rFonts w:hint="cs"/>
          <w:rtl/>
        </w:rPr>
        <w:t>يحق الاشتراك في المناقصة من قبل أي جهة تستوفي, في موعد تقديم العرض</w:t>
      </w:r>
      <w:r w:rsidR="00F64EEB">
        <w:rPr>
          <w:rFonts w:hint="cs"/>
          <w:rtl/>
        </w:rPr>
        <w:t>, جميع المتطلبات المُفصلة أدناه:</w:t>
      </w:r>
    </w:p>
    <w:p w:rsidR="00A81972" w:rsidRDefault="00B47EDF" w:rsidP="00A81972">
      <w:pPr>
        <w:pStyle w:val="a3"/>
        <w:numPr>
          <w:ilvl w:val="1"/>
          <w:numId w:val="5"/>
        </w:numPr>
      </w:pPr>
      <w:r>
        <w:rPr>
          <w:rFonts w:hint="cs"/>
          <w:rtl/>
        </w:rPr>
        <w:t>مُقدم العرض هو مواطن إسرائيل أو شركة تأسست في إسرائيل حسب القانون ولديه كافة المصادقات والتصاريح المطلوبة حسب قانون صفقات الهيئات العامة للعام 1976.</w:t>
      </w:r>
    </w:p>
    <w:p w:rsidR="00CF1461" w:rsidRDefault="00CF1461" w:rsidP="00A81972">
      <w:pPr>
        <w:pStyle w:val="a3"/>
        <w:numPr>
          <w:ilvl w:val="1"/>
          <w:numId w:val="5"/>
        </w:numPr>
      </w:pPr>
      <w:r>
        <w:rPr>
          <w:rFonts w:hint="cs"/>
          <w:rtl/>
        </w:rPr>
        <w:t>مُقدم العرض هو مورد مُرخص في إسرائيل من قبل المُنتج يقوم بعرض منتجاته في مناقصة.</w:t>
      </w:r>
    </w:p>
    <w:p w:rsidR="00CF1461" w:rsidRDefault="00CF1461" w:rsidP="00A81972">
      <w:pPr>
        <w:pStyle w:val="a3"/>
        <w:numPr>
          <w:ilvl w:val="1"/>
          <w:numId w:val="5"/>
        </w:numPr>
      </w:pPr>
      <w:r>
        <w:rPr>
          <w:rFonts w:hint="cs"/>
          <w:rtl/>
        </w:rPr>
        <w:t>الرافعة الشوكية المُقترحة تستوفي معايير السلامة الأوروبية (</w:t>
      </w:r>
      <w:r>
        <w:t>CE</w:t>
      </w:r>
      <w:r>
        <w:rPr>
          <w:rFonts w:hint="cs"/>
          <w:rtl/>
        </w:rPr>
        <w:t>).</w:t>
      </w:r>
    </w:p>
    <w:p w:rsidR="006904B6" w:rsidRDefault="006904B6" w:rsidP="00A81972">
      <w:pPr>
        <w:pStyle w:val="a3"/>
        <w:numPr>
          <w:ilvl w:val="1"/>
          <w:numId w:val="5"/>
        </w:numPr>
      </w:pPr>
      <w:r>
        <w:rPr>
          <w:rFonts w:hint="cs"/>
          <w:rtl/>
        </w:rPr>
        <w:t>مقدم العرض قام بتزويد إجمالي خمسة رافعات شوكية كهربائية لخمسة زبائن مختلفين خلال السنوات, 2015- 2018.</w:t>
      </w:r>
    </w:p>
    <w:p w:rsidR="006904B6" w:rsidRDefault="00B467CF" w:rsidP="00204CDB">
      <w:pPr>
        <w:pStyle w:val="a3"/>
        <w:numPr>
          <w:ilvl w:val="1"/>
          <w:numId w:val="5"/>
        </w:numPr>
      </w:pPr>
      <w:r>
        <w:rPr>
          <w:rFonts w:hint="cs"/>
          <w:rtl/>
        </w:rPr>
        <w:t xml:space="preserve">مُقدم العرض </w:t>
      </w:r>
      <w:r w:rsidR="006829F1">
        <w:rPr>
          <w:rFonts w:hint="cs"/>
          <w:rtl/>
        </w:rPr>
        <w:t xml:space="preserve">قام بتزويد خدمات صيانة لمدة سنتين على الأقل, </w:t>
      </w:r>
      <w:r w:rsidR="00204CDB">
        <w:rPr>
          <w:rFonts w:hint="cs"/>
          <w:rtl/>
        </w:rPr>
        <w:t>لخمسة زبائن مختلفين خلال السنوات, 2015- 2018.</w:t>
      </w:r>
    </w:p>
    <w:p w:rsidR="001F4A23" w:rsidRDefault="001F4A23" w:rsidP="00204CDB">
      <w:pPr>
        <w:pStyle w:val="a3"/>
        <w:numPr>
          <w:ilvl w:val="1"/>
          <w:numId w:val="5"/>
        </w:numPr>
      </w:pPr>
      <w:r>
        <w:rPr>
          <w:rFonts w:hint="cs"/>
          <w:rtl/>
        </w:rPr>
        <w:t>مُقدم العرض أو مندوب من قبله شارك في اجتماع مُقدمي العروض كما هو مُفصل في البند 5 التالي. يحق لمُقدم العرض الاشتراك في الاجتماع فقط بعد أن حصل على مصادقة قسم الأمن في البنك.</w:t>
      </w:r>
    </w:p>
    <w:p w:rsidR="00916758" w:rsidRDefault="00A81972" w:rsidP="00916758">
      <w:pPr>
        <w:pStyle w:val="a3"/>
        <w:numPr>
          <w:ilvl w:val="0"/>
          <w:numId w:val="2"/>
        </w:numPr>
        <w:tabs>
          <w:tab w:val="left" w:pos="1927"/>
        </w:tabs>
        <w:rPr>
          <w:rFonts w:cs="David"/>
        </w:rPr>
      </w:pPr>
      <w:r>
        <w:rPr>
          <w:rFonts w:ascii="Arial" w:hAnsi="Arial" w:cs="Arial" w:hint="cs"/>
          <w:rtl/>
        </w:rPr>
        <w:t>بإمكان فقط العرض الذي سيحظى بالحد الأدنى المطلوب من النقاط كما هو مُفصل في مستندات المناقصة من الفوز بالمناقصة.</w:t>
      </w:r>
    </w:p>
    <w:p w:rsidR="00843E14" w:rsidRDefault="00C03CBD" w:rsidP="00AE6858">
      <w:pPr>
        <w:pStyle w:val="a3"/>
        <w:numPr>
          <w:ilvl w:val="0"/>
          <w:numId w:val="2"/>
        </w:numPr>
      </w:pPr>
      <w:r>
        <w:rPr>
          <w:rFonts w:hint="cs"/>
          <w:rtl/>
        </w:rPr>
        <w:t xml:space="preserve">يجب تقديم العروض للمناقصة بواسطة منظومة المناقصات الالكترونية, كما هو مُفصل في البند 5 من القسم أ لمستندات المناقصة. </w:t>
      </w:r>
      <w:r w:rsidR="00AE6858">
        <w:rPr>
          <w:rFonts w:hint="cs"/>
          <w:rtl/>
        </w:rPr>
        <w:t xml:space="preserve">نلفت انتباه مُقدمي العروض لمسألة </w:t>
      </w:r>
      <w:r w:rsidR="00665F5A">
        <w:rPr>
          <w:rFonts w:hint="cs"/>
          <w:rtl/>
        </w:rPr>
        <w:t>التسجيل المُسبق للمناقصة الالكترونية وقيود حجم الملفات التي يُمكن تحميلها للمنظومة.</w:t>
      </w:r>
    </w:p>
    <w:p w:rsidR="00004143" w:rsidRPr="00A0701B" w:rsidRDefault="00004143" w:rsidP="000B441D">
      <w:pPr>
        <w:pStyle w:val="a3"/>
        <w:numPr>
          <w:ilvl w:val="0"/>
          <w:numId w:val="2"/>
        </w:numPr>
        <w:tabs>
          <w:tab w:val="left" w:pos="1927"/>
        </w:tabs>
        <w:rPr>
          <w:rFonts w:cs="David"/>
        </w:rPr>
      </w:pPr>
      <w:r w:rsidRPr="00906C0B">
        <w:rPr>
          <w:rFonts w:ascii="Arial" w:hAnsi="Arial" w:cs="Arial" w:hint="cs"/>
          <w:b/>
          <w:bCs/>
          <w:rtl/>
        </w:rPr>
        <w:t>اجتماع مُقدمي العروض:</w:t>
      </w:r>
      <w:r>
        <w:rPr>
          <w:rFonts w:ascii="Arial" w:hAnsi="Arial" w:cs="Arial" w:hint="cs"/>
          <w:rtl/>
        </w:rPr>
        <w:t xml:space="preserve"> </w:t>
      </w:r>
      <w:r w:rsidRPr="00A0701B">
        <w:rPr>
          <w:rFonts w:ascii="Arial" w:hAnsi="Arial" w:cs="Arial" w:hint="cs"/>
          <w:rtl/>
        </w:rPr>
        <w:t>الاشتراك</w:t>
      </w:r>
      <w:r w:rsidRPr="00A0701B">
        <w:rPr>
          <w:rFonts w:cs="David" w:hint="cs"/>
          <w:rtl/>
        </w:rPr>
        <w:t xml:space="preserve"> </w:t>
      </w:r>
      <w:r w:rsidRPr="00A0701B">
        <w:rPr>
          <w:rFonts w:ascii="Arial" w:hAnsi="Arial" w:cs="Arial" w:hint="cs"/>
          <w:rtl/>
        </w:rPr>
        <w:t>في</w:t>
      </w:r>
      <w:r w:rsidRPr="00A0701B">
        <w:rPr>
          <w:rFonts w:cs="David" w:hint="cs"/>
          <w:rtl/>
        </w:rPr>
        <w:t xml:space="preserve"> </w:t>
      </w:r>
      <w:r w:rsidRPr="00A0701B">
        <w:rPr>
          <w:rFonts w:ascii="Arial" w:hAnsi="Arial" w:cs="Arial" w:hint="cs"/>
          <w:rtl/>
        </w:rPr>
        <w:t>المناقصة</w:t>
      </w:r>
      <w:r w:rsidRPr="00A0701B">
        <w:rPr>
          <w:rFonts w:cs="David" w:hint="cs"/>
          <w:rtl/>
        </w:rPr>
        <w:t xml:space="preserve"> </w:t>
      </w:r>
      <w:r w:rsidRPr="00906C0B">
        <w:rPr>
          <w:rFonts w:ascii="Arial" w:hAnsi="Arial" w:cs="Arial" w:hint="cs"/>
          <w:rtl/>
        </w:rPr>
        <w:t>مشرو</w:t>
      </w:r>
      <w:r w:rsidRPr="009F5511">
        <w:rPr>
          <w:rFonts w:ascii="Arial" w:hAnsi="Arial" w:cs="Arial" w:hint="cs"/>
          <w:rtl/>
        </w:rPr>
        <w:t>ط</w:t>
      </w:r>
      <w:r w:rsidRPr="009F5511">
        <w:rPr>
          <w:rFonts w:cs="David" w:hint="cs"/>
          <w:rtl/>
        </w:rPr>
        <w:t xml:space="preserve"> </w:t>
      </w:r>
      <w:r w:rsidRPr="009F5511">
        <w:rPr>
          <w:rFonts w:ascii="Arial" w:hAnsi="Arial" w:cs="Arial" w:hint="cs"/>
          <w:rtl/>
        </w:rPr>
        <w:t>كما</w:t>
      </w:r>
      <w:r w:rsidRPr="009F5511">
        <w:rPr>
          <w:rFonts w:cs="David" w:hint="cs"/>
          <w:rtl/>
        </w:rPr>
        <w:t xml:space="preserve"> </w:t>
      </w:r>
      <w:r w:rsidRPr="009F5511">
        <w:rPr>
          <w:rFonts w:ascii="Arial" w:hAnsi="Arial" w:cs="Arial" w:hint="cs"/>
          <w:rtl/>
        </w:rPr>
        <w:t>ورد</w:t>
      </w:r>
      <w:r w:rsidRPr="009F5511">
        <w:rPr>
          <w:rFonts w:cs="David" w:hint="cs"/>
          <w:rtl/>
        </w:rPr>
        <w:t xml:space="preserve"> </w:t>
      </w:r>
      <w:r w:rsidRPr="009F5511">
        <w:rPr>
          <w:rFonts w:ascii="Arial" w:hAnsi="Arial" w:cs="Arial" w:hint="cs"/>
          <w:rtl/>
        </w:rPr>
        <w:t>باشتراك</w:t>
      </w:r>
      <w:r w:rsidRPr="009F5511">
        <w:rPr>
          <w:rFonts w:cs="David" w:hint="cs"/>
          <w:rtl/>
        </w:rPr>
        <w:t xml:space="preserve"> </w:t>
      </w:r>
      <w:r w:rsidRPr="009F5511">
        <w:rPr>
          <w:rFonts w:ascii="Arial" w:hAnsi="Arial" w:cs="Arial" w:hint="cs"/>
          <w:rtl/>
        </w:rPr>
        <w:t>مُقدم</w:t>
      </w:r>
      <w:r w:rsidRPr="009F5511">
        <w:rPr>
          <w:rFonts w:cs="David" w:hint="cs"/>
          <w:rtl/>
        </w:rPr>
        <w:t xml:space="preserve"> </w:t>
      </w:r>
      <w:r w:rsidRPr="009F5511">
        <w:rPr>
          <w:rFonts w:ascii="Arial" w:hAnsi="Arial" w:cs="Arial" w:hint="cs"/>
          <w:rtl/>
        </w:rPr>
        <w:t>العرض</w:t>
      </w:r>
      <w:r w:rsidRPr="009F5511">
        <w:rPr>
          <w:rFonts w:cs="David" w:hint="cs"/>
          <w:rtl/>
        </w:rPr>
        <w:t xml:space="preserve">, </w:t>
      </w:r>
      <w:r w:rsidRPr="009F5511">
        <w:rPr>
          <w:rFonts w:ascii="Arial" w:hAnsi="Arial" w:cs="Arial" w:hint="cs"/>
          <w:rtl/>
        </w:rPr>
        <w:t>أو</w:t>
      </w:r>
      <w:r w:rsidRPr="009F5511">
        <w:rPr>
          <w:rFonts w:cs="David" w:hint="cs"/>
          <w:rtl/>
        </w:rPr>
        <w:t xml:space="preserve"> </w:t>
      </w:r>
      <w:r w:rsidRPr="009F5511">
        <w:rPr>
          <w:rFonts w:ascii="Arial" w:hAnsi="Arial" w:cs="Arial" w:hint="cs"/>
          <w:rtl/>
        </w:rPr>
        <w:t>مندوب</w:t>
      </w:r>
      <w:r w:rsidRPr="009F5511">
        <w:rPr>
          <w:rFonts w:cs="David" w:hint="cs"/>
          <w:rtl/>
        </w:rPr>
        <w:t xml:space="preserve"> </w:t>
      </w:r>
      <w:r w:rsidRPr="009F5511">
        <w:rPr>
          <w:rFonts w:ascii="Arial" w:hAnsi="Arial" w:cs="Arial" w:hint="cs"/>
          <w:rtl/>
        </w:rPr>
        <w:t>من</w:t>
      </w:r>
      <w:r w:rsidRPr="009F5511">
        <w:rPr>
          <w:rFonts w:cs="David" w:hint="cs"/>
          <w:rtl/>
        </w:rPr>
        <w:t xml:space="preserve"> </w:t>
      </w:r>
      <w:r w:rsidRPr="009F5511">
        <w:rPr>
          <w:rFonts w:ascii="Arial" w:hAnsi="Arial" w:cs="Arial" w:hint="cs"/>
          <w:rtl/>
        </w:rPr>
        <w:t>طرفه</w:t>
      </w:r>
      <w:r w:rsidRPr="009F5511">
        <w:rPr>
          <w:rFonts w:cs="David" w:hint="cs"/>
          <w:rtl/>
        </w:rPr>
        <w:t xml:space="preserve">, </w:t>
      </w:r>
      <w:r w:rsidRPr="009F5511">
        <w:rPr>
          <w:rFonts w:ascii="Arial" w:hAnsi="Arial" w:cs="Arial" w:hint="cs"/>
          <w:rtl/>
        </w:rPr>
        <w:t>في</w:t>
      </w:r>
      <w:r w:rsidRPr="009F5511">
        <w:rPr>
          <w:rFonts w:cs="David" w:hint="cs"/>
          <w:rtl/>
        </w:rPr>
        <w:t xml:space="preserve"> </w:t>
      </w:r>
      <w:r w:rsidRPr="009F5511">
        <w:rPr>
          <w:rFonts w:ascii="Arial" w:hAnsi="Arial" w:cs="Arial" w:hint="cs"/>
          <w:rtl/>
        </w:rPr>
        <w:t>اجتماع</w:t>
      </w:r>
      <w:r w:rsidRPr="009F5511">
        <w:rPr>
          <w:rFonts w:cs="David" w:hint="cs"/>
          <w:rtl/>
        </w:rPr>
        <w:t xml:space="preserve"> </w:t>
      </w:r>
      <w:r w:rsidRPr="009F5511">
        <w:rPr>
          <w:rFonts w:ascii="Arial" w:hAnsi="Arial" w:cs="Arial" w:hint="cs"/>
          <w:rtl/>
        </w:rPr>
        <w:t>مُقدمي</w:t>
      </w:r>
      <w:r w:rsidRPr="009F5511">
        <w:rPr>
          <w:rFonts w:cs="David" w:hint="cs"/>
          <w:rtl/>
        </w:rPr>
        <w:t xml:space="preserve"> </w:t>
      </w:r>
      <w:r w:rsidRPr="009F5511">
        <w:rPr>
          <w:rFonts w:ascii="Arial" w:hAnsi="Arial" w:cs="Arial" w:hint="cs"/>
          <w:rtl/>
        </w:rPr>
        <w:t>العروض</w:t>
      </w:r>
      <w:r w:rsidRPr="009F5511">
        <w:rPr>
          <w:rFonts w:cs="David" w:hint="cs"/>
          <w:rtl/>
        </w:rPr>
        <w:t xml:space="preserve"> </w:t>
      </w:r>
      <w:r w:rsidRPr="009F5511">
        <w:rPr>
          <w:rFonts w:ascii="Arial" w:hAnsi="Arial" w:cs="Arial" w:hint="cs"/>
          <w:rtl/>
        </w:rPr>
        <w:t>الذي</w:t>
      </w:r>
      <w:r w:rsidRPr="009F5511">
        <w:rPr>
          <w:rFonts w:cs="David" w:hint="cs"/>
          <w:rtl/>
        </w:rPr>
        <w:t xml:space="preserve"> </w:t>
      </w:r>
      <w:r w:rsidRPr="009F5511">
        <w:rPr>
          <w:rFonts w:ascii="Arial" w:hAnsi="Arial" w:cs="Arial" w:hint="cs"/>
          <w:rtl/>
        </w:rPr>
        <w:t>سيُنظم</w:t>
      </w:r>
      <w:r w:rsidRPr="009F5511">
        <w:rPr>
          <w:rFonts w:cs="David" w:hint="cs"/>
          <w:rtl/>
        </w:rPr>
        <w:t xml:space="preserve"> </w:t>
      </w:r>
      <w:r w:rsidRPr="009F5511">
        <w:rPr>
          <w:rFonts w:ascii="Arial" w:hAnsi="Arial" w:cs="Arial" w:hint="cs"/>
          <w:rtl/>
        </w:rPr>
        <w:t>في</w:t>
      </w:r>
      <w:r w:rsidR="00906C0B" w:rsidRPr="009F5511">
        <w:rPr>
          <w:rFonts w:ascii="Arial" w:hAnsi="Arial" w:cs="Arial" w:hint="cs"/>
          <w:rtl/>
        </w:rPr>
        <w:t xml:space="preserve"> ش</w:t>
      </w:r>
      <w:r w:rsidR="009F5511">
        <w:rPr>
          <w:rFonts w:ascii="Arial" w:hAnsi="Arial" w:cs="Arial" w:hint="cs"/>
          <w:rtl/>
        </w:rPr>
        <w:t>ارع اليعازر كابلان 2, في القدس,</w:t>
      </w:r>
      <w:r w:rsidRPr="009F5511">
        <w:rPr>
          <w:rFonts w:cs="David" w:hint="cs"/>
          <w:rtl/>
        </w:rPr>
        <w:t xml:space="preserve"> </w:t>
      </w:r>
      <w:r w:rsidRPr="009F5511">
        <w:rPr>
          <w:rFonts w:ascii="Arial" w:hAnsi="Arial" w:cs="Arial" w:hint="cs"/>
          <w:rtl/>
        </w:rPr>
        <w:t>يوم</w:t>
      </w:r>
      <w:r w:rsidRPr="009F5511">
        <w:rPr>
          <w:rFonts w:cs="David" w:hint="cs"/>
          <w:rtl/>
        </w:rPr>
        <w:t xml:space="preserve"> </w:t>
      </w:r>
      <w:r w:rsidR="00906C0B" w:rsidRPr="009F5511">
        <w:rPr>
          <w:rFonts w:ascii="Arial" w:hAnsi="Arial" w:cs="Arial" w:hint="cs"/>
          <w:rtl/>
        </w:rPr>
        <w:t>الأربعاء</w:t>
      </w:r>
      <w:r w:rsidRPr="009F5511">
        <w:rPr>
          <w:rFonts w:cs="David" w:hint="cs"/>
          <w:rtl/>
        </w:rPr>
        <w:t xml:space="preserve"> </w:t>
      </w:r>
      <w:r w:rsidRPr="009F5511">
        <w:rPr>
          <w:rFonts w:ascii="Arial" w:hAnsi="Arial" w:cs="Arial" w:hint="cs"/>
          <w:rtl/>
        </w:rPr>
        <w:t>الموافق</w:t>
      </w:r>
      <w:r w:rsidRPr="009F5511">
        <w:rPr>
          <w:rFonts w:cs="David" w:hint="cs"/>
          <w:rtl/>
        </w:rPr>
        <w:t xml:space="preserve"> </w:t>
      </w:r>
      <w:r w:rsidR="00906C0B" w:rsidRPr="009F5511">
        <w:rPr>
          <w:rFonts w:cs="David" w:hint="cs"/>
          <w:rtl/>
        </w:rPr>
        <w:t>5</w:t>
      </w:r>
      <w:r w:rsidRPr="009F5511">
        <w:rPr>
          <w:rFonts w:cs="David" w:hint="cs"/>
          <w:rtl/>
        </w:rPr>
        <w:t xml:space="preserve"> </w:t>
      </w:r>
      <w:r w:rsidR="00906C0B" w:rsidRPr="009F5511">
        <w:rPr>
          <w:rFonts w:ascii="Arial" w:hAnsi="Arial" w:cs="Arial" w:hint="cs"/>
          <w:rtl/>
        </w:rPr>
        <w:t>حزيران</w:t>
      </w:r>
      <w:r w:rsidRPr="009F5511">
        <w:rPr>
          <w:rFonts w:cs="David" w:hint="cs"/>
          <w:rtl/>
        </w:rPr>
        <w:t xml:space="preserve"> 2019, </w:t>
      </w:r>
      <w:r w:rsidRPr="009F5511">
        <w:rPr>
          <w:rFonts w:ascii="Arial" w:hAnsi="Arial" w:cs="Arial" w:hint="cs"/>
          <w:rtl/>
        </w:rPr>
        <w:t>في</w:t>
      </w:r>
      <w:r w:rsidRPr="009F5511">
        <w:rPr>
          <w:rFonts w:cs="David" w:hint="cs"/>
          <w:rtl/>
        </w:rPr>
        <w:t xml:space="preserve"> </w:t>
      </w:r>
      <w:r w:rsidRPr="009F5511">
        <w:rPr>
          <w:rFonts w:ascii="Arial" w:hAnsi="Arial" w:cs="Arial" w:hint="cs"/>
          <w:rtl/>
        </w:rPr>
        <w:t>الساعة</w:t>
      </w:r>
      <w:r w:rsidRPr="009F5511">
        <w:rPr>
          <w:rFonts w:cs="David" w:hint="cs"/>
          <w:rtl/>
        </w:rPr>
        <w:t xml:space="preserve"> 10:</w:t>
      </w:r>
      <w:r w:rsidR="000B441D">
        <w:rPr>
          <w:rFonts w:cs="David" w:hint="cs"/>
          <w:rtl/>
        </w:rPr>
        <w:t>00</w:t>
      </w:r>
      <w:r w:rsidRPr="009F5511">
        <w:rPr>
          <w:rFonts w:cs="David" w:hint="cs"/>
          <w:rtl/>
        </w:rPr>
        <w:t xml:space="preserve">. </w:t>
      </w:r>
      <w:r w:rsidRPr="00A0701B">
        <w:rPr>
          <w:rFonts w:ascii="Arial" w:hAnsi="Arial" w:cs="Arial" w:hint="cs"/>
          <w:rtl/>
        </w:rPr>
        <w:t>على</w:t>
      </w:r>
      <w:r w:rsidRPr="00A0701B">
        <w:rPr>
          <w:rFonts w:cs="David" w:hint="cs"/>
          <w:rtl/>
        </w:rPr>
        <w:t xml:space="preserve"> </w:t>
      </w:r>
      <w:r w:rsidRPr="00A0701B">
        <w:rPr>
          <w:rFonts w:ascii="Arial" w:hAnsi="Arial" w:cs="Arial" w:hint="cs"/>
          <w:rtl/>
        </w:rPr>
        <w:t>مُقدمي</w:t>
      </w:r>
      <w:r w:rsidRPr="00A0701B">
        <w:rPr>
          <w:rFonts w:cs="David" w:hint="cs"/>
          <w:rtl/>
        </w:rPr>
        <w:t xml:space="preserve"> </w:t>
      </w:r>
      <w:r w:rsidRPr="00A0701B">
        <w:rPr>
          <w:rFonts w:ascii="Arial" w:hAnsi="Arial" w:cs="Arial" w:hint="cs"/>
          <w:rtl/>
        </w:rPr>
        <w:t>العروض</w:t>
      </w:r>
      <w:r w:rsidRPr="00A0701B">
        <w:rPr>
          <w:rFonts w:cs="David" w:hint="cs"/>
          <w:rtl/>
        </w:rPr>
        <w:t xml:space="preserve"> </w:t>
      </w:r>
      <w:r w:rsidRPr="00A0701B">
        <w:rPr>
          <w:rFonts w:ascii="Arial" w:hAnsi="Arial" w:cs="Arial" w:hint="cs"/>
          <w:rtl/>
        </w:rPr>
        <w:t>تبليغ</w:t>
      </w:r>
      <w:r w:rsidRPr="00A0701B">
        <w:rPr>
          <w:rFonts w:cs="David" w:hint="cs"/>
          <w:rtl/>
        </w:rPr>
        <w:t xml:space="preserve"> </w:t>
      </w:r>
      <w:r w:rsidRPr="00A0701B">
        <w:rPr>
          <w:rFonts w:ascii="Arial" w:hAnsi="Arial" w:cs="Arial" w:hint="cs"/>
          <w:rtl/>
        </w:rPr>
        <w:t>البنك</w:t>
      </w:r>
      <w:r w:rsidRPr="00A0701B">
        <w:rPr>
          <w:rFonts w:cs="David" w:hint="cs"/>
          <w:rtl/>
        </w:rPr>
        <w:t xml:space="preserve"> </w:t>
      </w:r>
      <w:r w:rsidRPr="00A0701B">
        <w:rPr>
          <w:rFonts w:ascii="Arial" w:hAnsi="Arial" w:cs="Arial" w:hint="cs"/>
          <w:rtl/>
        </w:rPr>
        <w:t>مُسبقاً</w:t>
      </w:r>
      <w:r w:rsidRPr="00A0701B">
        <w:rPr>
          <w:rFonts w:cs="David" w:hint="cs"/>
          <w:rtl/>
        </w:rPr>
        <w:t xml:space="preserve"> </w:t>
      </w:r>
      <w:r w:rsidRPr="00A0701B">
        <w:rPr>
          <w:rFonts w:ascii="Arial" w:hAnsi="Arial" w:cs="Arial" w:hint="cs"/>
          <w:rtl/>
        </w:rPr>
        <w:t>بخصوص</w:t>
      </w:r>
      <w:r w:rsidRPr="00A0701B">
        <w:rPr>
          <w:rFonts w:cs="David" w:hint="cs"/>
          <w:rtl/>
        </w:rPr>
        <w:t xml:space="preserve"> </w:t>
      </w:r>
      <w:r w:rsidRPr="00A0701B">
        <w:rPr>
          <w:rFonts w:ascii="Arial" w:hAnsi="Arial" w:cs="Arial" w:hint="cs"/>
          <w:rtl/>
        </w:rPr>
        <w:t>نيتهم</w:t>
      </w:r>
      <w:r w:rsidRPr="00A0701B">
        <w:rPr>
          <w:rFonts w:cs="David" w:hint="cs"/>
          <w:rtl/>
        </w:rPr>
        <w:t xml:space="preserve"> </w:t>
      </w:r>
      <w:r w:rsidRPr="00A0701B">
        <w:rPr>
          <w:rFonts w:ascii="Arial" w:hAnsi="Arial" w:cs="Arial" w:hint="cs"/>
          <w:rtl/>
        </w:rPr>
        <w:t>للاشتراك</w:t>
      </w:r>
      <w:r w:rsidRPr="00A0701B">
        <w:rPr>
          <w:rFonts w:cs="David" w:hint="cs"/>
          <w:rtl/>
        </w:rPr>
        <w:t xml:space="preserve"> </w:t>
      </w:r>
      <w:r w:rsidRPr="00A0701B">
        <w:rPr>
          <w:rFonts w:ascii="Arial" w:hAnsi="Arial" w:cs="Arial" w:hint="cs"/>
          <w:rtl/>
        </w:rPr>
        <w:t>في</w:t>
      </w:r>
      <w:r w:rsidRPr="00A0701B">
        <w:rPr>
          <w:rFonts w:cs="David" w:hint="cs"/>
          <w:rtl/>
        </w:rPr>
        <w:t xml:space="preserve"> </w:t>
      </w:r>
      <w:r w:rsidR="000B441D">
        <w:rPr>
          <w:rFonts w:ascii="Arial" w:hAnsi="Arial" w:cs="Arial" w:hint="cs"/>
          <w:rtl/>
        </w:rPr>
        <w:t>اجتماع مُقدمي العروض حتى يوم الأحد الموافق 2 حزيران في الساعة 10:00,</w:t>
      </w:r>
      <w:r w:rsidRPr="00A0701B">
        <w:rPr>
          <w:rFonts w:cs="David" w:hint="cs"/>
          <w:rtl/>
        </w:rPr>
        <w:t xml:space="preserve"> </w:t>
      </w:r>
      <w:r w:rsidRPr="00A0701B">
        <w:rPr>
          <w:rFonts w:ascii="Arial" w:hAnsi="Arial" w:cs="Arial" w:hint="cs"/>
          <w:rtl/>
        </w:rPr>
        <w:t>بواسطة</w:t>
      </w:r>
      <w:r w:rsidRPr="00A0701B">
        <w:rPr>
          <w:rFonts w:cs="David" w:hint="cs"/>
          <w:rtl/>
        </w:rPr>
        <w:t xml:space="preserve"> </w:t>
      </w:r>
      <w:r w:rsidRPr="00A0701B">
        <w:rPr>
          <w:rFonts w:ascii="Arial" w:hAnsi="Arial" w:cs="Arial" w:hint="cs"/>
          <w:rtl/>
        </w:rPr>
        <w:t>إرسال</w:t>
      </w:r>
      <w:r w:rsidRPr="00A0701B">
        <w:rPr>
          <w:rFonts w:cs="David" w:hint="cs"/>
          <w:rtl/>
        </w:rPr>
        <w:t xml:space="preserve"> </w:t>
      </w:r>
      <w:r w:rsidRPr="00A0701B">
        <w:rPr>
          <w:rFonts w:ascii="Arial" w:hAnsi="Arial" w:cs="Arial" w:hint="cs"/>
          <w:rtl/>
        </w:rPr>
        <w:t>رسالة</w:t>
      </w:r>
      <w:r w:rsidRPr="00A0701B">
        <w:rPr>
          <w:rFonts w:cs="David" w:hint="cs"/>
          <w:rtl/>
        </w:rPr>
        <w:t xml:space="preserve"> </w:t>
      </w:r>
      <w:r w:rsidRPr="00A0701B">
        <w:rPr>
          <w:rFonts w:ascii="Arial" w:hAnsi="Arial" w:cs="Arial" w:hint="cs"/>
          <w:rtl/>
        </w:rPr>
        <w:t>للبريد</w:t>
      </w:r>
      <w:r w:rsidRPr="00A0701B">
        <w:rPr>
          <w:rFonts w:cs="David" w:hint="cs"/>
          <w:rtl/>
        </w:rPr>
        <w:t xml:space="preserve"> </w:t>
      </w:r>
      <w:r w:rsidRPr="00A0701B">
        <w:rPr>
          <w:rFonts w:ascii="Arial" w:hAnsi="Arial" w:cs="Arial" w:hint="cs"/>
          <w:rtl/>
        </w:rPr>
        <w:t>الالكتروني</w:t>
      </w:r>
      <w:r w:rsidRPr="00A0701B">
        <w:rPr>
          <w:rFonts w:cs="David" w:hint="cs"/>
          <w:rtl/>
        </w:rPr>
        <w:t xml:space="preserve"> </w:t>
      </w:r>
      <w:hyperlink r:id="rId5" w:history="1">
        <w:r w:rsidRPr="00A0701B">
          <w:rPr>
            <w:rStyle w:val="Hyperlink"/>
            <w:rFonts w:cs="David"/>
          </w:rPr>
          <w:t>tenders@boi.org.il</w:t>
        </w:r>
      </w:hyperlink>
      <w:r w:rsidRPr="00A0701B">
        <w:rPr>
          <w:rFonts w:cs="David" w:hint="cs"/>
          <w:rtl/>
        </w:rPr>
        <w:t xml:space="preserve">. </w:t>
      </w:r>
      <w:r w:rsidRPr="00A0701B">
        <w:rPr>
          <w:rFonts w:ascii="Arial" w:hAnsi="Arial" w:cs="Arial" w:hint="cs"/>
          <w:rtl/>
        </w:rPr>
        <w:t>يجب</w:t>
      </w:r>
      <w:r w:rsidRPr="00A0701B">
        <w:rPr>
          <w:rFonts w:cs="David" w:hint="cs"/>
          <w:rtl/>
        </w:rPr>
        <w:t xml:space="preserve"> </w:t>
      </w:r>
      <w:r w:rsidRPr="00A0701B">
        <w:rPr>
          <w:rFonts w:ascii="Arial" w:hAnsi="Arial" w:cs="Arial" w:hint="cs"/>
          <w:rtl/>
        </w:rPr>
        <w:t>إحضار</w:t>
      </w:r>
      <w:r w:rsidRPr="00A0701B">
        <w:rPr>
          <w:rFonts w:cs="David" w:hint="cs"/>
          <w:rtl/>
        </w:rPr>
        <w:t xml:space="preserve"> </w:t>
      </w:r>
      <w:r w:rsidRPr="00A0701B">
        <w:rPr>
          <w:rFonts w:ascii="Arial" w:hAnsi="Arial" w:cs="Arial" w:hint="cs"/>
          <w:rtl/>
        </w:rPr>
        <w:t>بطاقة</w:t>
      </w:r>
      <w:r w:rsidRPr="00A0701B">
        <w:rPr>
          <w:rFonts w:cs="David" w:hint="cs"/>
          <w:rtl/>
        </w:rPr>
        <w:t xml:space="preserve"> </w:t>
      </w:r>
      <w:r w:rsidRPr="00A0701B">
        <w:rPr>
          <w:rFonts w:ascii="Arial" w:hAnsi="Arial" w:cs="Arial" w:hint="cs"/>
          <w:rtl/>
        </w:rPr>
        <w:t>هوية</w:t>
      </w:r>
      <w:r w:rsidRPr="00A0701B">
        <w:rPr>
          <w:rFonts w:cs="David" w:hint="cs"/>
          <w:rtl/>
        </w:rPr>
        <w:t xml:space="preserve"> </w:t>
      </w:r>
      <w:r w:rsidRPr="00A0701B">
        <w:rPr>
          <w:rFonts w:ascii="Arial" w:hAnsi="Arial" w:cs="Arial" w:hint="cs"/>
          <w:rtl/>
        </w:rPr>
        <w:t>قيادة</w:t>
      </w:r>
      <w:r w:rsidRPr="00A0701B">
        <w:rPr>
          <w:rFonts w:cs="David" w:hint="cs"/>
          <w:rtl/>
        </w:rPr>
        <w:t xml:space="preserve">. </w:t>
      </w:r>
      <w:r w:rsidRPr="00A0701B">
        <w:rPr>
          <w:rFonts w:ascii="Arial" w:hAnsi="Arial" w:cs="Arial" w:hint="cs"/>
          <w:rtl/>
        </w:rPr>
        <w:t>بدون</w:t>
      </w:r>
      <w:r w:rsidRPr="00A0701B">
        <w:rPr>
          <w:rFonts w:cs="David" w:hint="cs"/>
          <w:rtl/>
        </w:rPr>
        <w:t xml:space="preserve"> </w:t>
      </w:r>
      <w:r w:rsidRPr="00A0701B">
        <w:rPr>
          <w:rFonts w:ascii="Arial" w:hAnsi="Arial" w:cs="Arial" w:hint="cs"/>
          <w:rtl/>
        </w:rPr>
        <w:t>إحضار</w:t>
      </w:r>
      <w:r w:rsidRPr="00A0701B">
        <w:rPr>
          <w:rFonts w:cs="David" w:hint="cs"/>
          <w:rtl/>
        </w:rPr>
        <w:t xml:space="preserve"> </w:t>
      </w:r>
      <w:r w:rsidR="000B441D">
        <w:rPr>
          <w:rFonts w:ascii="Arial" w:hAnsi="Arial" w:cs="Arial" w:hint="cs"/>
          <w:rtl/>
        </w:rPr>
        <w:t>البطاقة</w:t>
      </w:r>
      <w:r w:rsidRPr="00A0701B">
        <w:rPr>
          <w:rFonts w:cs="David" w:hint="cs"/>
          <w:rtl/>
        </w:rPr>
        <w:t xml:space="preserve"> </w:t>
      </w:r>
      <w:r w:rsidRPr="00A0701B">
        <w:rPr>
          <w:rFonts w:ascii="Arial" w:hAnsi="Arial" w:cs="Arial" w:hint="cs"/>
          <w:rtl/>
        </w:rPr>
        <w:t>المذكورة</w:t>
      </w:r>
      <w:r w:rsidRPr="00A0701B">
        <w:rPr>
          <w:rFonts w:cs="David" w:hint="cs"/>
          <w:rtl/>
        </w:rPr>
        <w:t xml:space="preserve"> </w:t>
      </w:r>
      <w:r w:rsidRPr="00A0701B">
        <w:rPr>
          <w:rFonts w:ascii="Arial" w:hAnsi="Arial" w:cs="Arial" w:hint="cs"/>
          <w:rtl/>
        </w:rPr>
        <w:t>لن</w:t>
      </w:r>
      <w:r w:rsidRPr="00A0701B">
        <w:rPr>
          <w:rFonts w:cs="David" w:hint="cs"/>
          <w:rtl/>
        </w:rPr>
        <w:t xml:space="preserve"> </w:t>
      </w:r>
      <w:r w:rsidRPr="00A0701B">
        <w:rPr>
          <w:rFonts w:ascii="Arial" w:hAnsi="Arial" w:cs="Arial" w:hint="cs"/>
          <w:rtl/>
        </w:rPr>
        <w:t>يكون</w:t>
      </w:r>
      <w:r w:rsidRPr="00A0701B">
        <w:rPr>
          <w:rFonts w:cs="David" w:hint="cs"/>
          <w:rtl/>
        </w:rPr>
        <w:t xml:space="preserve"> </w:t>
      </w:r>
      <w:r w:rsidRPr="00A0701B">
        <w:rPr>
          <w:rFonts w:ascii="Arial" w:hAnsi="Arial" w:cs="Arial" w:hint="cs"/>
          <w:rtl/>
        </w:rPr>
        <w:t>بالإمكان</w:t>
      </w:r>
      <w:r w:rsidRPr="00A0701B">
        <w:rPr>
          <w:rFonts w:cs="David" w:hint="cs"/>
          <w:rtl/>
        </w:rPr>
        <w:t xml:space="preserve"> </w:t>
      </w:r>
      <w:r w:rsidRPr="00A0701B">
        <w:rPr>
          <w:rFonts w:ascii="Arial" w:hAnsi="Arial" w:cs="Arial" w:hint="cs"/>
          <w:rtl/>
        </w:rPr>
        <w:t>الاشتراك</w:t>
      </w:r>
      <w:r w:rsidRPr="00A0701B">
        <w:rPr>
          <w:rFonts w:cs="David" w:hint="cs"/>
          <w:rtl/>
        </w:rPr>
        <w:t xml:space="preserve"> </w:t>
      </w:r>
      <w:r w:rsidRPr="00A0701B">
        <w:rPr>
          <w:rFonts w:ascii="Arial" w:hAnsi="Arial" w:cs="Arial" w:hint="cs"/>
          <w:rtl/>
        </w:rPr>
        <w:t>في</w:t>
      </w:r>
      <w:r w:rsidRPr="00A0701B">
        <w:rPr>
          <w:rFonts w:cs="David" w:hint="cs"/>
          <w:rtl/>
        </w:rPr>
        <w:t xml:space="preserve"> </w:t>
      </w:r>
      <w:r w:rsidRPr="00A0701B">
        <w:rPr>
          <w:rFonts w:ascii="Arial" w:hAnsi="Arial" w:cs="Arial" w:hint="cs"/>
          <w:rtl/>
        </w:rPr>
        <w:t>الاجتماع</w:t>
      </w:r>
      <w:r w:rsidRPr="00A0701B">
        <w:rPr>
          <w:rFonts w:cs="David" w:hint="cs"/>
          <w:rtl/>
        </w:rPr>
        <w:t>.</w:t>
      </w:r>
    </w:p>
    <w:p w:rsidR="00345B9F" w:rsidRDefault="00600FAB" w:rsidP="00C46994">
      <w:pPr>
        <w:pStyle w:val="a3"/>
        <w:numPr>
          <w:ilvl w:val="0"/>
          <w:numId w:val="2"/>
        </w:numPr>
      </w:pPr>
      <w:r>
        <w:rPr>
          <w:rFonts w:hint="cs"/>
          <w:rtl/>
        </w:rPr>
        <w:t xml:space="preserve">الموعد الأخير لتقديم العروض هو </w:t>
      </w:r>
      <w:r w:rsidRPr="00300C16">
        <w:rPr>
          <w:rFonts w:hint="cs"/>
          <w:b/>
          <w:bCs/>
          <w:rtl/>
        </w:rPr>
        <w:t xml:space="preserve">يوم </w:t>
      </w:r>
      <w:r w:rsidR="00C46994" w:rsidRPr="00300C16">
        <w:rPr>
          <w:rFonts w:hint="cs"/>
          <w:b/>
          <w:bCs/>
          <w:rtl/>
        </w:rPr>
        <w:t>الخميس</w:t>
      </w:r>
      <w:r w:rsidRPr="00300C16">
        <w:rPr>
          <w:rFonts w:hint="cs"/>
          <w:b/>
          <w:bCs/>
          <w:rtl/>
        </w:rPr>
        <w:t xml:space="preserve"> الموافق </w:t>
      </w:r>
      <w:r w:rsidR="00C46994" w:rsidRPr="00300C16">
        <w:rPr>
          <w:rFonts w:hint="cs"/>
          <w:b/>
          <w:bCs/>
          <w:rtl/>
        </w:rPr>
        <w:t>20</w:t>
      </w:r>
      <w:r w:rsidRPr="00300C16">
        <w:rPr>
          <w:rFonts w:hint="cs"/>
          <w:b/>
          <w:bCs/>
          <w:rtl/>
        </w:rPr>
        <w:t xml:space="preserve"> </w:t>
      </w:r>
      <w:r w:rsidR="00C46994" w:rsidRPr="00300C16">
        <w:rPr>
          <w:rFonts w:hint="cs"/>
          <w:b/>
          <w:bCs/>
          <w:rtl/>
        </w:rPr>
        <w:t>حزيران</w:t>
      </w:r>
      <w:r w:rsidRPr="00300C16">
        <w:rPr>
          <w:rFonts w:hint="cs"/>
          <w:b/>
          <w:bCs/>
          <w:rtl/>
        </w:rPr>
        <w:t xml:space="preserve"> 2019, في الساعة 12:00</w:t>
      </w:r>
      <w:r>
        <w:rPr>
          <w:rFonts w:hint="cs"/>
          <w:rtl/>
        </w:rPr>
        <w:t>.</w:t>
      </w:r>
    </w:p>
    <w:p w:rsidR="00897D95" w:rsidRDefault="00600FAB" w:rsidP="00897D95">
      <w:pPr>
        <w:pStyle w:val="a3"/>
        <w:numPr>
          <w:ilvl w:val="0"/>
          <w:numId w:val="2"/>
        </w:numPr>
      </w:pPr>
      <w:r>
        <w:rPr>
          <w:rFonts w:hint="cs"/>
          <w:rtl/>
        </w:rPr>
        <w:t xml:space="preserve">مستندات المناقصة بأكملها مُتاحة في موقع بنك إسرائيل على الانترنت بالعنوان: </w:t>
      </w:r>
      <w:hyperlink r:id="rId6" w:history="1">
        <w:r w:rsidRPr="00B47EE3">
          <w:rPr>
            <w:rStyle w:val="Hyperlink"/>
          </w:rPr>
          <w:t>www.boi.org.il</w:t>
        </w:r>
      </w:hyperlink>
      <w:r>
        <w:rPr>
          <w:rFonts w:hint="cs"/>
          <w:rtl/>
        </w:rPr>
        <w:t>, تحت "مناقصات وتعاقدات", ويُمكن تحميلها من هناك.</w:t>
      </w:r>
    </w:p>
    <w:p w:rsidR="00897D95" w:rsidRDefault="00C431AD" w:rsidP="00300C16">
      <w:pPr>
        <w:pStyle w:val="a3"/>
        <w:numPr>
          <w:ilvl w:val="0"/>
          <w:numId w:val="2"/>
        </w:numPr>
      </w:pPr>
      <w:r>
        <w:rPr>
          <w:rFonts w:hint="cs"/>
          <w:rtl/>
        </w:rPr>
        <w:t xml:space="preserve">يتم نشر هذا الإعلان أيضاً في موقع البنك, بالعبرية والعربية, وأيضاً في صحيفة باللغة العربية. مع ذلك فإن الصيغة المُلزمة هي الصيغة التي تم نشرها باللغة العبرية. للاستيضاح يُمكن الاتصال على هاتف رقم </w:t>
      </w:r>
      <w:r w:rsidR="00300C16">
        <w:rPr>
          <w:rFonts w:hint="cs"/>
          <w:rtl/>
        </w:rPr>
        <w:t>6552783</w:t>
      </w:r>
      <w:r>
        <w:rPr>
          <w:rFonts w:hint="cs"/>
          <w:rtl/>
        </w:rPr>
        <w:t xml:space="preserve">-02 أو بواسطة البريد الالكتروني </w:t>
      </w:r>
      <w:hyperlink r:id="rId7" w:history="1">
        <w:r w:rsidRPr="00B47EE3">
          <w:rPr>
            <w:rStyle w:val="Hyperlink"/>
          </w:rPr>
          <w:t>tenders@boi.org.il</w:t>
        </w:r>
      </w:hyperlink>
      <w:r>
        <w:rPr>
          <w:rFonts w:hint="cs"/>
          <w:rtl/>
        </w:rPr>
        <w:t>.</w:t>
      </w:r>
    </w:p>
    <w:p w:rsidR="00C431AD" w:rsidRDefault="000358E1" w:rsidP="00897D95">
      <w:pPr>
        <w:pStyle w:val="a3"/>
        <w:numPr>
          <w:ilvl w:val="0"/>
          <w:numId w:val="2"/>
        </w:numPr>
      </w:pPr>
      <w:r>
        <w:rPr>
          <w:rFonts w:hint="cs"/>
          <w:rtl/>
        </w:rPr>
        <w:t xml:space="preserve">يحق للبنك, في أي وقت قبل الموعد الأخير لتقديم العروض, إجراء تغييرات في مستندات المناقصة (يشمل تغيير مواعيد, شروط الحد الأدنى والتفاصيل الأخرى, بمبادرة منه أو كرد على أسئلة مُقدمي العروض). </w:t>
      </w:r>
      <w:r w:rsidR="00C41505">
        <w:rPr>
          <w:rFonts w:hint="cs"/>
          <w:rtl/>
        </w:rPr>
        <w:t>سيكون أي تغيير خطياً, وسيُنشر في موقع البنك على الانترنت وسيُرسل لجميع الجهات التي أرسلت أسئلتها الاستفسارية, ولكل من شارك في اجتماع مُقدمي العروض.</w:t>
      </w:r>
    </w:p>
    <w:p w:rsidR="00F273C2" w:rsidRDefault="000968C3" w:rsidP="00F273C2">
      <w:pPr>
        <w:jc w:val="center"/>
        <w:rPr>
          <w:b/>
          <w:bCs/>
          <w:rtl/>
        </w:rPr>
      </w:pPr>
      <w:r w:rsidRPr="00CC4E4D">
        <w:rPr>
          <w:rFonts w:hint="cs"/>
          <w:b/>
          <w:bCs/>
          <w:rtl/>
        </w:rPr>
        <w:t xml:space="preserve">البنك غير مُلزم بقبول العرض الأرخص أو أي عرض آخر. </w:t>
      </w:r>
    </w:p>
    <w:p w:rsidR="000968C3" w:rsidRPr="00CC4E4D" w:rsidRDefault="000968C3" w:rsidP="00F273C2">
      <w:pPr>
        <w:jc w:val="center"/>
        <w:rPr>
          <w:b/>
          <w:bCs/>
          <w:rtl/>
        </w:rPr>
      </w:pPr>
      <w:r w:rsidRPr="00CC4E4D">
        <w:rPr>
          <w:rFonts w:hint="cs"/>
          <w:b/>
          <w:bCs/>
          <w:rtl/>
        </w:rPr>
        <w:lastRenderedPageBreak/>
        <w:t>في حالة وجود تناقض أو عدم ملائمة بين هذا الإعلان وبين مستندات المناقصة, تكون مستندات المناقصة هي المُلزمة.</w:t>
      </w:r>
    </w:p>
    <w:p w:rsidR="00B444A7" w:rsidRDefault="00B444A7" w:rsidP="00F273C2">
      <w:pPr>
        <w:jc w:val="center"/>
        <w:rPr>
          <w:rtl/>
        </w:rPr>
      </w:pPr>
    </w:p>
    <w:p w:rsidR="00B444A7" w:rsidRDefault="00B444A7"/>
    <w:sectPr w:rsidR="00B444A7" w:rsidSect="00F20B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215"/>
    <w:multiLevelType w:val="hybridMultilevel"/>
    <w:tmpl w:val="13E80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077AB"/>
    <w:multiLevelType w:val="multilevel"/>
    <w:tmpl w:val="78EC81DC"/>
    <w:lvl w:ilvl="0">
      <w:start w:val="1"/>
      <w:numFmt w:val="decimal"/>
      <w:lvlText w:val="%1."/>
      <w:lvlJc w:val="left"/>
      <w:pPr>
        <w:ind w:left="720" w:hanging="360"/>
      </w:pPr>
      <w:rPr>
        <w:rFonts w:hint="default"/>
      </w:rPr>
    </w:lvl>
    <w:lvl w:ilvl="1">
      <w:start w:val="1"/>
      <w:numFmt w:val="arabicAbjad"/>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38251737"/>
    <w:multiLevelType w:val="multilevel"/>
    <w:tmpl w:val="B07ADA8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7428E3"/>
    <w:multiLevelType w:val="multilevel"/>
    <w:tmpl w:val="917A9F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A7"/>
    <w:rsid w:val="00004143"/>
    <w:rsid w:val="000358E1"/>
    <w:rsid w:val="000968C3"/>
    <w:rsid w:val="000B441D"/>
    <w:rsid w:val="000B6217"/>
    <w:rsid w:val="00135EC5"/>
    <w:rsid w:val="001377D3"/>
    <w:rsid w:val="00167DE2"/>
    <w:rsid w:val="001F4A23"/>
    <w:rsid w:val="00204CDB"/>
    <w:rsid w:val="00210EB4"/>
    <w:rsid w:val="00230F48"/>
    <w:rsid w:val="00300C16"/>
    <w:rsid w:val="00345B9F"/>
    <w:rsid w:val="003507C6"/>
    <w:rsid w:val="00382A49"/>
    <w:rsid w:val="00416B0D"/>
    <w:rsid w:val="00462E46"/>
    <w:rsid w:val="004C4CF9"/>
    <w:rsid w:val="005342E1"/>
    <w:rsid w:val="00567B76"/>
    <w:rsid w:val="00591F7A"/>
    <w:rsid w:val="00600FAB"/>
    <w:rsid w:val="00661735"/>
    <w:rsid w:val="00665F5A"/>
    <w:rsid w:val="006829F1"/>
    <w:rsid w:val="006904B6"/>
    <w:rsid w:val="006B0817"/>
    <w:rsid w:val="006C2C94"/>
    <w:rsid w:val="006C3B8C"/>
    <w:rsid w:val="007058FD"/>
    <w:rsid w:val="00713D8D"/>
    <w:rsid w:val="00726C03"/>
    <w:rsid w:val="00763B13"/>
    <w:rsid w:val="007F2F87"/>
    <w:rsid w:val="007F4856"/>
    <w:rsid w:val="00831AD3"/>
    <w:rsid w:val="00843E14"/>
    <w:rsid w:val="008677C8"/>
    <w:rsid w:val="00897D95"/>
    <w:rsid w:val="00906C0B"/>
    <w:rsid w:val="00916758"/>
    <w:rsid w:val="00925A03"/>
    <w:rsid w:val="00991D68"/>
    <w:rsid w:val="009D52BE"/>
    <w:rsid w:val="009F5511"/>
    <w:rsid w:val="00A26100"/>
    <w:rsid w:val="00A64CB2"/>
    <w:rsid w:val="00A71FB4"/>
    <w:rsid w:val="00A81972"/>
    <w:rsid w:val="00AA4266"/>
    <w:rsid w:val="00AE6858"/>
    <w:rsid w:val="00B079D8"/>
    <w:rsid w:val="00B444A7"/>
    <w:rsid w:val="00B467CF"/>
    <w:rsid w:val="00B47EDF"/>
    <w:rsid w:val="00C03CBD"/>
    <w:rsid w:val="00C047A7"/>
    <w:rsid w:val="00C26997"/>
    <w:rsid w:val="00C41505"/>
    <w:rsid w:val="00C431AD"/>
    <w:rsid w:val="00C45A6A"/>
    <w:rsid w:val="00C46994"/>
    <w:rsid w:val="00C50280"/>
    <w:rsid w:val="00C66438"/>
    <w:rsid w:val="00C75A08"/>
    <w:rsid w:val="00C87AF9"/>
    <w:rsid w:val="00C9108D"/>
    <w:rsid w:val="00C91E5F"/>
    <w:rsid w:val="00CC4787"/>
    <w:rsid w:val="00CC4E4D"/>
    <w:rsid w:val="00CF1461"/>
    <w:rsid w:val="00D7723E"/>
    <w:rsid w:val="00D92592"/>
    <w:rsid w:val="00DC40CA"/>
    <w:rsid w:val="00DF1A73"/>
    <w:rsid w:val="00E04068"/>
    <w:rsid w:val="00E61405"/>
    <w:rsid w:val="00E64EBC"/>
    <w:rsid w:val="00EC040A"/>
    <w:rsid w:val="00ED2A6F"/>
    <w:rsid w:val="00F20B4E"/>
    <w:rsid w:val="00F273C2"/>
    <w:rsid w:val="00F54D73"/>
    <w:rsid w:val="00F64EEB"/>
    <w:rsid w:val="00FA3DA2"/>
    <w:rsid w:val="00FA4BCE"/>
    <w:rsid w:val="00FD1792"/>
    <w:rsid w:val="00FF34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1084C-1C71-4A3E-8C21-AF0D3840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lang w:bidi="ar-A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62E46"/>
    <w:pPr>
      <w:ind w:left="720"/>
      <w:contextualSpacing/>
    </w:pPr>
  </w:style>
  <w:style w:type="character" w:styleId="Hyperlink">
    <w:name w:val="Hyperlink"/>
    <w:basedOn w:val="a0"/>
    <w:uiPriority w:val="99"/>
    <w:unhideWhenUsed/>
    <w:rsid w:val="00FF3442"/>
    <w:rPr>
      <w:color w:val="0563C1" w:themeColor="hyperlink"/>
      <w:u w:val="single"/>
    </w:rPr>
  </w:style>
  <w:style w:type="character" w:customStyle="1" w:styleId="a4">
    <w:name w:val="פיסקת רשימה תו"/>
    <w:basedOn w:val="a0"/>
    <w:link w:val="a3"/>
    <w:uiPriority w:val="34"/>
    <w:locked/>
    <w:rsid w:val="00916758"/>
    <w:rPr>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boi.org.i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i.org.il" TargetMode="External"/><Relationship Id="rId11" Type="http://schemas.openxmlformats.org/officeDocument/2006/relationships/customXml" Target="../customXml/item2.xml"/><Relationship Id="rId5" Type="http://schemas.openxmlformats.org/officeDocument/2006/relationships/hyperlink" Target="mailto:tenders@boi.org.i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8C757-A734-4C25-A78B-A1069F44A397}"/>
</file>

<file path=customXml/itemProps2.xml><?xml version="1.0" encoding="utf-8"?>
<ds:datastoreItem xmlns:ds="http://schemas.openxmlformats.org/officeDocument/2006/customXml" ds:itemID="{5FC21C1C-EBB7-49F1-BDE9-DC6906846F7B}"/>
</file>

<file path=customXml/itemProps3.xml><?xml version="1.0" encoding="utf-8"?>
<ds:datastoreItem xmlns:ds="http://schemas.openxmlformats.org/officeDocument/2006/customXml" ds:itemID="{E3FB90EB-5348-4BB2-82F9-0B27E68168D2}"/>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2905</Characters>
  <Application>Microsoft Office Word</Application>
  <DocSecurity>4</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Kassem</dc:creator>
  <cp:keywords/>
  <dc:description/>
  <cp:lastModifiedBy>קלריס אנדריאה דייטש</cp:lastModifiedBy>
  <cp:revision>2</cp:revision>
  <dcterms:created xsi:type="dcterms:W3CDTF">2019-05-27T11:35:00Z</dcterms:created>
  <dcterms:modified xsi:type="dcterms:W3CDTF">2019-05-27T11:35:00Z</dcterms:modified>
</cp:coreProperties>
</file>