
<file path=[Content_Types].xml><?xml version="1.0" encoding="utf-8"?>
<Types xmlns="http://schemas.openxmlformats.org/package/2006/content-types">
  <Default Extension="rels" ContentType="application/vnd.openxmlformats-package.relationships+xml"/>
  <Default Extension="xml" ContentType="application/xml"/>
  <Default Extension="E11969B0"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8047F" w14:textId="57E559C4" w:rsidR="00EA1D03" w:rsidRPr="00EA1D03" w:rsidRDefault="007A5CFB" w:rsidP="007A5CFB">
      <w:pPr>
        <w:pStyle w:val="regpar"/>
        <w:spacing w:line="300" w:lineRule="atLeast"/>
        <w:ind w:firstLine="0"/>
        <w:jc w:val="center"/>
        <w:rPr>
          <w:rFonts w:asciiTheme="minorHAnsi" w:hAnsiTheme="minorHAnsi" w:cstheme="minorHAnsi"/>
          <w:bCs/>
        </w:rPr>
      </w:pPr>
      <w:r w:rsidRPr="00EA1D03">
        <w:rPr>
          <w:rFonts w:asciiTheme="minorHAnsi" w:hAnsiTheme="minorHAnsi" w:cstheme="minorHAnsi"/>
          <w:noProof/>
        </w:rPr>
        <w:drawing>
          <wp:inline distT="0" distB="0" distL="0" distR="0" wp14:anchorId="14B18E7F" wp14:editId="7AB44CE4">
            <wp:extent cx="1828800" cy="638175"/>
            <wp:effectExtent l="0" t="0" r="0" b="9525"/>
            <wp:docPr id="5" name="תמונה 1" descr="logo 70-eng"/>
            <wp:cNvGraphicFramePr/>
            <a:graphic xmlns:a="http://schemas.openxmlformats.org/drawingml/2006/main">
              <a:graphicData uri="http://schemas.openxmlformats.org/drawingml/2006/picture">
                <pic:pic xmlns:pic="http://schemas.openxmlformats.org/drawingml/2006/picture">
                  <pic:nvPicPr>
                    <pic:cNvPr id="5" name="תמונה 1" descr="logo 70-e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inline>
        </w:drawing>
      </w:r>
    </w:p>
    <w:p w14:paraId="00C133D0" w14:textId="2D573C0B" w:rsidR="00EA1D03" w:rsidRPr="00EA1D03" w:rsidRDefault="00EA1D03" w:rsidP="00EA1D03">
      <w:pPr>
        <w:pStyle w:val="regpar"/>
        <w:spacing w:line="300" w:lineRule="atLeast"/>
        <w:ind w:firstLine="0"/>
        <w:jc w:val="center"/>
        <w:rPr>
          <w:rFonts w:asciiTheme="minorHAnsi" w:hAnsiTheme="minorHAnsi" w:cstheme="minorHAnsi"/>
          <w:bCs/>
        </w:rPr>
      </w:pPr>
    </w:p>
    <w:p w14:paraId="0EED6478" w14:textId="77777777" w:rsidR="00EA1D03" w:rsidRPr="00EA1D03" w:rsidRDefault="00EA1D03" w:rsidP="00EA1D03">
      <w:pPr>
        <w:pStyle w:val="regpar"/>
        <w:spacing w:line="300" w:lineRule="atLeast"/>
        <w:ind w:firstLine="0"/>
        <w:jc w:val="center"/>
        <w:rPr>
          <w:rFonts w:asciiTheme="minorHAnsi" w:hAnsiTheme="minorHAnsi" w:cstheme="minorHAnsi"/>
          <w:bCs/>
        </w:rPr>
      </w:pPr>
      <w:r w:rsidRPr="00EA1D03">
        <w:rPr>
          <w:rFonts w:asciiTheme="minorHAnsi" w:hAnsiTheme="minorHAnsi" w:cstheme="minorHAnsi"/>
          <w:bCs/>
        </w:rPr>
        <w:t>BANK OF ISRAEL</w:t>
      </w:r>
    </w:p>
    <w:p w14:paraId="44340206" w14:textId="77777777" w:rsidR="00EA1D03" w:rsidRPr="00EA1D03" w:rsidRDefault="00EA1D03" w:rsidP="00EA1D03">
      <w:pPr>
        <w:pStyle w:val="regpar"/>
        <w:spacing w:line="300" w:lineRule="atLeast"/>
        <w:ind w:firstLine="0"/>
        <w:jc w:val="center"/>
        <w:rPr>
          <w:rFonts w:asciiTheme="minorHAnsi" w:hAnsiTheme="minorHAnsi" w:cstheme="minorHAnsi"/>
        </w:rPr>
      </w:pPr>
      <w:r w:rsidRPr="00EA1D03">
        <w:rPr>
          <w:rFonts w:asciiTheme="minorHAnsi" w:hAnsiTheme="minorHAnsi" w:cstheme="minorHAnsi"/>
        </w:rPr>
        <w:t>Office of the Spokesperson and Economic Information</w:t>
      </w:r>
    </w:p>
    <w:p w14:paraId="1A3E6887" w14:textId="77777777" w:rsidR="00EA1D03" w:rsidRPr="00EA1D03" w:rsidRDefault="00EA1D03" w:rsidP="00EA1D03">
      <w:pPr>
        <w:pStyle w:val="regpar"/>
        <w:spacing w:line="300" w:lineRule="atLeast"/>
        <w:ind w:firstLine="0"/>
        <w:jc w:val="center"/>
        <w:rPr>
          <w:rFonts w:asciiTheme="minorHAnsi" w:hAnsiTheme="minorHAnsi" w:cstheme="minorHAnsi"/>
        </w:rPr>
      </w:pPr>
    </w:p>
    <w:p w14:paraId="673CB1A5" w14:textId="77777777" w:rsidR="00EA1D03" w:rsidRPr="00EA1D03" w:rsidRDefault="00EA1D03" w:rsidP="00EA1D03">
      <w:pPr>
        <w:pStyle w:val="regpar"/>
        <w:spacing w:line="300" w:lineRule="atLeast"/>
        <w:ind w:firstLine="0"/>
        <w:jc w:val="center"/>
        <w:rPr>
          <w:rFonts w:asciiTheme="minorHAnsi" w:hAnsiTheme="minorHAnsi" w:cstheme="minorHAnsi"/>
        </w:rPr>
      </w:pPr>
      <w:r w:rsidRPr="00EA1D03">
        <w:rPr>
          <w:rFonts w:asciiTheme="minorHAnsi" w:hAnsiTheme="minorHAnsi" w:cstheme="minorHAnsi"/>
        </w:rPr>
        <w:t>Press release</w:t>
      </w:r>
    </w:p>
    <w:p w14:paraId="0107D303" w14:textId="64527A00" w:rsidR="006A415B" w:rsidRPr="00EA1D03" w:rsidRDefault="006A415B" w:rsidP="00C2592B">
      <w:pPr>
        <w:pStyle w:val="1"/>
        <w:numPr>
          <w:ilvl w:val="0"/>
          <w:numId w:val="0"/>
        </w:numPr>
        <w:tabs>
          <w:tab w:val="left" w:pos="180"/>
        </w:tabs>
        <w:bidi w:val="0"/>
        <w:spacing w:line="240" w:lineRule="auto"/>
        <w:ind w:right="32"/>
        <w:rPr>
          <w:rFonts w:asciiTheme="minorHAnsi" w:hAnsiTheme="minorHAnsi" w:cstheme="minorHAnsi"/>
          <w:lang w:eastAsia="en-US"/>
        </w:rPr>
      </w:pPr>
    </w:p>
    <w:p w14:paraId="2436C699" w14:textId="12278B17" w:rsidR="006A415B" w:rsidRPr="00EA1D03" w:rsidRDefault="00F3022D" w:rsidP="00EA1D03">
      <w:pPr>
        <w:pStyle w:val="aa"/>
        <w:bidi w:val="0"/>
        <w:spacing w:line="240" w:lineRule="auto"/>
        <w:jc w:val="right"/>
        <w:rPr>
          <w:rFonts w:asciiTheme="minorHAnsi" w:hAnsiTheme="minorHAnsi" w:cstheme="minorHAnsi"/>
        </w:rPr>
      </w:pPr>
      <w:r w:rsidRPr="00EA1D03">
        <w:rPr>
          <w:rFonts w:asciiTheme="minorHAnsi" w:hAnsiTheme="minorHAnsi" w:cstheme="minorHAnsi"/>
        </w:rPr>
        <w:t>August 20</w:t>
      </w:r>
      <w:r w:rsidR="00A541E1" w:rsidRPr="00EA1D03">
        <w:rPr>
          <w:rFonts w:asciiTheme="minorHAnsi" w:hAnsiTheme="minorHAnsi" w:cstheme="minorHAnsi"/>
        </w:rPr>
        <w:t>, 2025</w:t>
      </w:r>
    </w:p>
    <w:p w14:paraId="1F2B89CF" w14:textId="77777777" w:rsidR="00EA1D03" w:rsidRPr="00EA1D03" w:rsidRDefault="00EA1D03" w:rsidP="00A541E1">
      <w:pPr>
        <w:jc w:val="center"/>
        <w:rPr>
          <w:rFonts w:asciiTheme="minorHAnsi" w:hAnsiTheme="minorHAnsi" w:cstheme="minorHAnsi"/>
          <w:b/>
          <w:bCs/>
          <w:rtl/>
        </w:rPr>
      </w:pPr>
    </w:p>
    <w:p w14:paraId="07304A0C" w14:textId="31418ED8" w:rsidR="006A415B" w:rsidRPr="00EA1D03" w:rsidRDefault="006A415B" w:rsidP="00EA1D03">
      <w:pPr>
        <w:jc w:val="center"/>
        <w:rPr>
          <w:rFonts w:asciiTheme="minorHAnsi" w:hAnsiTheme="minorHAnsi" w:cstheme="minorHAnsi"/>
          <w:b/>
          <w:bCs/>
          <w:sz w:val="28"/>
          <w:szCs w:val="28"/>
        </w:rPr>
      </w:pPr>
      <w:r w:rsidRPr="00EA1D03">
        <w:rPr>
          <w:rFonts w:asciiTheme="minorHAnsi" w:hAnsiTheme="minorHAnsi" w:cstheme="minorHAnsi"/>
          <w:b/>
          <w:bCs/>
          <w:sz w:val="28"/>
          <w:szCs w:val="28"/>
        </w:rPr>
        <w:t xml:space="preserve">The Monetary Committee decides on </w:t>
      </w:r>
      <w:r w:rsidR="00F3022D" w:rsidRPr="00EA1D03">
        <w:rPr>
          <w:rFonts w:asciiTheme="minorHAnsi" w:hAnsiTheme="minorHAnsi" w:cstheme="minorHAnsi"/>
          <w:b/>
          <w:bCs/>
          <w:sz w:val="28"/>
          <w:szCs w:val="28"/>
        </w:rPr>
        <w:t>August 20</w:t>
      </w:r>
      <w:r w:rsidR="005B062A" w:rsidRPr="00EA1D03">
        <w:rPr>
          <w:rFonts w:asciiTheme="minorHAnsi" w:hAnsiTheme="minorHAnsi" w:cstheme="minorHAnsi"/>
          <w:b/>
          <w:bCs/>
          <w:sz w:val="28"/>
          <w:szCs w:val="28"/>
        </w:rPr>
        <w:t>, 2025</w:t>
      </w:r>
      <w:r w:rsidRPr="00EA1D03">
        <w:rPr>
          <w:rFonts w:asciiTheme="minorHAnsi" w:hAnsiTheme="minorHAnsi" w:cstheme="minorHAnsi"/>
          <w:b/>
          <w:bCs/>
          <w:sz w:val="28"/>
          <w:szCs w:val="28"/>
        </w:rPr>
        <w:t xml:space="preserve"> to </w:t>
      </w:r>
      <w:r w:rsidR="00BE5BD6" w:rsidRPr="00EA1D03">
        <w:rPr>
          <w:rFonts w:asciiTheme="minorHAnsi" w:hAnsiTheme="minorHAnsi" w:cstheme="minorHAnsi"/>
          <w:b/>
          <w:bCs/>
          <w:sz w:val="28"/>
          <w:szCs w:val="28"/>
        </w:rPr>
        <w:t>leave the interest rate unchanged at 4.5 percent.</w:t>
      </w:r>
    </w:p>
    <w:p w14:paraId="543A60B3" w14:textId="77777777" w:rsidR="00285B3C" w:rsidRPr="00EA1D03" w:rsidRDefault="00285B3C" w:rsidP="00285B3C">
      <w:pPr>
        <w:jc w:val="both"/>
        <w:rPr>
          <w:rFonts w:asciiTheme="minorHAnsi" w:hAnsiTheme="minorHAnsi" w:cstheme="minorHAnsi"/>
          <w:sz w:val="28"/>
          <w:szCs w:val="28"/>
        </w:rPr>
      </w:pPr>
    </w:p>
    <w:p w14:paraId="5E9CA478" w14:textId="77777777" w:rsidR="00285B3C" w:rsidRPr="00EA1D03" w:rsidRDefault="00285B3C" w:rsidP="00285B3C">
      <w:pPr>
        <w:pStyle w:val="NormalWeb"/>
        <w:numPr>
          <w:ilvl w:val="0"/>
          <w:numId w:val="14"/>
        </w:numPr>
        <w:shd w:val="clear" w:color="auto" w:fill="FFFFFF"/>
        <w:spacing w:before="0" w:beforeAutospacing="0" w:after="0" w:afterAutospacing="0"/>
        <w:ind w:left="350" w:hanging="357"/>
        <w:jc w:val="both"/>
        <w:rPr>
          <w:rFonts w:asciiTheme="minorHAnsi" w:hAnsiTheme="minorHAnsi" w:cstheme="minorHAnsi"/>
          <w:b/>
          <w:bCs/>
          <w:color w:val="000000" w:themeColor="text1"/>
        </w:rPr>
      </w:pPr>
      <w:r w:rsidRPr="00EA1D03">
        <w:rPr>
          <w:rFonts w:asciiTheme="minorHAnsi" w:hAnsiTheme="minorHAnsi" w:cstheme="minorHAnsi"/>
          <w:b/>
          <w:bCs/>
          <w:color w:val="000000" w:themeColor="text1"/>
        </w:rPr>
        <w:t>Economic activity is recovering following a marked decline during the military operation against Iran.  The high level of geopolitical uncertainty continues.</w:t>
      </w:r>
    </w:p>
    <w:p w14:paraId="3A5E6995" w14:textId="77777777" w:rsidR="00285B3C" w:rsidRPr="00EA1D03" w:rsidRDefault="00285B3C" w:rsidP="00285B3C">
      <w:pPr>
        <w:pStyle w:val="NormalWeb"/>
        <w:numPr>
          <w:ilvl w:val="0"/>
          <w:numId w:val="14"/>
        </w:numPr>
        <w:shd w:val="clear" w:color="auto" w:fill="FFFFFF"/>
        <w:spacing w:before="0" w:beforeAutospacing="0" w:after="0" w:afterAutospacing="0"/>
        <w:ind w:left="350" w:hanging="357"/>
        <w:jc w:val="both"/>
        <w:rPr>
          <w:rFonts w:asciiTheme="minorHAnsi" w:hAnsiTheme="minorHAnsi" w:cstheme="minorHAnsi"/>
          <w:b/>
          <w:bCs/>
          <w:color w:val="000000" w:themeColor="text1"/>
        </w:rPr>
      </w:pPr>
      <w:r w:rsidRPr="00EA1D03">
        <w:rPr>
          <w:rFonts w:asciiTheme="minorHAnsi" w:hAnsiTheme="minorHAnsi" w:cstheme="minorHAnsi"/>
          <w:b/>
          <w:bCs/>
          <w:color w:val="000000" w:themeColor="text1"/>
        </w:rPr>
        <w:t>During the reviewed period, Israel’s risk premium stabilized at a level lower than it was prior to the Iran operation, but remained higher than it was before Gaza War.</w:t>
      </w:r>
    </w:p>
    <w:p w14:paraId="530558BD" w14:textId="77777777" w:rsidR="00285B3C" w:rsidRPr="00EA1D03" w:rsidRDefault="00285B3C" w:rsidP="00285B3C">
      <w:pPr>
        <w:pStyle w:val="NormalWeb"/>
        <w:numPr>
          <w:ilvl w:val="0"/>
          <w:numId w:val="14"/>
        </w:numPr>
        <w:shd w:val="clear" w:color="auto" w:fill="FFFFFF"/>
        <w:spacing w:before="0" w:beforeAutospacing="0" w:after="0" w:afterAutospacing="0"/>
        <w:ind w:left="350" w:hanging="357"/>
        <w:jc w:val="both"/>
        <w:rPr>
          <w:rFonts w:asciiTheme="minorHAnsi" w:hAnsiTheme="minorHAnsi" w:cstheme="minorHAnsi"/>
          <w:b/>
          <w:bCs/>
          <w:color w:val="000000" w:themeColor="text1"/>
        </w:rPr>
      </w:pPr>
      <w:r w:rsidRPr="00EA1D03">
        <w:rPr>
          <w:rFonts w:asciiTheme="minorHAnsi" w:hAnsiTheme="minorHAnsi" w:cstheme="minorHAnsi"/>
          <w:b/>
          <w:bCs/>
          <w:color w:val="000000" w:themeColor="text1"/>
        </w:rPr>
        <w:t>Inflation in the past 12 months declined to 3.1 percent, which is slightly above the upper bound of the target range.</w:t>
      </w:r>
    </w:p>
    <w:p w14:paraId="0F2A1BD0" w14:textId="77777777" w:rsidR="00285B3C" w:rsidRPr="00EA1D03" w:rsidRDefault="00285B3C" w:rsidP="00285B3C">
      <w:pPr>
        <w:pStyle w:val="NormalWeb"/>
        <w:numPr>
          <w:ilvl w:val="0"/>
          <w:numId w:val="14"/>
        </w:numPr>
        <w:shd w:val="clear" w:color="auto" w:fill="FFFFFF"/>
        <w:spacing w:before="0" w:beforeAutospacing="0" w:after="0" w:afterAutospacing="0"/>
        <w:ind w:left="350" w:hanging="357"/>
        <w:jc w:val="both"/>
        <w:rPr>
          <w:rFonts w:asciiTheme="minorHAnsi" w:hAnsiTheme="minorHAnsi" w:cstheme="minorHAnsi"/>
          <w:b/>
          <w:bCs/>
          <w:color w:val="000000" w:themeColor="text1"/>
        </w:rPr>
      </w:pPr>
      <w:r w:rsidRPr="00EA1D03">
        <w:rPr>
          <w:rFonts w:asciiTheme="minorHAnsi" w:hAnsiTheme="minorHAnsi" w:cstheme="minorHAnsi"/>
          <w:b/>
          <w:bCs/>
          <w:color w:val="000000" w:themeColor="text1"/>
        </w:rPr>
        <w:t>GDP contracted by 3.5 percent in annual terms in the second quarter.  However, this does not reflect the level of activity throughout the second quarter, in view of the significant impact of the Iran operation.  Net of this impact, growth was positive but lower than the economy’s long-term potential growth.</w:t>
      </w:r>
    </w:p>
    <w:p w14:paraId="5D79A32C" w14:textId="77777777" w:rsidR="00285B3C" w:rsidRPr="00EA1D03" w:rsidRDefault="00285B3C" w:rsidP="00285B3C">
      <w:pPr>
        <w:pStyle w:val="NormalWeb"/>
        <w:numPr>
          <w:ilvl w:val="0"/>
          <w:numId w:val="14"/>
        </w:numPr>
        <w:shd w:val="clear" w:color="auto" w:fill="FFFFFF"/>
        <w:spacing w:before="0" w:beforeAutospacing="0" w:after="0" w:afterAutospacing="0"/>
        <w:ind w:left="350" w:hanging="357"/>
        <w:jc w:val="both"/>
        <w:rPr>
          <w:rFonts w:asciiTheme="minorHAnsi" w:hAnsiTheme="minorHAnsi" w:cstheme="minorHAnsi"/>
          <w:b/>
          <w:bCs/>
          <w:color w:val="000000" w:themeColor="text1"/>
        </w:rPr>
      </w:pPr>
      <w:r w:rsidRPr="00EA1D03">
        <w:rPr>
          <w:rFonts w:asciiTheme="minorHAnsi" w:hAnsiTheme="minorHAnsi" w:cstheme="minorHAnsi"/>
          <w:b/>
          <w:bCs/>
          <w:color w:val="000000" w:themeColor="text1"/>
        </w:rPr>
        <w:t xml:space="preserve">Current indicators of economic activity in July point to a rapid return to a level of activity similar to what it was prior to the Iran operation. </w:t>
      </w:r>
    </w:p>
    <w:p w14:paraId="1E75BA0F" w14:textId="77777777" w:rsidR="00285B3C" w:rsidRPr="00EA1D03" w:rsidRDefault="00285B3C" w:rsidP="00285B3C">
      <w:pPr>
        <w:pStyle w:val="NormalWeb"/>
        <w:numPr>
          <w:ilvl w:val="0"/>
          <w:numId w:val="14"/>
        </w:numPr>
        <w:shd w:val="clear" w:color="auto" w:fill="FFFFFF"/>
        <w:spacing w:before="0" w:beforeAutospacing="0" w:after="0" w:afterAutospacing="0"/>
        <w:ind w:left="350" w:hanging="357"/>
        <w:jc w:val="both"/>
        <w:rPr>
          <w:rFonts w:asciiTheme="minorHAnsi" w:hAnsiTheme="minorHAnsi" w:cstheme="minorHAnsi"/>
          <w:b/>
          <w:bCs/>
          <w:color w:val="000000" w:themeColor="text1"/>
        </w:rPr>
      </w:pPr>
      <w:r w:rsidRPr="00EA1D03">
        <w:rPr>
          <w:rFonts w:asciiTheme="minorHAnsi" w:hAnsiTheme="minorHAnsi" w:cstheme="minorHAnsi"/>
          <w:b/>
          <w:bCs/>
          <w:color w:val="000000" w:themeColor="text1"/>
        </w:rPr>
        <w:t>In the past four months, home prices have declined, and the pace of the year-over-year increase in home prices continues to moderate, to 2.5 percent in May-June.</w:t>
      </w:r>
    </w:p>
    <w:p w14:paraId="256F9A95" w14:textId="77777777" w:rsidR="00285B3C" w:rsidRPr="00EA1D03" w:rsidRDefault="00285B3C" w:rsidP="00285B3C">
      <w:pPr>
        <w:pStyle w:val="NormalWeb"/>
        <w:numPr>
          <w:ilvl w:val="0"/>
          <w:numId w:val="14"/>
        </w:numPr>
        <w:shd w:val="clear" w:color="auto" w:fill="FFFFFF"/>
        <w:spacing w:before="0" w:beforeAutospacing="0" w:after="0" w:afterAutospacing="0"/>
        <w:ind w:left="350" w:hanging="357"/>
        <w:jc w:val="both"/>
        <w:rPr>
          <w:rFonts w:asciiTheme="minorHAnsi" w:hAnsiTheme="minorHAnsi" w:cstheme="minorHAnsi"/>
          <w:b/>
          <w:bCs/>
          <w:color w:val="242424"/>
        </w:rPr>
      </w:pPr>
      <w:r w:rsidRPr="00EA1D03">
        <w:rPr>
          <w:rFonts w:asciiTheme="minorHAnsi" w:hAnsiTheme="minorHAnsi" w:cstheme="minorHAnsi"/>
          <w:b/>
          <w:bCs/>
          <w:color w:val="000000" w:themeColor="text1"/>
        </w:rPr>
        <w:t>Since the previous interest rate decision, the shekel has depreciated by 1.3 percent against the US dollar, by 0.9 percent against the euro, and by 0.8 percent in terms of the nominal effective exchange rate</w:t>
      </w:r>
      <w:r w:rsidRPr="00EA1D03">
        <w:rPr>
          <w:rFonts w:asciiTheme="minorHAnsi" w:hAnsiTheme="minorHAnsi" w:cstheme="minorHAnsi"/>
          <w:b/>
          <w:bCs/>
          <w:color w:val="242424"/>
        </w:rPr>
        <w:t>.</w:t>
      </w:r>
    </w:p>
    <w:p w14:paraId="458A0465" w14:textId="77777777" w:rsidR="00285B3C" w:rsidRPr="00EA1D03" w:rsidRDefault="00285B3C" w:rsidP="00285B3C">
      <w:pPr>
        <w:ind w:right="-1"/>
        <w:jc w:val="both"/>
        <w:rPr>
          <w:rFonts w:asciiTheme="minorHAnsi" w:hAnsiTheme="minorHAnsi" w:cstheme="minorHAnsi"/>
          <w:b/>
          <w:bCs/>
        </w:rPr>
      </w:pPr>
    </w:p>
    <w:p w14:paraId="5AD76E5B" w14:textId="77777777" w:rsidR="00285B3C" w:rsidRPr="00EA1D03" w:rsidRDefault="00285B3C" w:rsidP="00285B3C">
      <w:pPr>
        <w:ind w:right="-1"/>
        <w:jc w:val="both"/>
        <w:rPr>
          <w:rFonts w:asciiTheme="minorHAnsi" w:hAnsiTheme="minorHAnsi" w:cstheme="minorHAnsi"/>
          <w:b/>
          <w:bCs/>
        </w:rPr>
      </w:pPr>
      <w:r w:rsidRPr="00EA1D03">
        <w:rPr>
          <w:rFonts w:asciiTheme="minorHAnsi" w:hAnsiTheme="minorHAnsi" w:cstheme="minorHAnsi"/>
          <w:b/>
          <w:bCs/>
        </w:rPr>
        <w:t>In view of the geopolitical uncertainty, the interest rate path will be determined in accordance with the convergence of inflation to its target range, stability in the financial markets, economic activity, and fiscal policy.</w:t>
      </w:r>
    </w:p>
    <w:p w14:paraId="15B186D5" w14:textId="77777777" w:rsidR="00285B3C" w:rsidRPr="00EA1D03" w:rsidRDefault="00285B3C" w:rsidP="00285B3C">
      <w:pPr>
        <w:ind w:right="265"/>
        <w:jc w:val="both"/>
        <w:rPr>
          <w:rFonts w:asciiTheme="minorHAnsi" w:hAnsiTheme="minorHAnsi" w:cstheme="minorHAnsi"/>
          <w:b/>
          <w:bCs/>
        </w:rPr>
      </w:pPr>
    </w:p>
    <w:p w14:paraId="568E50D3" w14:textId="77777777" w:rsidR="00285B3C" w:rsidRPr="00EA1D03" w:rsidRDefault="00285B3C" w:rsidP="00285B3C">
      <w:pPr>
        <w:ind w:right="265"/>
        <w:jc w:val="both"/>
        <w:rPr>
          <w:rFonts w:asciiTheme="minorHAnsi" w:hAnsiTheme="minorHAnsi" w:cstheme="minorHAnsi"/>
          <w:b/>
          <w:bCs/>
        </w:rPr>
      </w:pPr>
    </w:p>
    <w:p w14:paraId="2CBF9861" w14:textId="77777777" w:rsidR="00285B3C" w:rsidRPr="00EA1D03" w:rsidRDefault="00285B3C" w:rsidP="00285B3C">
      <w:pPr>
        <w:rPr>
          <w:rFonts w:asciiTheme="minorHAnsi" w:hAnsiTheme="minorHAnsi" w:cstheme="minorHAnsi"/>
          <w:b/>
          <w:bCs/>
        </w:rPr>
      </w:pPr>
      <w:r w:rsidRPr="00EA1D03">
        <w:rPr>
          <w:rFonts w:asciiTheme="minorHAnsi" w:hAnsiTheme="minorHAnsi" w:cstheme="minorHAnsi"/>
          <w:b/>
          <w:bCs/>
        </w:rPr>
        <w:t>For the file of figures accompanying this notice, click here.</w:t>
      </w:r>
    </w:p>
    <w:p w14:paraId="4D458007" w14:textId="77777777" w:rsidR="00285B3C" w:rsidRPr="00EA1D03" w:rsidRDefault="00285B3C" w:rsidP="00285B3C">
      <w:pPr>
        <w:jc w:val="both"/>
        <w:rPr>
          <w:rFonts w:asciiTheme="minorHAnsi" w:hAnsiTheme="minorHAnsi" w:cstheme="minorHAnsi"/>
        </w:rPr>
      </w:pPr>
    </w:p>
    <w:p w14:paraId="7E4D6E9F" w14:textId="77777777" w:rsidR="00285B3C" w:rsidRPr="00EA1D03" w:rsidRDefault="00285B3C" w:rsidP="00285B3C">
      <w:pPr>
        <w:ind w:right="-1"/>
        <w:jc w:val="both"/>
        <w:rPr>
          <w:rFonts w:asciiTheme="minorHAnsi" w:hAnsiTheme="minorHAnsi" w:cstheme="minorHAnsi"/>
        </w:rPr>
      </w:pPr>
    </w:p>
    <w:p w14:paraId="7B99C10B" w14:textId="77777777" w:rsidR="00285B3C" w:rsidRDefault="00285B3C" w:rsidP="00285B3C">
      <w:pPr>
        <w:ind w:right="-1"/>
        <w:jc w:val="both"/>
        <w:rPr>
          <w:rFonts w:asciiTheme="minorHAnsi" w:hAnsiTheme="minorHAnsi" w:cstheme="minorHAnsi"/>
        </w:rPr>
      </w:pPr>
      <w:r w:rsidRPr="00EA1D03">
        <w:rPr>
          <w:rFonts w:asciiTheme="minorHAnsi" w:hAnsiTheme="minorHAnsi" w:cstheme="minorHAnsi"/>
        </w:rPr>
        <w:t xml:space="preserve">Economic activity is recovering following a marked decline during the military operation against Iran in June, alongside continued high geopolitical uncertainty.  Annual inflation is slightly above the target range. During the reviewed period, Israel’s risk premium stabilized at a level that is lower than it was prior to the Iran operation, but remains higher than it was before the Swords of Iron War. </w:t>
      </w:r>
    </w:p>
    <w:p w14:paraId="548FC9CB" w14:textId="77777777" w:rsidR="00285B3C" w:rsidRPr="00EA1D03" w:rsidRDefault="00285B3C" w:rsidP="00285B3C">
      <w:pPr>
        <w:ind w:right="-1"/>
        <w:jc w:val="both"/>
        <w:rPr>
          <w:rFonts w:asciiTheme="minorHAnsi" w:hAnsiTheme="minorHAnsi" w:cstheme="minorHAnsi"/>
        </w:rPr>
      </w:pPr>
      <w:r w:rsidRPr="00EA1D03">
        <w:rPr>
          <w:rFonts w:asciiTheme="minorHAnsi" w:hAnsiTheme="minorHAnsi" w:cstheme="minorHAnsi"/>
        </w:rPr>
        <w:lastRenderedPageBreak/>
        <w:t>The Consumer Price Index for June increased by 0.3% and the Index for July increased by 0.4 percent. The annual inflation rate declined to 3.1 percent in July, slightly above the upper bound of the target range (</w:t>
      </w:r>
      <w:r w:rsidRPr="00EA1D03">
        <w:rPr>
          <w:rFonts w:asciiTheme="minorHAnsi" w:hAnsiTheme="minorHAnsi" w:cstheme="minorHAnsi"/>
          <w:b/>
          <w:bCs/>
        </w:rPr>
        <w:t>Figure 1</w:t>
      </w:r>
      <w:r w:rsidRPr="00EA1D03">
        <w:rPr>
          <w:rFonts w:asciiTheme="minorHAnsi" w:hAnsiTheme="minorHAnsi" w:cstheme="minorHAnsi"/>
        </w:rPr>
        <w:t xml:space="preserve">).  However, inflation in recent months </w:t>
      </w:r>
      <w:proofErr w:type="gramStart"/>
      <w:r w:rsidRPr="00EA1D03">
        <w:rPr>
          <w:rFonts w:asciiTheme="minorHAnsi" w:hAnsiTheme="minorHAnsi" w:cstheme="minorHAnsi"/>
        </w:rPr>
        <w:t>has been characterized</w:t>
      </w:r>
      <w:proofErr w:type="gramEnd"/>
      <w:r w:rsidRPr="00EA1D03">
        <w:rPr>
          <w:rFonts w:asciiTheme="minorHAnsi" w:hAnsiTheme="minorHAnsi" w:cstheme="minorHAnsi"/>
        </w:rPr>
        <w:t xml:space="preserve"> by high volatility. Net of </w:t>
      </w:r>
      <w:proofErr w:type="gramStart"/>
      <w:r w:rsidRPr="00EA1D03">
        <w:rPr>
          <w:rFonts w:asciiTheme="minorHAnsi" w:hAnsiTheme="minorHAnsi" w:cstheme="minorHAnsi"/>
        </w:rPr>
        <w:t>energy and fruit</w:t>
      </w:r>
      <w:proofErr w:type="gramEnd"/>
      <w:r w:rsidRPr="00EA1D03">
        <w:rPr>
          <w:rFonts w:asciiTheme="minorHAnsi" w:hAnsiTheme="minorHAnsi" w:cstheme="minorHAnsi"/>
        </w:rPr>
        <w:t xml:space="preserve"> and vegetables, the annual inflation rate was 3.5 percent (</w:t>
      </w:r>
      <w:r w:rsidRPr="00EA1D03">
        <w:rPr>
          <w:rFonts w:asciiTheme="minorHAnsi" w:hAnsiTheme="minorHAnsi" w:cstheme="minorHAnsi"/>
          <w:b/>
          <w:bCs/>
        </w:rPr>
        <w:t>Figure 2</w:t>
      </w:r>
      <w:r w:rsidRPr="00EA1D03">
        <w:rPr>
          <w:rFonts w:asciiTheme="minorHAnsi" w:hAnsiTheme="minorHAnsi" w:cstheme="minorHAnsi"/>
        </w:rPr>
        <w:t xml:space="preserve">). The annual inflation rate of </w:t>
      </w:r>
      <w:proofErr w:type="spellStart"/>
      <w:r w:rsidRPr="00EA1D03">
        <w:rPr>
          <w:rFonts w:asciiTheme="minorHAnsi" w:hAnsiTheme="minorHAnsi" w:cstheme="minorHAnsi"/>
        </w:rPr>
        <w:t>nontradable</w:t>
      </w:r>
      <w:proofErr w:type="spellEnd"/>
      <w:r w:rsidRPr="00EA1D03">
        <w:rPr>
          <w:rFonts w:asciiTheme="minorHAnsi" w:hAnsiTheme="minorHAnsi" w:cstheme="minorHAnsi"/>
        </w:rPr>
        <w:t xml:space="preserve"> components moderated in July, but remained high, at 3.7 percent.  The annual pace of inflation of the tradable components increased in July, to 2.2 percent (</w:t>
      </w:r>
      <w:r w:rsidRPr="00EA1D03">
        <w:rPr>
          <w:rFonts w:asciiTheme="minorHAnsi" w:hAnsiTheme="minorHAnsi" w:cstheme="minorHAnsi"/>
          <w:b/>
          <w:bCs/>
        </w:rPr>
        <w:t>Figure 3</w:t>
      </w:r>
      <w:r w:rsidRPr="00EA1D03">
        <w:rPr>
          <w:rFonts w:asciiTheme="minorHAnsi" w:hAnsiTheme="minorHAnsi" w:cstheme="minorHAnsi"/>
        </w:rPr>
        <w:t>). According to forecasters’ projections, inflation will converge to within the target range in the coming months (</w:t>
      </w:r>
      <w:r w:rsidRPr="00EA1D03">
        <w:rPr>
          <w:rFonts w:asciiTheme="minorHAnsi" w:hAnsiTheme="minorHAnsi" w:cstheme="minorHAnsi"/>
          <w:b/>
          <w:bCs/>
        </w:rPr>
        <w:t>Figure 5</w:t>
      </w:r>
      <w:r w:rsidRPr="00EA1D03">
        <w:rPr>
          <w:rFonts w:asciiTheme="minorHAnsi" w:hAnsiTheme="minorHAnsi" w:cstheme="minorHAnsi"/>
        </w:rPr>
        <w:t>). Inflation expectations for one year forward from the various sources are around the midpoint of the target range (</w:t>
      </w:r>
      <w:r w:rsidRPr="00EA1D03">
        <w:rPr>
          <w:rFonts w:asciiTheme="minorHAnsi" w:hAnsiTheme="minorHAnsi" w:cstheme="minorHAnsi"/>
          <w:b/>
          <w:bCs/>
        </w:rPr>
        <w:t>Figure 6</w:t>
      </w:r>
      <w:r w:rsidRPr="00EA1D03">
        <w:rPr>
          <w:rFonts w:asciiTheme="minorHAnsi" w:hAnsiTheme="minorHAnsi" w:cstheme="minorHAnsi"/>
        </w:rPr>
        <w:t>).  Expectations for the second year onward also remain near the midpoint of the target range (</w:t>
      </w:r>
      <w:r w:rsidRPr="00EA1D03">
        <w:rPr>
          <w:rFonts w:asciiTheme="minorHAnsi" w:hAnsiTheme="minorHAnsi" w:cstheme="minorHAnsi"/>
          <w:b/>
          <w:bCs/>
        </w:rPr>
        <w:t>Figure 7</w:t>
      </w:r>
      <w:r w:rsidRPr="00EA1D03">
        <w:rPr>
          <w:rFonts w:asciiTheme="minorHAnsi" w:hAnsiTheme="minorHAnsi" w:cstheme="minorHAnsi"/>
        </w:rPr>
        <w:t xml:space="preserve">). </w:t>
      </w:r>
      <w:r w:rsidRPr="00EA1D03">
        <w:rPr>
          <w:rFonts w:asciiTheme="minorHAnsi" w:hAnsiTheme="minorHAnsi" w:cstheme="minorHAnsi"/>
          <w:b/>
          <w:bCs/>
        </w:rPr>
        <w:t xml:space="preserve"> </w:t>
      </w:r>
    </w:p>
    <w:p w14:paraId="2B3D41E5" w14:textId="77777777" w:rsidR="00285B3C" w:rsidRPr="00EA1D03" w:rsidRDefault="00285B3C" w:rsidP="00285B3C">
      <w:pPr>
        <w:ind w:right="-1"/>
        <w:jc w:val="both"/>
        <w:rPr>
          <w:rFonts w:asciiTheme="minorHAnsi" w:hAnsiTheme="minorHAnsi" w:cstheme="minorHAnsi"/>
          <w:b/>
          <w:bCs/>
        </w:rPr>
      </w:pPr>
    </w:p>
    <w:p w14:paraId="6815BD2A" w14:textId="77777777" w:rsidR="00285B3C" w:rsidRPr="00EA1D03" w:rsidRDefault="00285B3C" w:rsidP="00285B3C">
      <w:pPr>
        <w:ind w:right="-1"/>
        <w:jc w:val="both"/>
        <w:rPr>
          <w:rFonts w:asciiTheme="minorHAnsi" w:hAnsiTheme="minorHAnsi" w:cstheme="minorHAnsi"/>
        </w:rPr>
      </w:pPr>
      <w:r w:rsidRPr="00EA1D03">
        <w:rPr>
          <w:rFonts w:asciiTheme="minorHAnsi" w:hAnsiTheme="minorHAnsi" w:cstheme="minorHAnsi"/>
        </w:rPr>
        <w:t>In the Committee’s assessment, there are several risks for a possible acceleration of inflation or for it not converging to the target range: geopolitical developments and their impact on economic activity, an increase in demand alongside supply constraints, and worsening global terms of trade.</w:t>
      </w:r>
    </w:p>
    <w:p w14:paraId="2506DF55" w14:textId="77777777" w:rsidR="00285B3C" w:rsidRPr="00EA1D03" w:rsidRDefault="00285B3C" w:rsidP="00285B3C">
      <w:pPr>
        <w:pStyle w:val="ac"/>
        <w:bidi w:val="0"/>
        <w:spacing w:line="240" w:lineRule="auto"/>
        <w:ind w:left="0" w:right="-1"/>
        <w:rPr>
          <w:rFonts w:asciiTheme="minorHAnsi" w:hAnsiTheme="minorHAnsi" w:cstheme="minorHAnsi"/>
        </w:rPr>
      </w:pPr>
    </w:p>
    <w:p w14:paraId="13B28903" w14:textId="77777777" w:rsidR="00285B3C" w:rsidRPr="00EA1D03" w:rsidRDefault="00285B3C" w:rsidP="00285B3C">
      <w:pPr>
        <w:pStyle w:val="ac"/>
        <w:bidi w:val="0"/>
        <w:spacing w:line="240" w:lineRule="auto"/>
        <w:ind w:left="0" w:right="-1"/>
        <w:rPr>
          <w:rFonts w:asciiTheme="minorHAnsi" w:hAnsiTheme="minorHAnsi" w:cstheme="minorHAnsi"/>
        </w:rPr>
      </w:pPr>
      <w:r w:rsidRPr="00EA1D03">
        <w:rPr>
          <w:rFonts w:asciiTheme="minorHAnsi" w:hAnsiTheme="minorHAnsi" w:cstheme="minorHAnsi"/>
        </w:rPr>
        <w:t xml:space="preserve">Since the previous interest rate decision, the shekel has depreciated by 1.3 percent against the US dollar, by 0.9 percent against the euro, and by 0.8 percent in terms of the nominal effective exchange rate. </w:t>
      </w:r>
    </w:p>
    <w:p w14:paraId="433EF65B" w14:textId="77777777" w:rsidR="00285B3C" w:rsidRPr="00EA1D03" w:rsidRDefault="00285B3C" w:rsidP="00285B3C">
      <w:pPr>
        <w:pStyle w:val="ac"/>
        <w:bidi w:val="0"/>
        <w:spacing w:line="240" w:lineRule="auto"/>
        <w:ind w:left="-270" w:right="265"/>
        <w:rPr>
          <w:rFonts w:asciiTheme="minorHAnsi" w:hAnsiTheme="minorHAnsi" w:cstheme="minorHAnsi"/>
        </w:rPr>
      </w:pPr>
    </w:p>
    <w:p w14:paraId="617DD8B9" w14:textId="77777777" w:rsidR="00285B3C" w:rsidRPr="00EA1D03" w:rsidRDefault="00285B3C" w:rsidP="00285B3C">
      <w:pPr>
        <w:jc w:val="both"/>
        <w:rPr>
          <w:rFonts w:asciiTheme="minorHAnsi" w:hAnsiTheme="minorHAnsi" w:cstheme="minorHAnsi"/>
        </w:rPr>
      </w:pPr>
      <w:r w:rsidRPr="00EA1D03">
        <w:rPr>
          <w:rFonts w:asciiTheme="minorHAnsi" w:hAnsiTheme="minorHAnsi" w:cstheme="minorHAnsi"/>
        </w:rPr>
        <w:t>According to National Accounts data, GDP contracted by 3.5 percent in the second quarter of 2025, and business output contracted by 6.2 percent (</w:t>
      </w:r>
      <w:r w:rsidRPr="00EA1D03">
        <w:rPr>
          <w:rFonts w:asciiTheme="minorHAnsi" w:hAnsiTheme="minorHAnsi" w:cstheme="minorHAnsi"/>
          <w:b/>
          <w:bCs/>
        </w:rPr>
        <w:t>Table 1</w:t>
      </w:r>
      <w:r w:rsidRPr="00EA1D03">
        <w:rPr>
          <w:rFonts w:asciiTheme="minorHAnsi" w:hAnsiTheme="minorHAnsi" w:cstheme="minorHAnsi"/>
        </w:rPr>
        <w:t>).  In view of the decline in growth in the second quarter, the level of GDP is about 5.4 percent lower than its long-term trend (</w:t>
      </w:r>
      <w:r w:rsidRPr="00EA1D03">
        <w:rPr>
          <w:rFonts w:asciiTheme="minorHAnsi" w:hAnsiTheme="minorHAnsi" w:cstheme="minorHAnsi"/>
          <w:b/>
          <w:bCs/>
        </w:rPr>
        <w:t>Figure 10</w:t>
      </w:r>
      <w:r w:rsidRPr="00EA1D03">
        <w:rPr>
          <w:rFonts w:asciiTheme="minorHAnsi" w:hAnsiTheme="minorHAnsi" w:cstheme="minorHAnsi"/>
        </w:rPr>
        <w:t>). However, the data do not reflect the level of activity throughout the second quarter, in view of the Iran operation’s significant impact on economic activity.  Net of this impact, GDP growth in the second quarter was positive, but lower than the economy’s long-term growth potential.</w:t>
      </w:r>
    </w:p>
    <w:p w14:paraId="33F01EFA" w14:textId="77777777" w:rsidR="00285B3C" w:rsidRPr="00EA1D03" w:rsidRDefault="00285B3C" w:rsidP="00285B3C">
      <w:pPr>
        <w:jc w:val="both"/>
        <w:rPr>
          <w:rFonts w:asciiTheme="minorHAnsi" w:hAnsiTheme="minorHAnsi" w:cstheme="minorHAnsi"/>
        </w:rPr>
      </w:pPr>
    </w:p>
    <w:p w14:paraId="1DE13AA2" w14:textId="77777777" w:rsidR="00285B3C" w:rsidRPr="00EA1D03" w:rsidRDefault="00285B3C" w:rsidP="00285B3C">
      <w:pPr>
        <w:jc w:val="both"/>
        <w:rPr>
          <w:rFonts w:asciiTheme="minorHAnsi" w:hAnsiTheme="minorHAnsi" w:cstheme="minorHAnsi"/>
        </w:rPr>
      </w:pPr>
      <w:r w:rsidRPr="00EA1D03">
        <w:rPr>
          <w:rFonts w:asciiTheme="minorHAnsi" w:hAnsiTheme="minorHAnsi" w:cstheme="minorHAnsi"/>
        </w:rPr>
        <w:t>Current indicators of the state of economic activity in July point to a rapid return to activity levels that were similar to those prior to the Iran operation.  Credit card expenditure figures in current prices indicate immediate recovery following the end of the Iran operation, and the most recent data show that they are higher than they were before the Iran operation (</w:t>
      </w:r>
      <w:r w:rsidRPr="00EA1D03">
        <w:rPr>
          <w:rFonts w:asciiTheme="minorHAnsi" w:hAnsiTheme="minorHAnsi" w:cstheme="minorHAnsi"/>
          <w:b/>
          <w:bCs/>
        </w:rPr>
        <w:t>Figure 12</w:t>
      </w:r>
      <w:r w:rsidRPr="00EA1D03">
        <w:rPr>
          <w:rFonts w:asciiTheme="minorHAnsi" w:hAnsiTheme="minorHAnsi" w:cstheme="minorHAnsi"/>
        </w:rPr>
        <w:t xml:space="preserve">).  </w:t>
      </w:r>
      <w:proofErr w:type="gramStart"/>
      <w:r w:rsidRPr="00EA1D03">
        <w:rPr>
          <w:rFonts w:asciiTheme="minorHAnsi" w:hAnsiTheme="minorHAnsi" w:cstheme="minorHAnsi"/>
        </w:rPr>
        <w:t>The aggregate balance in the Central Bureau of Statistics Business Tendency Survey for July increased, but has not yet returned to its level from before the Iran operation (</w:t>
      </w:r>
      <w:r w:rsidRPr="00EA1D03">
        <w:rPr>
          <w:rFonts w:asciiTheme="minorHAnsi" w:hAnsiTheme="minorHAnsi" w:cstheme="minorHAnsi"/>
          <w:b/>
          <w:bCs/>
        </w:rPr>
        <w:t>Figure 11</w:t>
      </w:r>
      <w:r w:rsidRPr="00EA1D03">
        <w:rPr>
          <w:rFonts w:asciiTheme="minorHAnsi" w:hAnsiTheme="minorHAnsi" w:cstheme="minorHAnsi"/>
        </w:rPr>
        <w:t>).</w:t>
      </w:r>
      <w:proofErr w:type="gramEnd"/>
      <w:r w:rsidRPr="00EA1D03">
        <w:rPr>
          <w:rFonts w:asciiTheme="minorHAnsi" w:hAnsiTheme="minorHAnsi" w:cstheme="minorHAnsi"/>
        </w:rPr>
        <w:t xml:space="preserve">  In addition, most industries reported expectations of continued recovery in August.  Capital raised by the high-tech sector is similar to what it was prior to the onset of the war in Gaza (</w:t>
      </w:r>
      <w:r w:rsidRPr="00EA1D03">
        <w:rPr>
          <w:rFonts w:asciiTheme="minorHAnsi" w:hAnsiTheme="minorHAnsi" w:cstheme="minorHAnsi"/>
          <w:b/>
          <w:bCs/>
        </w:rPr>
        <w:t>Figure 23</w:t>
      </w:r>
      <w:r w:rsidRPr="00EA1D03">
        <w:rPr>
          <w:rFonts w:asciiTheme="minorHAnsi" w:hAnsiTheme="minorHAnsi" w:cstheme="minorHAnsi"/>
        </w:rPr>
        <w:t xml:space="preserve">).   According to foreign trade data, imports and exports increased in July following declines in June due to the Iran operation and the resulting restrictions on air shipping. </w:t>
      </w:r>
    </w:p>
    <w:p w14:paraId="64931C36" w14:textId="77777777" w:rsidR="00285B3C" w:rsidRPr="00EA1D03" w:rsidRDefault="00285B3C" w:rsidP="00285B3C">
      <w:pPr>
        <w:jc w:val="both"/>
        <w:rPr>
          <w:rFonts w:asciiTheme="minorHAnsi" w:hAnsiTheme="minorHAnsi" w:cstheme="minorHAnsi"/>
        </w:rPr>
      </w:pPr>
    </w:p>
    <w:p w14:paraId="7AAE28C4" w14:textId="77777777" w:rsidR="00285B3C" w:rsidRDefault="00285B3C" w:rsidP="00285B3C">
      <w:pPr>
        <w:ind w:right="-1"/>
        <w:jc w:val="both"/>
        <w:rPr>
          <w:rFonts w:asciiTheme="minorHAnsi" w:hAnsiTheme="minorHAnsi" w:cstheme="minorHAnsi"/>
        </w:rPr>
      </w:pPr>
      <w:r w:rsidRPr="00EA1D03">
        <w:rPr>
          <w:rFonts w:asciiTheme="minorHAnsi" w:hAnsiTheme="minorHAnsi" w:cstheme="minorHAnsi"/>
        </w:rPr>
        <w:t>The cumulative deficit in the government budget in the past 12 months totaled 4.9 percent of GDP in July, a decline of 0.2 percentage points from the previous month, in view of increased government tax receipts in July (in fixed prices and net of legislative changes and one-off revenues), which are slightly higher than the long-term trend (</w:t>
      </w:r>
      <w:r w:rsidRPr="00EA1D03">
        <w:rPr>
          <w:rFonts w:asciiTheme="minorHAnsi" w:hAnsiTheme="minorHAnsi" w:cstheme="minorHAnsi"/>
          <w:b/>
          <w:bCs/>
        </w:rPr>
        <w:t>Figure 20</w:t>
      </w:r>
      <w:r w:rsidRPr="00EA1D03">
        <w:rPr>
          <w:rFonts w:asciiTheme="minorHAnsi" w:hAnsiTheme="minorHAnsi" w:cstheme="minorHAnsi"/>
        </w:rPr>
        <w:t>).  Following a government decision, the deficit ceiling in the state budget will rise to 5.2 percent of GDP.  Geopolitical uncertainty is high, and there is a wide variety of possible security developments.  As noted in the Research Department’s forecast in July 2025, if the war becomes more intense and more drawn out, there are risks that the supply restrictions may continue to weigh upon the recovery of economic activity, growth may be more moderate, and the budget deficit and inflation may be higher.</w:t>
      </w:r>
    </w:p>
    <w:p w14:paraId="065EEFA7" w14:textId="77777777" w:rsidR="00285B3C" w:rsidRPr="00EA1D03" w:rsidRDefault="00285B3C" w:rsidP="00285B3C">
      <w:pPr>
        <w:ind w:right="-1"/>
        <w:jc w:val="both"/>
        <w:rPr>
          <w:rFonts w:asciiTheme="minorHAnsi" w:hAnsiTheme="minorHAnsi" w:cstheme="minorHAnsi"/>
        </w:rPr>
      </w:pPr>
      <w:proofErr w:type="gramStart"/>
      <w:r w:rsidRPr="00EA1D03">
        <w:rPr>
          <w:rFonts w:asciiTheme="minorHAnsi" w:hAnsiTheme="minorHAnsi" w:cstheme="minorHAnsi"/>
        </w:rPr>
        <w:lastRenderedPageBreak/>
        <w:t>The labor market remains tight, and has returned close to the state it was in prior to the Iran operation.</w:t>
      </w:r>
      <w:proofErr w:type="gramEnd"/>
      <w:r w:rsidRPr="00EA1D03">
        <w:rPr>
          <w:rFonts w:asciiTheme="minorHAnsi" w:hAnsiTheme="minorHAnsi" w:cstheme="minorHAnsi"/>
        </w:rPr>
        <w:t xml:space="preserve">  The broad unemployment rate among those aged 15 and higher was 3.5 percent in July, similar to its level prior to the Iran operation (</w:t>
      </w:r>
      <w:r w:rsidRPr="00EA1D03">
        <w:rPr>
          <w:rFonts w:asciiTheme="minorHAnsi" w:hAnsiTheme="minorHAnsi" w:cstheme="minorHAnsi"/>
          <w:b/>
          <w:bCs/>
        </w:rPr>
        <w:t>Figure 13b</w:t>
      </w:r>
      <w:r w:rsidRPr="00EA1D03">
        <w:rPr>
          <w:rFonts w:asciiTheme="minorHAnsi" w:hAnsiTheme="minorHAnsi" w:cstheme="minorHAnsi"/>
        </w:rPr>
        <w:t>). The job vacancy rate increased in July, returning to its level from before the Iran operation (</w:t>
      </w:r>
      <w:r w:rsidRPr="00EA1D03">
        <w:rPr>
          <w:rFonts w:asciiTheme="minorHAnsi" w:hAnsiTheme="minorHAnsi" w:cstheme="minorHAnsi"/>
          <w:b/>
          <w:bCs/>
        </w:rPr>
        <w:t>Figure 14</w:t>
      </w:r>
      <w:r w:rsidRPr="00EA1D03">
        <w:rPr>
          <w:rFonts w:asciiTheme="minorHAnsi" w:hAnsiTheme="minorHAnsi" w:cstheme="minorHAnsi"/>
        </w:rPr>
        <w:t>). The rate of temporary absentees due to reserve duty declined significantly to 0.8 percent in July, which is still above its level from prior to the Iran operation. The employment rate and the participation rate among those aged 15 and above in July returned to levels similar to those prior to the Iran operation (</w:t>
      </w:r>
      <w:r w:rsidRPr="00EA1D03">
        <w:rPr>
          <w:rFonts w:asciiTheme="minorHAnsi" w:hAnsiTheme="minorHAnsi" w:cstheme="minorHAnsi"/>
          <w:b/>
          <w:bCs/>
        </w:rPr>
        <w:t>Figure 13a</w:t>
      </w:r>
      <w:r w:rsidRPr="00EA1D03">
        <w:rPr>
          <w:rFonts w:asciiTheme="minorHAnsi" w:hAnsiTheme="minorHAnsi" w:cstheme="minorHAnsi"/>
        </w:rPr>
        <w:t>). Nominal wages in March–</w:t>
      </w:r>
      <w:r w:rsidRPr="00EA1D03">
        <w:rPr>
          <w:rFonts w:asciiTheme="minorHAnsi" w:hAnsiTheme="minorHAnsi" w:cstheme="minorHAnsi"/>
        </w:rPr>
        <w:softHyphen/>
        <w:t>May (in annual terms) were about 4.4 percent higher than they were in the third quarter of 2023 (</w:t>
      </w:r>
      <w:r w:rsidRPr="00EA1D03">
        <w:rPr>
          <w:rFonts w:asciiTheme="minorHAnsi" w:hAnsiTheme="minorHAnsi" w:cstheme="minorHAnsi"/>
          <w:b/>
          <w:bCs/>
        </w:rPr>
        <w:t>Figure 16</w:t>
      </w:r>
      <w:r w:rsidRPr="00EA1D03">
        <w:rPr>
          <w:rFonts w:asciiTheme="minorHAnsi" w:hAnsiTheme="minorHAnsi" w:cstheme="minorHAnsi"/>
        </w:rPr>
        <w:t>), while they were 5 percent higher in the business sector (</w:t>
      </w:r>
      <w:r w:rsidRPr="00EA1D03">
        <w:rPr>
          <w:rFonts w:asciiTheme="minorHAnsi" w:hAnsiTheme="minorHAnsi" w:cstheme="minorHAnsi"/>
          <w:b/>
          <w:bCs/>
        </w:rPr>
        <w:t>Figure 17</w:t>
      </w:r>
      <w:r w:rsidRPr="00EA1D03">
        <w:rPr>
          <w:rFonts w:asciiTheme="minorHAnsi" w:hAnsiTheme="minorHAnsi" w:cstheme="minorHAnsi"/>
        </w:rPr>
        <w:t>).  Real wages per employee post remained steady, growing by 1.2 percent in annual terms in March–May relative the third quarter of 2023.</w:t>
      </w:r>
    </w:p>
    <w:p w14:paraId="031C844E" w14:textId="77777777" w:rsidR="00285B3C" w:rsidRPr="00EA1D03" w:rsidRDefault="00285B3C" w:rsidP="00285B3C">
      <w:pPr>
        <w:ind w:right="-1"/>
        <w:jc w:val="both"/>
        <w:rPr>
          <w:rFonts w:asciiTheme="minorHAnsi" w:hAnsiTheme="minorHAnsi" w:cstheme="minorHAnsi"/>
        </w:rPr>
      </w:pPr>
    </w:p>
    <w:p w14:paraId="780C655F" w14:textId="77777777" w:rsidR="00285B3C" w:rsidRPr="00EA1D03" w:rsidRDefault="00285B3C" w:rsidP="00285B3C">
      <w:pPr>
        <w:ind w:right="-1"/>
        <w:jc w:val="both"/>
        <w:rPr>
          <w:rFonts w:asciiTheme="minorHAnsi" w:hAnsiTheme="minorHAnsi" w:cstheme="minorHAnsi"/>
        </w:rPr>
      </w:pPr>
      <w:r w:rsidRPr="00EA1D03">
        <w:rPr>
          <w:rFonts w:asciiTheme="minorHAnsi" w:hAnsiTheme="minorHAnsi" w:cstheme="minorHAnsi"/>
        </w:rPr>
        <w:t>The annual pace of increase in the housing component of the Consumer Price Index increased slightly to 4.2 percent in July.  The rents element of the housing component increased by 3.3 percent in annual terms, with renewing contracts increasing by 2.6 percent in annual terms and contracts with new tenants increasing by 5.4 percent.  Home price declined in the past four months, and the year-over-year increase in home prices continued to moderate, to 2.5 percent in May–June (</w:t>
      </w:r>
      <w:r w:rsidRPr="00EA1D03">
        <w:rPr>
          <w:rFonts w:asciiTheme="minorHAnsi" w:hAnsiTheme="minorHAnsi" w:cstheme="minorHAnsi"/>
          <w:b/>
          <w:bCs/>
        </w:rPr>
        <w:t>Figure 18</w:t>
      </w:r>
      <w:r w:rsidRPr="00EA1D03">
        <w:rPr>
          <w:rFonts w:asciiTheme="minorHAnsi" w:hAnsiTheme="minorHAnsi" w:cstheme="minorHAnsi"/>
        </w:rPr>
        <w:t>). According to Central Bureau of Statistics data, the decline in the number of transactions continued in June, alongside an increase in the stock of new homes available for sale. Mortgage borrowing totaled about NIS 10.7 billion in July (</w:t>
      </w:r>
      <w:r w:rsidRPr="00EA1D03">
        <w:rPr>
          <w:rFonts w:asciiTheme="minorHAnsi" w:hAnsiTheme="minorHAnsi" w:cstheme="minorHAnsi"/>
          <w:b/>
          <w:bCs/>
        </w:rPr>
        <w:t>Figure 19</w:t>
      </w:r>
      <w:r w:rsidRPr="00EA1D03">
        <w:rPr>
          <w:rFonts w:asciiTheme="minorHAnsi" w:hAnsiTheme="minorHAnsi" w:cstheme="minorHAnsi"/>
        </w:rPr>
        <w:t>).  The late repayments rate for mortgages remained stable at a low level.</w:t>
      </w:r>
    </w:p>
    <w:p w14:paraId="0E99E0D5" w14:textId="77777777" w:rsidR="00285B3C" w:rsidRPr="00EA1D03" w:rsidRDefault="00285B3C" w:rsidP="00285B3C">
      <w:pPr>
        <w:ind w:right="-1"/>
        <w:jc w:val="both"/>
        <w:rPr>
          <w:rFonts w:asciiTheme="minorHAnsi" w:hAnsiTheme="minorHAnsi" w:cstheme="minorHAnsi"/>
        </w:rPr>
      </w:pPr>
    </w:p>
    <w:p w14:paraId="40530466" w14:textId="77777777" w:rsidR="00285B3C" w:rsidRPr="00EA1D03" w:rsidRDefault="00285B3C" w:rsidP="00285B3C">
      <w:pPr>
        <w:ind w:right="-1"/>
        <w:jc w:val="both"/>
        <w:rPr>
          <w:rFonts w:asciiTheme="minorHAnsi" w:hAnsiTheme="minorHAnsi" w:cstheme="minorHAnsi"/>
        </w:rPr>
      </w:pPr>
      <w:r w:rsidRPr="00EA1D03">
        <w:rPr>
          <w:rFonts w:asciiTheme="minorHAnsi" w:hAnsiTheme="minorHAnsi" w:cstheme="minorHAnsi"/>
        </w:rPr>
        <w:t>The equity indices in Israel declined slightly during the reviewed period, in contrast with the upward trend in the global markets.  However, since the beginning of the year, the performance of the Israeli markets has been particularly good (</w:t>
      </w:r>
      <w:r w:rsidRPr="00EA1D03">
        <w:rPr>
          <w:rFonts w:asciiTheme="minorHAnsi" w:hAnsiTheme="minorHAnsi" w:cstheme="minorHAnsi"/>
          <w:b/>
          <w:bCs/>
        </w:rPr>
        <w:t>Figure 30</w:t>
      </w:r>
      <w:r w:rsidRPr="00EA1D03">
        <w:rPr>
          <w:rFonts w:asciiTheme="minorHAnsi" w:hAnsiTheme="minorHAnsi" w:cstheme="minorHAnsi"/>
        </w:rPr>
        <w:t>). Israel’s risk premium, as measured by the 5-year CDS spread, declined slightly during the reviewed period, but remains higher than in the prewar period.  The spreads on shekel- and dollar-denominated government bonds increased slightly (</w:t>
      </w:r>
      <w:r w:rsidRPr="00EA1D03">
        <w:rPr>
          <w:rFonts w:asciiTheme="minorHAnsi" w:hAnsiTheme="minorHAnsi" w:cstheme="minorHAnsi"/>
          <w:b/>
          <w:bCs/>
        </w:rPr>
        <w:t>Figure 31a-b</w:t>
      </w:r>
      <w:r w:rsidRPr="00EA1D03">
        <w:rPr>
          <w:rFonts w:asciiTheme="minorHAnsi" w:hAnsiTheme="minorHAnsi" w:cstheme="minorHAnsi"/>
        </w:rPr>
        <w:t>). Yields on 10-year unindexed Israeli government bonds also increased slightly during the reviewed period. (</w:t>
      </w:r>
      <w:r w:rsidRPr="00EA1D03">
        <w:rPr>
          <w:rFonts w:asciiTheme="minorHAnsi" w:hAnsiTheme="minorHAnsi" w:cstheme="minorHAnsi"/>
          <w:b/>
          <w:bCs/>
        </w:rPr>
        <w:t>Figure 27</w:t>
      </w:r>
      <w:r w:rsidRPr="00EA1D03">
        <w:rPr>
          <w:rFonts w:asciiTheme="minorHAnsi" w:hAnsiTheme="minorHAnsi" w:cstheme="minorHAnsi"/>
        </w:rPr>
        <w:t xml:space="preserve">).  Business credit continued to expand, and in June, credit to small and medium </w:t>
      </w:r>
      <w:proofErr w:type="gramStart"/>
      <w:r w:rsidRPr="00EA1D03">
        <w:rPr>
          <w:rFonts w:asciiTheme="minorHAnsi" w:hAnsiTheme="minorHAnsi" w:cstheme="minorHAnsi"/>
        </w:rPr>
        <w:t>businesses also</w:t>
      </w:r>
      <w:proofErr w:type="gramEnd"/>
      <w:r w:rsidRPr="00EA1D03">
        <w:rPr>
          <w:rFonts w:asciiTheme="minorHAnsi" w:hAnsiTheme="minorHAnsi" w:cstheme="minorHAnsi"/>
        </w:rPr>
        <w:t xml:space="preserve"> grew, at a higher pace. Payment arrears rates remained stable and low.  According to the Central Bureau of Statistics Business Tendency Survey for July, the rate of businesses reporting a serious credit constraint remained low (</w:t>
      </w:r>
      <w:r w:rsidRPr="00EA1D03">
        <w:rPr>
          <w:rFonts w:asciiTheme="minorHAnsi" w:hAnsiTheme="minorHAnsi" w:cstheme="minorHAnsi"/>
          <w:b/>
          <w:bCs/>
        </w:rPr>
        <w:t>Figure 29</w:t>
      </w:r>
      <w:r w:rsidRPr="00EA1D03">
        <w:rPr>
          <w:rFonts w:asciiTheme="minorHAnsi" w:hAnsiTheme="minorHAnsi" w:cstheme="minorHAnsi"/>
        </w:rPr>
        <w:t>).</w:t>
      </w:r>
    </w:p>
    <w:p w14:paraId="4BDC9FA9" w14:textId="77777777" w:rsidR="00285B3C" w:rsidRPr="00EA1D03" w:rsidRDefault="00285B3C" w:rsidP="00285B3C">
      <w:pPr>
        <w:ind w:right="265"/>
        <w:jc w:val="both"/>
        <w:rPr>
          <w:rFonts w:asciiTheme="minorHAnsi" w:hAnsiTheme="minorHAnsi" w:cstheme="minorHAnsi"/>
        </w:rPr>
      </w:pPr>
    </w:p>
    <w:p w14:paraId="69E5F1BB" w14:textId="77777777" w:rsidR="00285B3C" w:rsidRPr="00EA1D03" w:rsidRDefault="00285B3C" w:rsidP="00285B3C">
      <w:pPr>
        <w:pStyle w:val="NormalWeb"/>
        <w:shd w:val="clear" w:color="auto" w:fill="FFFFFF"/>
        <w:spacing w:before="0" w:beforeAutospacing="0" w:after="240" w:afterAutospacing="0"/>
        <w:jc w:val="both"/>
        <w:rPr>
          <w:rFonts w:asciiTheme="minorHAnsi" w:hAnsiTheme="minorHAnsi" w:cstheme="minorHAnsi"/>
          <w:color w:val="242424"/>
        </w:rPr>
      </w:pPr>
      <w:r w:rsidRPr="00EA1D03">
        <w:rPr>
          <w:rFonts w:asciiTheme="minorHAnsi" w:hAnsiTheme="minorHAnsi" w:cstheme="minorHAnsi"/>
          <w:color w:val="242424"/>
        </w:rPr>
        <w:t>The pace of global economic activity growth remains moderate (</w:t>
      </w:r>
      <w:r w:rsidRPr="00EA1D03">
        <w:rPr>
          <w:rFonts w:asciiTheme="minorHAnsi" w:hAnsiTheme="minorHAnsi" w:cstheme="minorHAnsi"/>
          <w:b/>
          <w:bCs/>
          <w:color w:val="242424"/>
        </w:rPr>
        <w:t>Figure 32</w:t>
      </w:r>
      <w:r w:rsidRPr="00EA1D03">
        <w:rPr>
          <w:rFonts w:asciiTheme="minorHAnsi" w:hAnsiTheme="minorHAnsi" w:cstheme="minorHAnsi"/>
          <w:color w:val="242424"/>
        </w:rPr>
        <w:t xml:space="preserve">). Economic uncertainty due to the US government’s tariff policy remains high, although the concern of a worsening trade war has subsided slightly </w:t>
      </w:r>
      <w:proofErr w:type="gramStart"/>
      <w:r w:rsidRPr="00EA1D03">
        <w:rPr>
          <w:rFonts w:asciiTheme="minorHAnsi" w:hAnsiTheme="minorHAnsi" w:cstheme="minorHAnsi"/>
          <w:color w:val="242424"/>
        </w:rPr>
        <w:t>as a result</w:t>
      </w:r>
      <w:proofErr w:type="gramEnd"/>
      <w:r w:rsidRPr="00EA1D03">
        <w:rPr>
          <w:rFonts w:asciiTheme="minorHAnsi" w:hAnsiTheme="minorHAnsi" w:cstheme="minorHAnsi"/>
          <w:color w:val="242424"/>
        </w:rPr>
        <w:t xml:space="preserve"> of tariff agreements reached with the US’s main trading partners. The global growth forecast increased slightly, to 2.8 percent, and the global purchasing </w:t>
      </w:r>
      <w:proofErr w:type="gramStart"/>
      <w:r w:rsidRPr="00EA1D03">
        <w:rPr>
          <w:rFonts w:asciiTheme="minorHAnsi" w:hAnsiTheme="minorHAnsi" w:cstheme="minorHAnsi"/>
          <w:color w:val="242424"/>
        </w:rPr>
        <w:t>managers</w:t>
      </w:r>
      <w:proofErr w:type="gramEnd"/>
      <w:r w:rsidRPr="00EA1D03">
        <w:rPr>
          <w:rFonts w:asciiTheme="minorHAnsi" w:hAnsiTheme="minorHAnsi" w:cstheme="minorHAnsi"/>
          <w:color w:val="242424"/>
        </w:rPr>
        <w:t xml:space="preserve"> index for July increased, for the fourth consecutive month (</w:t>
      </w:r>
      <w:r w:rsidRPr="00EA1D03">
        <w:rPr>
          <w:rFonts w:asciiTheme="minorHAnsi" w:hAnsiTheme="minorHAnsi" w:cstheme="minorHAnsi"/>
          <w:b/>
          <w:bCs/>
          <w:color w:val="242424"/>
        </w:rPr>
        <w:t>Figure 35</w:t>
      </w:r>
      <w:r w:rsidRPr="00EA1D03">
        <w:rPr>
          <w:rFonts w:asciiTheme="minorHAnsi" w:hAnsiTheme="minorHAnsi" w:cstheme="minorHAnsi"/>
          <w:color w:val="242424"/>
        </w:rPr>
        <w:t>). The pace of expansion of world trade slowed during the reviewed period (</w:t>
      </w:r>
      <w:r w:rsidRPr="00EA1D03">
        <w:rPr>
          <w:rFonts w:asciiTheme="minorHAnsi" w:hAnsiTheme="minorHAnsi" w:cstheme="minorHAnsi"/>
          <w:b/>
          <w:bCs/>
          <w:color w:val="242424"/>
        </w:rPr>
        <w:t>Figure 34</w:t>
      </w:r>
      <w:r w:rsidRPr="00EA1D03">
        <w:rPr>
          <w:rFonts w:asciiTheme="minorHAnsi" w:hAnsiTheme="minorHAnsi" w:cstheme="minorHAnsi"/>
          <w:color w:val="242424"/>
        </w:rPr>
        <w:t xml:space="preserve">). </w:t>
      </w:r>
    </w:p>
    <w:p w14:paraId="35777CE2" w14:textId="77777777" w:rsidR="00285B3C" w:rsidRPr="00EA1D03" w:rsidRDefault="00285B3C" w:rsidP="00285B3C">
      <w:pPr>
        <w:pStyle w:val="NormalWeb"/>
        <w:shd w:val="clear" w:color="auto" w:fill="FFFFFF"/>
        <w:spacing w:before="0" w:beforeAutospacing="0" w:after="240" w:afterAutospacing="0"/>
        <w:jc w:val="both"/>
        <w:rPr>
          <w:rFonts w:asciiTheme="minorHAnsi" w:hAnsiTheme="minorHAnsi" w:cstheme="minorHAnsi"/>
          <w:color w:val="242424"/>
        </w:rPr>
      </w:pPr>
      <w:r w:rsidRPr="00EA1D03">
        <w:rPr>
          <w:rFonts w:asciiTheme="minorHAnsi" w:hAnsiTheme="minorHAnsi" w:cstheme="minorHAnsi"/>
          <w:color w:val="242424"/>
        </w:rPr>
        <w:t xml:space="preserve">GDP in the US expanded by 3 percent in annual terms in the second quarter, with private consumption continuing to moderate. US labor market data for July were weak, with an emphasis on significantly fewer new jobs than </w:t>
      </w:r>
      <w:proofErr w:type="gramStart"/>
      <w:r w:rsidRPr="00EA1D03">
        <w:rPr>
          <w:rFonts w:asciiTheme="minorHAnsi" w:hAnsiTheme="minorHAnsi" w:cstheme="minorHAnsi"/>
          <w:color w:val="242424"/>
        </w:rPr>
        <w:t>were previously forecasted</w:t>
      </w:r>
      <w:proofErr w:type="gramEnd"/>
      <w:r w:rsidRPr="00EA1D03">
        <w:rPr>
          <w:rFonts w:asciiTheme="minorHAnsi" w:hAnsiTheme="minorHAnsi" w:cstheme="minorHAnsi"/>
          <w:color w:val="242424"/>
        </w:rPr>
        <w:t xml:space="preserve"> and sharp downward revisions in the May and June figures. The unemployment rate increased slightly, while the participation rate continues its downward trend. In the </w:t>
      </w:r>
      <w:proofErr w:type="spellStart"/>
      <w:r w:rsidRPr="00EA1D03">
        <w:rPr>
          <w:rFonts w:asciiTheme="minorHAnsi" w:hAnsiTheme="minorHAnsi" w:cstheme="minorHAnsi"/>
          <w:color w:val="242424"/>
        </w:rPr>
        <w:t>eurozone</w:t>
      </w:r>
      <w:proofErr w:type="spellEnd"/>
      <w:r w:rsidRPr="00EA1D03">
        <w:rPr>
          <w:rFonts w:asciiTheme="minorHAnsi" w:hAnsiTheme="minorHAnsi" w:cstheme="minorHAnsi"/>
          <w:color w:val="242424"/>
        </w:rPr>
        <w:t xml:space="preserve">, GDP grew by 0.5 percent in annual terms in the second quarter. In China, the economy expanded by 5.2 percent in annual terms in the second </w:t>
      </w:r>
      <w:r w:rsidRPr="00EA1D03">
        <w:rPr>
          <w:rFonts w:asciiTheme="minorHAnsi" w:hAnsiTheme="minorHAnsi" w:cstheme="minorHAnsi"/>
          <w:color w:val="242424"/>
        </w:rPr>
        <w:lastRenderedPageBreak/>
        <w:t xml:space="preserve">quarter, which was higher than forecast, as activity was brought forward against the backdrop of the trade war. </w:t>
      </w:r>
    </w:p>
    <w:p w14:paraId="43FEBDCC" w14:textId="55701012" w:rsidR="00285B3C" w:rsidRPr="00EA1D03" w:rsidRDefault="00285B3C" w:rsidP="007A5CFB">
      <w:pPr>
        <w:pStyle w:val="NormalWeb"/>
        <w:shd w:val="clear" w:color="auto" w:fill="FFFFFF"/>
        <w:spacing w:before="0" w:beforeAutospacing="0" w:after="240" w:afterAutospacing="0"/>
        <w:jc w:val="both"/>
        <w:rPr>
          <w:rFonts w:asciiTheme="minorHAnsi" w:hAnsiTheme="minorHAnsi" w:cstheme="minorHAnsi"/>
          <w:color w:val="242424"/>
        </w:rPr>
      </w:pPr>
      <w:r w:rsidRPr="00EA1D03">
        <w:rPr>
          <w:rFonts w:asciiTheme="minorHAnsi" w:hAnsiTheme="minorHAnsi" w:cstheme="minorHAnsi"/>
          <w:color w:val="242424"/>
        </w:rPr>
        <w:t xml:space="preserve">In the United States, inflation according to the general Consumer Price Index (CPI) was 2.7 percent in July, and the core CPI increased to 3.1 percent, slightly above expectations. In the </w:t>
      </w:r>
      <w:proofErr w:type="spellStart"/>
      <w:r w:rsidRPr="00EA1D03">
        <w:rPr>
          <w:rFonts w:asciiTheme="minorHAnsi" w:hAnsiTheme="minorHAnsi" w:cstheme="minorHAnsi"/>
          <w:color w:val="242424"/>
        </w:rPr>
        <w:t>eurozone</w:t>
      </w:r>
      <w:proofErr w:type="spellEnd"/>
      <w:r w:rsidRPr="00EA1D03">
        <w:rPr>
          <w:rFonts w:asciiTheme="minorHAnsi" w:hAnsiTheme="minorHAnsi" w:cstheme="minorHAnsi"/>
          <w:color w:val="242424"/>
        </w:rPr>
        <w:t>, in the preliminary reading for July, inflation and the core index remained unchanged at 2 and 2.3 percent, respectively.  Most of the major central banks in advanced economies left their interest rates unchanged.  The Federal Reserve left its rate unchanged, in view of uncertainty in the tariffs policy and the concern of an acceleration of inflation. The ECB left its rate unchanged, for the first time this year (</w:t>
      </w:r>
      <w:r w:rsidRPr="00EA1D03">
        <w:rPr>
          <w:rFonts w:asciiTheme="minorHAnsi" w:hAnsiTheme="minorHAnsi" w:cstheme="minorHAnsi"/>
          <w:b/>
          <w:bCs/>
          <w:color w:val="242424"/>
        </w:rPr>
        <w:t>Figure 3</w:t>
      </w:r>
      <w:r w:rsidR="007A5CFB">
        <w:rPr>
          <w:rFonts w:asciiTheme="minorHAnsi" w:hAnsiTheme="minorHAnsi" w:cstheme="minorHAnsi"/>
          <w:b/>
          <w:bCs/>
          <w:color w:val="242424"/>
        </w:rPr>
        <w:t>6</w:t>
      </w:r>
      <w:bookmarkStart w:id="0" w:name="_GoBack"/>
      <w:bookmarkEnd w:id="0"/>
      <w:r w:rsidRPr="00EA1D03">
        <w:rPr>
          <w:rFonts w:asciiTheme="minorHAnsi" w:hAnsiTheme="minorHAnsi" w:cstheme="minorHAnsi"/>
          <w:color w:val="242424"/>
        </w:rPr>
        <w:t>).</w:t>
      </w:r>
    </w:p>
    <w:p w14:paraId="1EC410D4" w14:textId="77777777" w:rsidR="00285B3C" w:rsidRPr="00EA1D03" w:rsidRDefault="00285B3C" w:rsidP="00285B3C">
      <w:pPr>
        <w:jc w:val="both"/>
        <w:rPr>
          <w:rFonts w:asciiTheme="minorHAnsi" w:hAnsiTheme="minorHAnsi" w:cstheme="minorHAnsi"/>
        </w:rPr>
      </w:pPr>
    </w:p>
    <w:p w14:paraId="62C6670F" w14:textId="77777777" w:rsidR="00285B3C" w:rsidRPr="00EA1D03" w:rsidRDefault="00285B3C" w:rsidP="00285B3C">
      <w:pPr>
        <w:jc w:val="both"/>
        <w:rPr>
          <w:rFonts w:asciiTheme="minorHAnsi" w:hAnsiTheme="minorHAnsi" w:cstheme="minorHAnsi"/>
        </w:rPr>
      </w:pPr>
    </w:p>
    <w:p w14:paraId="706CA6AD" w14:textId="77777777" w:rsidR="00285B3C" w:rsidRPr="00EA1D03" w:rsidRDefault="00285B3C" w:rsidP="00285B3C">
      <w:pPr>
        <w:jc w:val="both"/>
        <w:rPr>
          <w:rFonts w:asciiTheme="minorHAnsi" w:hAnsiTheme="minorHAnsi" w:cstheme="minorHAnsi"/>
        </w:rPr>
      </w:pPr>
      <w:r w:rsidRPr="00EA1D03">
        <w:rPr>
          <w:rFonts w:asciiTheme="minorHAnsi" w:hAnsiTheme="minorHAnsi" w:cstheme="minorHAnsi"/>
        </w:rPr>
        <w:t xml:space="preserve">The minutes of the monetary discussions prior to this interest rate decision </w:t>
      </w:r>
      <w:proofErr w:type="gramStart"/>
      <w:r w:rsidRPr="00EA1D03">
        <w:rPr>
          <w:rFonts w:asciiTheme="minorHAnsi" w:hAnsiTheme="minorHAnsi" w:cstheme="minorHAnsi"/>
        </w:rPr>
        <w:t>will be published</w:t>
      </w:r>
      <w:proofErr w:type="gramEnd"/>
      <w:r w:rsidRPr="00EA1D03">
        <w:rPr>
          <w:rFonts w:asciiTheme="minorHAnsi" w:hAnsiTheme="minorHAnsi" w:cstheme="minorHAnsi"/>
        </w:rPr>
        <w:t xml:space="preserve"> on September 3, 2025. The next decision regarding the interest rate will be published on Monday, September </w:t>
      </w:r>
      <w:proofErr w:type="gramStart"/>
      <w:r w:rsidRPr="00EA1D03">
        <w:rPr>
          <w:rFonts w:asciiTheme="minorHAnsi" w:hAnsiTheme="minorHAnsi" w:cstheme="minorHAnsi"/>
        </w:rPr>
        <w:t>29 ,</w:t>
      </w:r>
      <w:proofErr w:type="gramEnd"/>
      <w:r w:rsidRPr="00EA1D03">
        <w:rPr>
          <w:rFonts w:asciiTheme="minorHAnsi" w:hAnsiTheme="minorHAnsi" w:cstheme="minorHAnsi"/>
        </w:rPr>
        <w:t xml:space="preserve"> 2025.</w:t>
      </w:r>
    </w:p>
    <w:p w14:paraId="13434132" w14:textId="77777777" w:rsidR="00285B3C" w:rsidRPr="00EA1D03" w:rsidRDefault="00285B3C" w:rsidP="00285B3C">
      <w:pPr>
        <w:jc w:val="both"/>
        <w:rPr>
          <w:rFonts w:asciiTheme="minorHAnsi" w:hAnsiTheme="minorHAnsi" w:cstheme="minorHAnsi"/>
        </w:rPr>
      </w:pPr>
    </w:p>
    <w:p w14:paraId="1628E8DE" w14:textId="77777777" w:rsidR="00285B3C" w:rsidRPr="00EA1D03" w:rsidRDefault="00285B3C" w:rsidP="00285B3C">
      <w:pPr>
        <w:jc w:val="both"/>
        <w:rPr>
          <w:rFonts w:asciiTheme="minorHAnsi" w:hAnsiTheme="minorHAnsi" w:cstheme="minorHAnsi"/>
        </w:rPr>
      </w:pPr>
    </w:p>
    <w:p w14:paraId="1B74A5BE" w14:textId="77777777" w:rsidR="00B21E55" w:rsidRPr="00EA1D03" w:rsidRDefault="00B21E55" w:rsidP="00285B3C">
      <w:pPr>
        <w:jc w:val="both"/>
        <w:rPr>
          <w:rFonts w:asciiTheme="minorHAnsi" w:hAnsiTheme="minorHAnsi" w:cstheme="minorHAnsi"/>
        </w:rPr>
      </w:pPr>
    </w:p>
    <w:sectPr w:rsidR="00B21E55" w:rsidRPr="00EA1D03" w:rsidSect="00BD7538">
      <w:headerReference w:type="first" r:id="rId9"/>
      <w:type w:val="continuous"/>
      <w:pgSz w:w="11907" w:h="16839" w:code="9"/>
      <w:pgMar w:top="1701" w:right="1134" w:bottom="1304" w:left="1134" w:header="10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40537" w14:textId="77777777" w:rsidR="00500603" w:rsidRDefault="00500603" w:rsidP="006A415B">
      <w:r>
        <w:separator/>
      </w:r>
    </w:p>
  </w:endnote>
  <w:endnote w:type="continuationSeparator" w:id="0">
    <w:p w14:paraId="31E5658D" w14:textId="77777777" w:rsidR="00500603" w:rsidRDefault="00500603" w:rsidP="006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9A0A7" w14:textId="77777777" w:rsidR="00500603" w:rsidRDefault="00500603" w:rsidP="006A415B">
      <w:r>
        <w:separator/>
      </w:r>
    </w:p>
  </w:footnote>
  <w:footnote w:type="continuationSeparator" w:id="0">
    <w:p w14:paraId="5932D296" w14:textId="77777777" w:rsidR="00500603" w:rsidRDefault="00500603" w:rsidP="006A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9807" w14:textId="177C45ED" w:rsidR="00B06E18" w:rsidRPr="0012431B" w:rsidRDefault="00B06E18" w:rsidP="00B06E18">
    <w:pPr>
      <w:pStyle w:val="regpar"/>
      <w:spacing w:line="300" w:lineRule="atLeast"/>
      <w:ind w:firstLine="0"/>
      <w:jc w:val="center"/>
      <w:rPr>
        <w:rFonts w:ascii="Segoe UI" w:hAnsi="Segoe UI" w:cs="Segoe U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hebrew1"/>
      <w:pStyle w:val="1"/>
      <w:lvlText w:val="%1."/>
      <w:legacy w:legacy="1" w:legacySpace="0" w:legacyIndent="340"/>
      <w:lvlJc w:val="right"/>
      <w:pPr>
        <w:ind w:left="340" w:hanging="340"/>
      </w:pPr>
      <w:rPr>
        <w:rFonts w:ascii="Times New Roman" w:hAnsi="Times New Roman" w:cs="Times New Roman" w:hint="default"/>
        <w:b w:val="0"/>
        <w:i w:val="0"/>
        <w:sz w:val="22"/>
        <w:szCs w:val="24"/>
      </w:rPr>
    </w:lvl>
    <w:lvl w:ilvl="1">
      <w:start w:val="1"/>
      <w:numFmt w:val="decimal"/>
      <w:pStyle w:val="2"/>
      <w:lvlText w:val="%2."/>
      <w:legacy w:legacy="1" w:legacySpace="0" w:legacyIndent="340"/>
      <w:lvlJc w:val="right"/>
      <w:pPr>
        <w:ind w:left="680" w:hanging="340"/>
      </w:pPr>
      <w:rPr>
        <w:rFonts w:ascii="Times New Roman" w:hAnsi="Times New Roman" w:cs="Times New Roman" w:hint="default"/>
        <w:b w:val="0"/>
        <w:i w:val="0"/>
        <w:sz w:val="22"/>
      </w:rPr>
    </w:lvl>
    <w:lvl w:ilvl="2">
      <w:start w:val="1"/>
      <w:numFmt w:val="hebrew1"/>
      <w:pStyle w:val="3"/>
      <w:lvlText w:val="%3)"/>
      <w:legacy w:legacy="1" w:legacySpace="0" w:legacyIndent="340"/>
      <w:lvlJc w:val="right"/>
      <w:pPr>
        <w:ind w:left="1020" w:hanging="340"/>
      </w:pPr>
      <w:rPr>
        <w:rFonts w:ascii="Times New Roman" w:hAnsi="Times New Roman" w:cs="Times New Roman" w:hint="default"/>
        <w:b w:val="0"/>
        <w:i w:val="0"/>
        <w:sz w:val="22"/>
        <w:szCs w:val="24"/>
      </w:rPr>
    </w:lvl>
    <w:lvl w:ilvl="3">
      <w:start w:val="1"/>
      <w:numFmt w:val="decimal"/>
      <w:pStyle w:val="4"/>
      <w:lvlText w:val="(%4)"/>
      <w:legacy w:legacy="1" w:legacySpace="0" w:legacyIndent="340"/>
      <w:lvlJc w:val="right"/>
      <w:pPr>
        <w:ind w:left="1360" w:hanging="340"/>
      </w:pPr>
      <w:rPr>
        <w:rFonts w:ascii="Times New Roman" w:hAnsi="Times New Roman" w:cs="Times New Roman" w:hint="default"/>
        <w:b w:val="0"/>
        <w:i w:val="0"/>
        <w:sz w:val="22"/>
      </w:rPr>
    </w:lvl>
    <w:lvl w:ilvl="4">
      <w:start w:val="1"/>
      <w:numFmt w:val="decimal"/>
      <w:pStyle w:val="5"/>
      <w:lvlText w:val="(%5)"/>
      <w:legacy w:legacy="1" w:legacySpace="0" w:legacyIndent="708"/>
      <w:lvlJc w:val="center"/>
      <w:pPr>
        <w:ind w:left="2068" w:hanging="708"/>
      </w:pPr>
      <w:rPr>
        <w:rFonts w:ascii="Times New Roman" w:hAnsi="Times New Roman" w:cs="Times New Roman"/>
      </w:rPr>
    </w:lvl>
    <w:lvl w:ilvl="5">
      <w:start w:val="1"/>
      <w:numFmt w:val="lowerLetter"/>
      <w:pStyle w:val="6"/>
      <w:lvlText w:val="(%6)"/>
      <w:legacy w:legacy="1" w:legacySpace="0" w:legacyIndent="708"/>
      <w:lvlJc w:val="center"/>
      <w:pPr>
        <w:ind w:left="2776" w:hanging="708"/>
      </w:pPr>
      <w:rPr>
        <w:rFonts w:ascii="Times New Roman" w:hAnsi="Times New Roman" w:cs="Times New Roman"/>
      </w:rPr>
    </w:lvl>
    <w:lvl w:ilvl="6">
      <w:start w:val="1"/>
      <w:numFmt w:val="lowerRoman"/>
      <w:pStyle w:val="7"/>
      <w:lvlText w:val="(%7)"/>
      <w:legacy w:legacy="1" w:legacySpace="0" w:legacyIndent="708"/>
      <w:lvlJc w:val="center"/>
      <w:pPr>
        <w:ind w:left="3484" w:hanging="708"/>
      </w:pPr>
      <w:rPr>
        <w:rFonts w:ascii="Times New Roman" w:hAnsi="Times New Roman" w:cs="Times New Roman"/>
      </w:rPr>
    </w:lvl>
    <w:lvl w:ilvl="7">
      <w:start w:val="1"/>
      <w:numFmt w:val="lowerLetter"/>
      <w:pStyle w:val="8"/>
      <w:lvlText w:val="(%8)"/>
      <w:legacy w:legacy="1" w:legacySpace="0" w:legacyIndent="708"/>
      <w:lvlJc w:val="center"/>
      <w:pPr>
        <w:ind w:left="4192" w:hanging="708"/>
      </w:pPr>
      <w:rPr>
        <w:rFonts w:ascii="Times New Roman" w:hAnsi="Times New Roman" w:cs="Times New Roman"/>
      </w:rPr>
    </w:lvl>
    <w:lvl w:ilvl="8">
      <w:start w:val="1"/>
      <w:numFmt w:val="lowerRoman"/>
      <w:pStyle w:val="9"/>
      <w:lvlText w:val="(%9)"/>
      <w:legacy w:legacy="1" w:legacySpace="0" w:legacyIndent="708"/>
      <w:lvlJc w:val="center"/>
      <w:pPr>
        <w:ind w:left="4900" w:hanging="708"/>
      </w:pPr>
      <w:rPr>
        <w:rFonts w:ascii="Times New Roman" w:hAnsi="Times New Roman" w:cs="Times New Roman"/>
      </w:rPr>
    </w:lvl>
  </w:abstractNum>
  <w:abstractNum w:abstractNumId="1" w15:restartNumberingAfterBreak="0">
    <w:nsid w:val="0542714D"/>
    <w:multiLevelType w:val="hybridMultilevel"/>
    <w:tmpl w:val="EAD21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33779"/>
    <w:multiLevelType w:val="hybridMultilevel"/>
    <w:tmpl w:val="D21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1947"/>
    <w:multiLevelType w:val="hybridMultilevel"/>
    <w:tmpl w:val="DED8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E1775"/>
    <w:multiLevelType w:val="hybridMultilevel"/>
    <w:tmpl w:val="3872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AB429C"/>
    <w:multiLevelType w:val="hybridMultilevel"/>
    <w:tmpl w:val="548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5799F"/>
    <w:multiLevelType w:val="hybridMultilevel"/>
    <w:tmpl w:val="4B7E8D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975AE7"/>
    <w:multiLevelType w:val="hybridMultilevel"/>
    <w:tmpl w:val="0FE2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D4A18"/>
    <w:multiLevelType w:val="hybridMultilevel"/>
    <w:tmpl w:val="89309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8C0C10"/>
    <w:multiLevelType w:val="hybridMultilevel"/>
    <w:tmpl w:val="6D109332"/>
    <w:lvl w:ilvl="0" w:tplc="6DA002C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BA64F0"/>
    <w:multiLevelType w:val="hybridMultilevel"/>
    <w:tmpl w:val="4F7A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7205B"/>
    <w:multiLevelType w:val="hybridMultilevel"/>
    <w:tmpl w:val="66868FB6"/>
    <w:lvl w:ilvl="0" w:tplc="04090001">
      <w:start w:val="1"/>
      <w:numFmt w:val="bullet"/>
      <w:lvlText w:val=""/>
      <w:lvlJc w:val="left"/>
      <w:pPr>
        <w:ind w:left="5747" w:hanging="360"/>
      </w:pPr>
      <w:rPr>
        <w:rFonts w:ascii="Symbol" w:hAnsi="Symbol"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abstractNum w:abstractNumId="12" w15:restartNumberingAfterBreak="0">
    <w:nsid w:val="7AB960C6"/>
    <w:multiLevelType w:val="hybridMultilevel"/>
    <w:tmpl w:val="A9C6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4"/>
  </w:num>
  <w:num w:numId="5">
    <w:abstractNumId w:val="1"/>
  </w:num>
  <w:num w:numId="6">
    <w:abstractNumId w:val="12"/>
  </w:num>
  <w:num w:numId="7">
    <w:abstractNumId w:val="5"/>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06"/>
    <w:rsid w:val="000009ED"/>
    <w:rsid w:val="000016FE"/>
    <w:rsid w:val="00003FA3"/>
    <w:rsid w:val="0000420E"/>
    <w:rsid w:val="00004259"/>
    <w:rsid w:val="00005040"/>
    <w:rsid w:val="00005212"/>
    <w:rsid w:val="0000579C"/>
    <w:rsid w:val="000057DC"/>
    <w:rsid w:val="0000766C"/>
    <w:rsid w:val="00010568"/>
    <w:rsid w:val="00010C70"/>
    <w:rsid w:val="0001308F"/>
    <w:rsid w:val="00014A23"/>
    <w:rsid w:val="00014EF7"/>
    <w:rsid w:val="0001723D"/>
    <w:rsid w:val="00017C7F"/>
    <w:rsid w:val="00020F9E"/>
    <w:rsid w:val="000247BE"/>
    <w:rsid w:val="0002574D"/>
    <w:rsid w:val="00026557"/>
    <w:rsid w:val="00026692"/>
    <w:rsid w:val="0002762F"/>
    <w:rsid w:val="0003080D"/>
    <w:rsid w:val="000308DE"/>
    <w:rsid w:val="00032BD5"/>
    <w:rsid w:val="00032EAA"/>
    <w:rsid w:val="00033062"/>
    <w:rsid w:val="00033326"/>
    <w:rsid w:val="000337D1"/>
    <w:rsid w:val="000359AC"/>
    <w:rsid w:val="0003624A"/>
    <w:rsid w:val="0003644D"/>
    <w:rsid w:val="000368DE"/>
    <w:rsid w:val="00040CA9"/>
    <w:rsid w:val="0004163E"/>
    <w:rsid w:val="000416AB"/>
    <w:rsid w:val="00041B69"/>
    <w:rsid w:val="00042865"/>
    <w:rsid w:val="00042D5A"/>
    <w:rsid w:val="00043E00"/>
    <w:rsid w:val="00043EF3"/>
    <w:rsid w:val="00044851"/>
    <w:rsid w:val="00044C54"/>
    <w:rsid w:val="000467E1"/>
    <w:rsid w:val="00046F70"/>
    <w:rsid w:val="000504FE"/>
    <w:rsid w:val="00050BD0"/>
    <w:rsid w:val="000512B0"/>
    <w:rsid w:val="000519B9"/>
    <w:rsid w:val="00051F02"/>
    <w:rsid w:val="00053072"/>
    <w:rsid w:val="00053163"/>
    <w:rsid w:val="000538AB"/>
    <w:rsid w:val="00053A86"/>
    <w:rsid w:val="00054956"/>
    <w:rsid w:val="00056533"/>
    <w:rsid w:val="00061166"/>
    <w:rsid w:val="00064AC9"/>
    <w:rsid w:val="00065057"/>
    <w:rsid w:val="000651F8"/>
    <w:rsid w:val="0006540D"/>
    <w:rsid w:val="00066322"/>
    <w:rsid w:val="000674E1"/>
    <w:rsid w:val="000677A6"/>
    <w:rsid w:val="0006797C"/>
    <w:rsid w:val="000703FF"/>
    <w:rsid w:val="00070DB3"/>
    <w:rsid w:val="00070EC2"/>
    <w:rsid w:val="000717B4"/>
    <w:rsid w:val="000743A2"/>
    <w:rsid w:val="00074B82"/>
    <w:rsid w:val="0007516C"/>
    <w:rsid w:val="0007573A"/>
    <w:rsid w:val="00075EFC"/>
    <w:rsid w:val="000769A8"/>
    <w:rsid w:val="000819C4"/>
    <w:rsid w:val="00081DD4"/>
    <w:rsid w:val="00081ECB"/>
    <w:rsid w:val="0008265B"/>
    <w:rsid w:val="00083540"/>
    <w:rsid w:val="00084BF8"/>
    <w:rsid w:val="000851CE"/>
    <w:rsid w:val="000857A0"/>
    <w:rsid w:val="000860E5"/>
    <w:rsid w:val="00086CE6"/>
    <w:rsid w:val="00086DD2"/>
    <w:rsid w:val="00087055"/>
    <w:rsid w:val="00087A89"/>
    <w:rsid w:val="0009033A"/>
    <w:rsid w:val="00090ABE"/>
    <w:rsid w:val="00091510"/>
    <w:rsid w:val="00091D07"/>
    <w:rsid w:val="00093CBA"/>
    <w:rsid w:val="00093E16"/>
    <w:rsid w:val="00094DC7"/>
    <w:rsid w:val="00096C47"/>
    <w:rsid w:val="000970A9"/>
    <w:rsid w:val="0009726C"/>
    <w:rsid w:val="000975E0"/>
    <w:rsid w:val="000A02E0"/>
    <w:rsid w:val="000A0503"/>
    <w:rsid w:val="000A29FB"/>
    <w:rsid w:val="000A409C"/>
    <w:rsid w:val="000A4196"/>
    <w:rsid w:val="000A50C6"/>
    <w:rsid w:val="000A577B"/>
    <w:rsid w:val="000A57F1"/>
    <w:rsid w:val="000A7183"/>
    <w:rsid w:val="000A75E1"/>
    <w:rsid w:val="000A7BAF"/>
    <w:rsid w:val="000B00F9"/>
    <w:rsid w:val="000B0812"/>
    <w:rsid w:val="000B0CA3"/>
    <w:rsid w:val="000B10F7"/>
    <w:rsid w:val="000B1666"/>
    <w:rsid w:val="000B288C"/>
    <w:rsid w:val="000B5823"/>
    <w:rsid w:val="000B77C7"/>
    <w:rsid w:val="000B7A80"/>
    <w:rsid w:val="000C0090"/>
    <w:rsid w:val="000C06F5"/>
    <w:rsid w:val="000C1CAB"/>
    <w:rsid w:val="000C1D36"/>
    <w:rsid w:val="000C23B4"/>
    <w:rsid w:val="000C3838"/>
    <w:rsid w:val="000C4DCD"/>
    <w:rsid w:val="000C5920"/>
    <w:rsid w:val="000C5AD8"/>
    <w:rsid w:val="000C5C39"/>
    <w:rsid w:val="000C6506"/>
    <w:rsid w:val="000C79A3"/>
    <w:rsid w:val="000C7D5B"/>
    <w:rsid w:val="000D1004"/>
    <w:rsid w:val="000D1A43"/>
    <w:rsid w:val="000D1F86"/>
    <w:rsid w:val="000D370E"/>
    <w:rsid w:val="000D3FD7"/>
    <w:rsid w:val="000D41A9"/>
    <w:rsid w:val="000D53EB"/>
    <w:rsid w:val="000D5605"/>
    <w:rsid w:val="000D5687"/>
    <w:rsid w:val="000D57DF"/>
    <w:rsid w:val="000D5952"/>
    <w:rsid w:val="000D623A"/>
    <w:rsid w:val="000D6B8C"/>
    <w:rsid w:val="000D70AC"/>
    <w:rsid w:val="000D74BC"/>
    <w:rsid w:val="000E030C"/>
    <w:rsid w:val="000E0752"/>
    <w:rsid w:val="000E0FBB"/>
    <w:rsid w:val="000E10F6"/>
    <w:rsid w:val="000E1246"/>
    <w:rsid w:val="000E12D2"/>
    <w:rsid w:val="000E168E"/>
    <w:rsid w:val="000E2B1B"/>
    <w:rsid w:val="000E3349"/>
    <w:rsid w:val="000E42A1"/>
    <w:rsid w:val="000E5444"/>
    <w:rsid w:val="000E5F83"/>
    <w:rsid w:val="000E64FA"/>
    <w:rsid w:val="000E674B"/>
    <w:rsid w:val="000E6783"/>
    <w:rsid w:val="000E690F"/>
    <w:rsid w:val="000E6DF7"/>
    <w:rsid w:val="000E77BF"/>
    <w:rsid w:val="000E7C33"/>
    <w:rsid w:val="000E7F9B"/>
    <w:rsid w:val="000F00D9"/>
    <w:rsid w:val="000F069A"/>
    <w:rsid w:val="000F10CC"/>
    <w:rsid w:val="000F11D7"/>
    <w:rsid w:val="000F1564"/>
    <w:rsid w:val="000F2AC0"/>
    <w:rsid w:val="000F3CD2"/>
    <w:rsid w:val="000F40FB"/>
    <w:rsid w:val="000F4EBE"/>
    <w:rsid w:val="000F54D5"/>
    <w:rsid w:val="000F5C08"/>
    <w:rsid w:val="000F5F46"/>
    <w:rsid w:val="0010008A"/>
    <w:rsid w:val="00100ED2"/>
    <w:rsid w:val="00101CD9"/>
    <w:rsid w:val="00102273"/>
    <w:rsid w:val="001023DE"/>
    <w:rsid w:val="0010516D"/>
    <w:rsid w:val="0010554B"/>
    <w:rsid w:val="00105C6C"/>
    <w:rsid w:val="001077FE"/>
    <w:rsid w:val="001110C7"/>
    <w:rsid w:val="00111B01"/>
    <w:rsid w:val="00113F78"/>
    <w:rsid w:val="00114A1E"/>
    <w:rsid w:val="00115978"/>
    <w:rsid w:val="001209A1"/>
    <w:rsid w:val="00120A96"/>
    <w:rsid w:val="00120CBC"/>
    <w:rsid w:val="001230AB"/>
    <w:rsid w:val="0012343B"/>
    <w:rsid w:val="00123AAE"/>
    <w:rsid w:val="001246CD"/>
    <w:rsid w:val="00124898"/>
    <w:rsid w:val="00124C58"/>
    <w:rsid w:val="0012539C"/>
    <w:rsid w:val="00127542"/>
    <w:rsid w:val="0013000B"/>
    <w:rsid w:val="0013004C"/>
    <w:rsid w:val="00130AEA"/>
    <w:rsid w:val="00130B18"/>
    <w:rsid w:val="00130FDA"/>
    <w:rsid w:val="001314EF"/>
    <w:rsid w:val="00131DB9"/>
    <w:rsid w:val="00132757"/>
    <w:rsid w:val="00133702"/>
    <w:rsid w:val="00134E52"/>
    <w:rsid w:val="00135719"/>
    <w:rsid w:val="001361C4"/>
    <w:rsid w:val="00136EA2"/>
    <w:rsid w:val="00140663"/>
    <w:rsid w:val="001406C1"/>
    <w:rsid w:val="00142107"/>
    <w:rsid w:val="00145881"/>
    <w:rsid w:val="00145BF6"/>
    <w:rsid w:val="00146CF1"/>
    <w:rsid w:val="00146EEA"/>
    <w:rsid w:val="00146F92"/>
    <w:rsid w:val="00150F1E"/>
    <w:rsid w:val="00151E99"/>
    <w:rsid w:val="00152120"/>
    <w:rsid w:val="001530AA"/>
    <w:rsid w:val="0015502C"/>
    <w:rsid w:val="001550FB"/>
    <w:rsid w:val="00155630"/>
    <w:rsid w:val="00155BAE"/>
    <w:rsid w:val="00156B47"/>
    <w:rsid w:val="00160AD5"/>
    <w:rsid w:val="00161C87"/>
    <w:rsid w:val="00162076"/>
    <w:rsid w:val="00163C3D"/>
    <w:rsid w:val="0016533E"/>
    <w:rsid w:val="00165645"/>
    <w:rsid w:val="00165ECA"/>
    <w:rsid w:val="00165FAB"/>
    <w:rsid w:val="00166110"/>
    <w:rsid w:val="00166DC5"/>
    <w:rsid w:val="00167478"/>
    <w:rsid w:val="00170743"/>
    <w:rsid w:val="001714A4"/>
    <w:rsid w:val="00171888"/>
    <w:rsid w:val="00171A9A"/>
    <w:rsid w:val="00174769"/>
    <w:rsid w:val="00174787"/>
    <w:rsid w:val="001758BE"/>
    <w:rsid w:val="00176645"/>
    <w:rsid w:val="00176852"/>
    <w:rsid w:val="0017762C"/>
    <w:rsid w:val="00177E01"/>
    <w:rsid w:val="001809CC"/>
    <w:rsid w:val="00180B68"/>
    <w:rsid w:val="00183F6B"/>
    <w:rsid w:val="00185B28"/>
    <w:rsid w:val="00185FC3"/>
    <w:rsid w:val="00186C12"/>
    <w:rsid w:val="001870AE"/>
    <w:rsid w:val="00190FC4"/>
    <w:rsid w:val="00191EDC"/>
    <w:rsid w:val="001929CC"/>
    <w:rsid w:val="00193ACF"/>
    <w:rsid w:val="00194663"/>
    <w:rsid w:val="00194A87"/>
    <w:rsid w:val="0019541B"/>
    <w:rsid w:val="00195AC7"/>
    <w:rsid w:val="00195DD8"/>
    <w:rsid w:val="00196720"/>
    <w:rsid w:val="00196FAC"/>
    <w:rsid w:val="001979DB"/>
    <w:rsid w:val="00197CEA"/>
    <w:rsid w:val="001A0731"/>
    <w:rsid w:val="001A1574"/>
    <w:rsid w:val="001A1A27"/>
    <w:rsid w:val="001A1D4C"/>
    <w:rsid w:val="001A20A9"/>
    <w:rsid w:val="001A29FE"/>
    <w:rsid w:val="001A34F4"/>
    <w:rsid w:val="001A3AC8"/>
    <w:rsid w:val="001A404B"/>
    <w:rsid w:val="001A4B79"/>
    <w:rsid w:val="001A503C"/>
    <w:rsid w:val="001A5208"/>
    <w:rsid w:val="001A55F3"/>
    <w:rsid w:val="001A5C00"/>
    <w:rsid w:val="001A5C93"/>
    <w:rsid w:val="001A5EEA"/>
    <w:rsid w:val="001B00BB"/>
    <w:rsid w:val="001B0124"/>
    <w:rsid w:val="001B0F37"/>
    <w:rsid w:val="001B1AC6"/>
    <w:rsid w:val="001B2297"/>
    <w:rsid w:val="001B2918"/>
    <w:rsid w:val="001B414F"/>
    <w:rsid w:val="001B41AF"/>
    <w:rsid w:val="001B430C"/>
    <w:rsid w:val="001B4676"/>
    <w:rsid w:val="001B4D56"/>
    <w:rsid w:val="001B4DD9"/>
    <w:rsid w:val="001B5AE2"/>
    <w:rsid w:val="001B62A8"/>
    <w:rsid w:val="001B719D"/>
    <w:rsid w:val="001C005D"/>
    <w:rsid w:val="001C18C2"/>
    <w:rsid w:val="001C1ABA"/>
    <w:rsid w:val="001C253A"/>
    <w:rsid w:val="001C2F9B"/>
    <w:rsid w:val="001C30D7"/>
    <w:rsid w:val="001C36F1"/>
    <w:rsid w:val="001C5D4D"/>
    <w:rsid w:val="001C6061"/>
    <w:rsid w:val="001C648E"/>
    <w:rsid w:val="001C67AA"/>
    <w:rsid w:val="001C796D"/>
    <w:rsid w:val="001D1135"/>
    <w:rsid w:val="001D171B"/>
    <w:rsid w:val="001D1BFB"/>
    <w:rsid w:val="001D3676"/>
    <w:rsid w:val="001D398C"/>
    <w:rsid w:val="001D4181"/>
    <w:rsid w:val="001D42FB"/>
    <w:rsid w:val="001D4876"/>
    <w:rsid w:val="001D4FF1"/>
    <w:rsid w:val="001D6C29"/>
    <w:rsid w:val="001D6F20"/>
    <w:rsid w:val="001E0025"/>
    <w:rsid w:val="001E02C6"/>
    <w:rsid w:val="001E1D40"/>
    <w:rsid w:val="001E2111"/>
    <w:rsid w:val="001E2404"/>
    <w:rsid w:val="001E29C0"/>
    <w:rsid w:val="001E2CC0"/>
    <w:rsid w:val="001E34CC"/>
    <w:rsid w:val="001E389F"/>
    <w:rsid w:val="001E3D28"/>
    <w:rsid w:val="001E59FB"/>
    <w:rsid w:val="001F0639"/>
    <w:rsid w:val="001F07C0"/>
    <w:rsid w:val="001F0BF6"/>
    <w:rsid w:val="001F0E1E"/>
    <w:rsid w:val="001F1315"/>
    <w:rsid w:val="001F1511"/>
    <w:rsid w:val="001F2101"/>
    <w:rsid w:val="001F2855"/>
    <w:rsid w:val="001F2882"/>
    <w:rsid w:val="001F4879"/>
    <w:rsid w:val="001F4AD7"/>
    <w:rsid w:val="001F5492"/>
    <w:rsid w:val="001F579B"/>
    <w:rsid w:val="001F688C"/>
    <w:rsid w:val="001F7599"/>
    <w:rsid w:val="00201608"/>
    <w:rsid w:val="002016D1"/>
    <w:rsid w:val="002019AB"/>
    <w:rsid w:val="0020271C"/>
    <w:rsid w:val="00203AB5"/>
    <w:rsid w:val="002041D4"/>
    <w:rsid w:val="00204ACD"/>
    <w:rsid w:val="00207FB2"/>
    <w:rsid w:val="00211375"/>
    <w:rsid w:val="00211F00"/>
    <w:rsid w:val="002122F9"/>
    <w:rsid w:val="002127DE"/>
    <w:rsid w:val="002128E9"/>
    <w:rsid w:val="002131B9"/>
    <w:rsid w:val="002150B4"/>
    <w:rsid w:val="0021573C"/>
    <w:rsid w:val="00216193"/>
    <w:rsid w:val="002166E3"/>
    <w:rsid w:val="00217377"/>
    <w:rsid w:val="00220741"/>
    <w:rsid w:val="00221D8C"/>
    <w:rsid w:val="0022201F"/>
    <w:rsid w:val="002224F4"/>
    <w:rsid w:val="00225374"/>
    <w:rsid w:val="00227B40"/>
    <w:rsid w:val="00227DF7"/>
    <w:rsid w:val="002301B5"/>
    <w:rsid w:val="00230452"/>
    <w:rsid w:val="00230BCF"/>
    <w:rsid w:val="0023129F"/>
    <w:rsid w:val="00231C91"/>
    <w:rsid w:val="00232305"/>
    <w:rsid w:val="00233242"/>
    <w:rsid w:val="0023352B"/>
    <w:rsid w:val="00234E8D"/>
    <w:rsid w:val="00235C2C"/>
    <w:rsid w:val="00235C9A"/>
    <w:rsid w:val="002372E6"/>
    <w:rsid w:val="0024000B"/>
    <w:rsid w:val="00240CBE"/>
    <w:rsid w:val="0024158D"/>
    <w:rsid w:val="00242029"/>
    <w:rsid w:val="002427B4"/>
    <w:rsid w:val="00242EA5"/>
    <w:rsid w:val="002439C2"/>
    <w:rsid w:val="00244C15"/>
    <w:rsid w:val="00244DF1"/>
    <w:rsid w:val="002454BD"/>
    <w:rsid w:val="00246670"/>
    <w:rsid w:val="00246A77"/>
    <w:rsid w:val="00246AB4"/>
    <w:rsid w:val="00246D60"/>
    <w:rsid w:val="00247CB6"/>
    <w:rsid w:val="00250448"/>
    <w:rsid w:val="0025090B"/>
    <w:rsid w:val="0025241A"/>
    <w:rsid w:val="002530C3"/>
    <w:rsid w:val="00254595"/>
    <w:rsid w:val="002547EA"/>
    <w:rsid w:val="00255F78"/>
    <w:rsid w:val="00257C4F"/>
    <w:rsid w:val="002626D3"/>
    <w:rsid w:val="002629F2"/>
    <w:rsid w:val="00262B90"/>
    <w:rsid w:val="002636AB"/>
    <w:rsid w:val="00263FA4"/>
    <w:rsid w:val="00264450"/>
    <w:rsid w:val="00264B07"/>
    <w:rsid w:val="00264CE6"/>
    <w:rsid w:val="002650AB"/>
    <w:rsid w:val="00265177"/>
    <w:rsid w:val="00266932"/>
    <w:rsid w:val="00266A32"/>
    <w:rsid w:val="00267CC5"/>
    <w:rsid w:val="00267CFD"/>
    <w:rsid w:val="00270B0B"/>
    <w:rsid w:val="0027326C"/>
    <w:rsid w:val="00273D1B"/>
    <w:rsid w:val="00274B50"/>
    <w:rsid w:val="00274F4A"/>
    <w:rsid w:val="002752F1"/>
    <w:rsid w:val="0027547C"/>
    <w:rsid w:val="0027653D"/>
    <w:rsid w:val="00276651"/>
    <w:rsid w:val="00277BC5"/>
    <w:rsid w:val="00280053"/>
    <w:rsid w:val="00280A65"/>
    <w:rsid w:val="00282773"/>
    <w:rsid w:val="00282A2B"/>
    <w:rsid w:val="00283756"/>
    <w:rsid w:val="002842CA"/>
    <w:rsid w:val="002848C9"/>
    <w:rsid w:val="00285B3C"/>
    <w:rsid w:val="00286644"/>
    <w:rsid w:val="0028736A"/>
    <w:rsid w:val="0028776B"/>
    <w:rsid w:val="0029067D"/>
    <w:rsid w:val="002910D0"/>
    <w:rsid w:val="0029124A"/>
    <w:rsid w:val="002916FD"/>
    <w:rsid w:val="002919ED"/>
    <w:rsid w:val="00291D49"/>
    <w:rsid w:val="00292AE0"/>
    <w:rsid w:val="00293151"/>
    <w:rsid w:val="002934E4"/>
    <w:rsid w:val="00295C50"/>
    <w:rsid w:val="00295D2E"/>
    <w:rsid w:val="00296403"/>
    <w:rsid w:val="00296B48"/>
    <w:rsid w:val="00296CAD"/>
    <w:rsid w:val="00297B01"/>
    <w:rsid w:val="002A2252"/>
    <w:rsid w:val="002A2269"/>
    <w:rsid w:val="002A3047"/>
    <w:rsid w:val="002A305D"/>
    <w:rsid w:val="002A39EA"/>
    <w:rsid w:val="002A4D83"/>
    <w:rsid w:val="002A5070"/>
    <w:rsid w:val="002A545A"/>
    <w:rsid w:val="002A6170"/>
    <w:rsid w:val="002A61E1"/>
    <w:rsid w:val="002A6CAF"/>
    <w:rsid w:val="002B0908"/>
    <w:rsid w:val="002B09B3"/>
    <w:rsid w:val="002B0F0E"/>
    <w:rsid w:val="002B117C"/>
    <w:rsid w:val="002B1C21"/>
    <w:rsid w:val="002B2009"/>
    <w:rsid w:val="002B2038"/>
    <w:rsid w:val="002B234C"/>
    <w:rsid w:val="002B2730"/>
    <w:rsid w:val="002B2A4D"/>
    <w:rsid w:val="002B2E6D"/>
    <w:rsid w:val="002B3DBC"/>
    <w:rsid w:val="002B3E40"/>
    <w:rsid w:val="002B4F55"/>
    <w:rsid w:val="002B6624"/>
    <w:rsid w:val="002B7096"/>
    <w:rsid w:val="002C15F3"/>
    <w:rsid w:val="002C1A7A"/>
    <w:rsid w:val="002C1FDC"/>
    <w:rsid w:val="002C22A9"/>
    <w:rsid w:val="002C2763"/>
    <w:rsid w:val="002C38FD"/>
    <w:rsid w:val="002C445A"/>
    <w:rsid w:val="002C45A1"/>
    <w:rsid w:val="002C487B"/>
    <w:rsid w:val="002C4A6D"/>
    <w:rsid w:val="002C5A95"/>
    <w:rsid w:val="002C7D1A"/>
    <w:rsid w:val="002D056D"/>
    <w:rsid w:val="002D0D4E"/>
    <w:rsid w:val="002D0E73"/>
    <w:rsid w:val="002D1444"/>
    <w:rsid w:val="002D1724"/>
    <w:rsid w:val="002D2BC1"/>
    <w:rsid w:val="002D2C82"/>
    <w:rsid w:val="002D338D"/>
    <w:rsid w:val="002D4844"/>
    <w:rsid w:val="002D4B53"/>
    <w:rsid w:val="002D5E24"/>
    <w:rsid w:val="002D7483"/>
    <w:rsid w:val="002D7E55"/>
    <w:rsid w:val="002D7FF2"/>
    <w:rsid w:val="002E01BF"/>
    <w:rsid w:val="002E0A54"/>
    <w:rsid w:val="002E1E8D"/>
    <w:rsid w:val="002E2227"/>
    <w:rsid w:val="002E3534"/>
    <w:rsid w:val="002E392D"/>
    <w:rsid w:val="002E4CFC"/>
    <w:rsid w:val="002E5026"/>
    <w:rsid w:val="002E5CE8"/>
    <w:rsid w:val="002E71EB"/>
    <w:rsid w:val="002E7729"/>
    <w:rsid w:val="002E7AD8"/>
    <w:rsid w:val="002E7B00"/>
    <w:rsid w:val="002E7D48"/>
    <w:rsid w:val="002F016B"/>
    <w:rsid w:val="002F096E"/>
    <w:rsid w:val="002F0E94"/>
    <w:rsid w:val="002F1826"/>
    <w:rsid w:val="002F20BA"/>
    <w:rsid w:val="002F3163"/>
    <w:rsid w:val="002F5E59"/>
    <w:rsid w:val="002F6313"/>
    <w:rsid w:val="002F692E"/>
    <w:rsid w:val="002F73EC"/>
    <w:rsid w:val="002F753C"/>
    <w:rsid w:val="00301247"/>
    <w:rsid w:val="00302399"/>
    <w:rsid w:val="00302999"/>
    <w:rsid w:val="00303B1E"/>
    <w:rsid w:val="00303DF5"/>
    <w:rsid w:val="00304BBE"/>
    <w:rsid w:val="00304F60"/>
    <w:rsid w:val="00305AB1"/>
    <w:rsid w:val="00305F78"/>
    <w:rsid w:val="00307300"/>
    <w:rsid w:val="00307FBB"/>
    <w:rsid w:val="00311F59"/>
    <w:rsid w:val="0031243C"/>
    <w:rsid w:val="00312446"/>
    <w:rsid w:val="0031276F"/>
    <w:rsid w:val="003131CF"/>
    <w:rsid w:val="0031384F"/>
    <w:rsid w:val="00315ECF"/>
    <w:rsid w:val="00316005"/>
    <w:rsid w:val="00316084"/>
    <w:rsid w:val="00316F56"/>
    <w:rsid w:val="0032005A"/>
    <w:rsid w:val="00320388"/>
    <w:rsid w:val="0032040A"/>
    <w:rsid w:val="0033191B"/>
    <w:rsid w:val="00332016"/>
    <w:rsid w:val="00332296"/>
    <w:rsid w:val="00333AE6"/>
    <w:rsid w:val="003345FF"/>
    <w:rsid w:val="00334EE0"/>
    <w:rsid w:val="00335B35"/>
    <w:rsid w:val="003360D7"/>
    <w:rsid w:val="00336550"/>
    <w:rsid w:val="00341553"/>
    <w:rsid w:val="00341661"/>
    <w:rsid w:val="0034326D"/>
    <w:rsid w:val="00343304"/>
    <w:rsid w:val="003443F9"/>
    <w:rsid w:val="00345164"/>
    <w:rsid w:val="003453D7"/>
    <w:rsid w:val="00346351"/>
    <w:rsid w:val="0035072B"/>
    <w:rsid w:val="003507A1"/>
    <w:rsid w:val="003508D2"/>
    <w:rsid w:val="003511FA"/>
    <w:rsid w:val="00352E3F"/>
    <w:rsid w:val="00353570"/>
    <w:rsid w:val="003536F8"/>
    <w:rsid w:val="003550D6"/>
    <w:rsid w:val="003555E7"/>
    <w:rsid w:val="00357F0C"/>
    <w:rsid w:val="00357F6D"/>
    <w:rsid w:val="0036318B"/>
    <w:rsid w:val="003631F8"/>
    <w:rsid w:val="003633EB"/>
    <w:rsid w:val="0036423D"/>
    <w:rsid w:val="00364B44"/>
    <w:rsid w:val="00364BF6"/>
    <w:rsid w:val="00365600"/>
    <w:rsid w:val="00366EB5"/>
    <w:rsid w:val="00367778"/>
    <w:rsid w:val="003700BC"/>
    <w:rsid w:val="00371435"/>
    <w:rsid w:val="003722F4"/>
    <w:rsid w:val="00373127"/>
    <w:rsid w:val="00373778"/>
    <w:rsid w:val="003744BF"/>
    <w:rsid w:val="00375488"/>
    <w:rsid w:val="003768AB"/>
    <w:rsid w:val="003768CB"/>
    <w:rsid w:val="003768D8"/>
    <w:rsid w:val="00376B9A"/>
    <w:rsid w:val="0037798D"/>
    <w:rsid w:val="00380EDD"/>
    <w:rsid w:val="00380FDA"/>
    <w:rsid w:val="00381848"/>
    <w:rsid w:val="003818F5"/>
    <w:rsid w:val="003826AF"/>
    <w:rsid w:val="003844AF"/>
    <w:rsid w:val="00384D6F"/>
    <w:rsid w:val="00384FC9"/>
    <w:rsid w:val="00385FA7"/>
    <w:rsid w:val="003862E1"/>
    <w:rsid w:val="00387836"/>
    <w:rsid w:val="0038792F"/>
    <w:rsid w:val="00387E12"/>
    <w:rsid w:val="00390733"/>
    <w:rsid w:val="00390BF8"/>
    <w:rsid w:val="00391453"/>
    <w:rsid w:val="00392CF9"/>
    <w:rsid w:val="003934A4"/>
    <w:rsid w:val="00394043"/>
    <w:rsid w:val="0039492F"/>
    <w:rsid w:val="0039501C"/>
    <w:rsid w:val="0039541D"/>
    <w:rsid w:val="003978C2"/>
    <w:rsid w:val="003A0BC8"/>
    <w:rsid w:val="003A0C4B"/>
    <w:rsid w:val="003A0D02"/>
    <w:rsid w:val="003A111B"/>
    <w:rsid w:val="003A1F21"/>
    <w:rsid w:val="003A1FB0"/>
    <w:rsid w:val="003A24A5"/>
    <w:rsid w:val="003A2DEE"/>
    <w:rsid w:val="003A31E7"/>
    <w:rsid w:val="003A329C"/>
    <w:rsid w:val="003A5885"/>
    <w:rsid w:val="003A6413"/>
    <w:rsid w:val="003A67E8"/>
    <w:rsid w:val="003A6A53"/>
    <w:rsid w:val="003A7972"/>
    <w:rsid w:val="003A79DF"/>
    <w:rsid w:val="003B03F8"/>
    <w:rsid w:val="003B124D"/>
    <w:rsid w:val="003B13C5"/>
    <w:rsid w:val="003B1FB7"/>
    <w:rsid w:val="003B230E"/>
    <w:rsid w:val="003B4D81"/>
    <w:rsid w:val="003B66C0"/>
    <w:rsid w:val="003B74B5"/>
    <w:rsid w:val="003C11FB"/>
    <w:rsid w:val="003C14D6"/>
    <w:rsid w:val="003C2445"/>
    <w:rsid w:val="003C30FD"/>
    <w:rsid w:val="003C3233"/>
    <w:rsid w:val="003C3925"/>
    <w:rsid w:val="003C44C1"/>
    <w:rsid w:val="003C4778"/>
    <w:rsid w:val="003C58CD"/>
    <w:rsid w:val="003C5B37"/>
    <w:rsid w:val="003C7B49"/>
    <w:rsid w:val="003D0C09"/>
    <w:rsid w:val="003D0C5C"/>
    <w:rsid w:val="003D0E9E"/>
    <w:rsid w:val="003D10A7"/>
    <w:rsid w:val="003D2376"/>
    <w:rsid w:val="003D2D9D"/>
    <w:rsid w:val="003D31BB"/>
    <w:rsid w:val="003D3CF4"/>
    <w:rsid w:val="003D3D44"/>
    <w:rsid w:val="003D3EDE"/>
    <w:rsid w:val="003D440A"/>
    <w:rsid w:val="003D6310"/>
    <w:rsid w:val="003D673B"/>
    <w:rsid w:val="003D68CD"/>
    <w:rsid w:val="003E0BB8"/>
    <w:rsid w:val="003E12C9"/>
    <w:rsid w:val="003E248A"/>
    <w:rsid w:val="003E2E4B"/>
    <w:rsid w:val="003E2FB9"/>
    <w:rsid w:val="003E34BA"/>
    <w:rsid w:val="003E4D9E"/>
    <w:rsid w:val="003E6363"/>
    <w:rsid w:val="003E769A"/>
    <w:rsid w:val="003F03DD"/>
    <w:rsid w:val="003F131B"/>
    <w:rsid w:val="003F2864"/>
    <w:rsid w:val="003F30E7"/>
    <w:rsid w:val="003F4249"/>
    <w:rsid w:val="003F4673"/>
    <w:rsid w:val="003F4ABC"/>
    <w:rsid w:val="003F53EA"/>
    <w:rsid w:val="003F6AAA"/>
    <w:rsid w:val="003F749D"/>
    <w:rsid w:val="003F7641"/>
    <w:rsid w:val="003F7E41"/>
    <w:rsid w:val="0040015E"/>
    <w:rsid w:val="00403695"/>
    <w:rsid w:val="004039C7"/>
    <w:rsid w:val="00403F5E"/>
    <w:rsid w:val="00404947"/>
    <w:rsid w:val="00405263"/>
    <w:rsid w:val="004071C8"/>
    <w:rsid w:val="00407BA2"/>
    <w:rsid w:val="00407D89"/>
    <w:rsid w:val="00411275"/>
    <w:rsid w:val="00411CA3"/>
    <w:rsid w:val="0041296A"/>
    <w:rsid w:val="00412F81"/>
    <w:rsid w:val="00412FED"/>
    <w:rsid w:val="00413311"/>
    <w:rsid w:val="00414674"/>
    <w:rsid w:val="00414BFB"/>
    <w:rsid w:val="00415067"/>
    <w:rsid w:val="00416B45"/>
    <w:rsid w:val="00416FEB"/>
    <w:rsid w:val="0041770E"/>
    <w:rsid w:val="0041799D"/>
    <w:rsid w:val="004211B9"/>
    <w:rsid w:val="0042192F"/>
    <w:rsid w:val="004237A9"/>
    <w:rsid w:val="00423CCE"/>
    <w:rsid w:val="004251A7"/>
    <w:rsid w:val="0042578E"/>
    <w:rsid w:val="004279C7"/>
    <w:rsid w:val="0043004F"/>
    <w:rsid w:val="004301DE"/>
    <w:rsid w:val="00432AB8"/>
    <w:rsid w:val="00433BC0"/>
    <w:rsid w:val="0043408B"/>
    <w:rsid w:val="00435E85"/>
    <w:rsid w:val="00437866"/>
    <w:rsid w:val="0044026A"/>
    <w:rsid w:val="004406F8"/>
    <w:rsid w:val="004415F9"/>
    <w:rsid w:val="00441BDC"/>
    <w:rsid w:val="0044265F"/>
    <w:rsid w:val="0044617E"/>
    <w:rsid w:val="004462FB"/>
    <w:rsid w:val="0044662E"/>
    <w:rsid w:val="00446E4B"/>
    <w:rsid w:val="00446EA6"/>
    <w:rsid w:val="00446FBD"/>
    <w:rsid w:val="0044725D"/>
    <w:rsid w:val="00447D98"/>
    <w:rsid w:val="004509EB"/>
    <w:rsid w:val="00451259"/>
    <w:rsid w:val="00451D03"/>
    <w:rsid w:val="00451D5D"/>
    <w:rsid w:val="0045242F"/>
    <w:rsid w:val="00452FC5"/>
    <w:rsid w:val="00453F91"/>
    <w:rsid w:val="004545D6"/>
    <w:rsid w:val="00454621"/>
    <w:rsid w:val="004554B0"/>
    <w:rsid w:val="00456ADD"/>
    <w:rsid w:val="00456CD0"/>
    <w:rsid w:val="0046248B"/>
    <w:rsid w:val="0046525C"/>
    <w:rsid w:val="00466706"/>
    <w:rsid w:val="00466DE7"/>
    <w:rsid w:val="00467791"/>
    <w:rsid w:val="0047116B"/>
    <w:rsid w:val="00471C49"/>
    <w:rsid w:val="00471F0B"/>
    <w:rsid w:val="004720BD"/>
    <w:rsid w:val="00473DE2"/>
    <w:rsid w:val="00477B53"/>
    <w:rsid w:val="00477FA3"/>
    <w:rsid w:val="00480DE5"/>
    <w:rsid w:val="004823D2"/>
    <w:rsid w:val="00482F11"/>
    <w:rsid w:val="004845A4"/>
    <w:rsid w:val="00485AFA"/>
    <w:rsid w:val="0048603E"/>
    <w:rsid w:val="004907D8"/>
    <w:rsid w:val="00490961"/>
    <w:rsid w:val="00492335"/>
    <w:rsid w:val="00493428"/>
    <w:rsid w:val="00493535"/>
    <w:rsid w:val="004937CC"/>
    <w:rsid w:val="004941E7"/>
    <w:rsid w:val="004954F3"/>
    <w:rsid w:val="00495650"/>
    <w:rsid w:val="004960DF"/>
    <w:rsid w:val="0049621A"/>
    <w:rsid w:val="00496256"/>
    <w:rsid w:val="00496B98"/>
    <w:rsid w:val="00496E15"/>
    <w:rsid w:val="00497FEB"/>
    <w:rsid w:val="004A075E"/>
    <w:rsid w:val="004A1061"/>
    <w:rsid w:val="004A1246"/>
    <w:rsid w:val="004A147A"/>
    <w:rsid w:val="004A1D7D"/>
    <w:rsid w:val="004A3665"/>
    <w:rsid w:val="004A3D86"/>
    <w:rsid w:val="004A438B"/>
    <w:rsid w:val="004A44BB"/>
    <w:rsid w:val="004A45B0"/>
    <w:rsid w:val="004A4F50"/>
    <w:rsid w:val="004A5CA3"/>
    <w:rsid w:val="004A6965"/>
    <w:rsid w:val="004A7206"/>
    <w:rsid w:val="004A74F3"/>
    <w:rsid w:val="004A7BC6"/>
    <w:rsid w:val="004B2D83"/>
    <w:rsid w:val="004B3AB0"/>
    <w:rsid w:val="004B3DEE"/>
    <w:rsid w:val="004B45B9"/>
    <w:rsid w:val="004B4906"/>
    <w:rsid w:val="004B4DF5"/>
    <w:rsid w:val="004B5BEA"/>
    <w:rsid w:val="004B64E5"/>
    <w:rsid w:val="004B738F"/>
    <w:rsid w:val="004B7AA5"/>
    <w:rsid w:val="004C06DE"/>
    <w:rsid w:val="004C0809"/>
    <w:rsid w:val="004C08F2"/>
    <w:rsid w:val="004C135E"/>
    <w:rsid w:val="004C142D"/>
    <w:rsid w:val="004C15B8"/>
    <w:rsid w:val="004C207B"/>
    <w:rsid w:val="004C251C"/>
    <w:rsid w:val="004C38BF"/>
    <w:rsid w:val="004C39EA"/>
    <w:rsid w:val="004C4007"/>
    <w:rsid w:val="004C438E"/>
    <w:rsid w:val="004C5400"/>
    <w:rsid w:val="004C5F87"/>
    <w:rsid w:val="004D01A3"/>
    <w:rsid w:val="004D021A"/>
    <w:rsid w:val="004D063B"/>
    <w:rsid w:val="004D12F9"/>
    <w:rsid w:val="004D1888"/>
    <w:rsid w:val="004D19CD"/>
    <w:rsid w:val="004D1AA3"/>
    <w:rsid w:val="004D23D7"/>
    <w:rsid w:val="004D3423"/>
    <w:rsid w:val="004D3B1A"/>
    <w:rsid w:val="004D497B"/>
    <w:rsid w:val="004D4A81"/>
    <w:rsid w:val="004D5D02"/>
    <w:rsid w:val="004D6766"/>
    <w:rsid w:val="004E013E"/>
    <w:rsid w:val="004E1E4C"/>
    <w:rsid w:val="004E3B82"/>
    <w:rsid w:val="004E6D36"/>
    <w:rsid w:val="004E7DBB"/>
    <w:rsid w:val="004F1693"/>
    <w:rsid w:val="004F1812"/>
    <w:rsid w:val="004F22BA"/>
    <w:rsid w:val="004F2418"/>
    <w:rsid w:val="004F2DAB"/>
    <w:rsid w:val="004F3A38"/>
    <w:rsid w:val="004F4C8C"/>
    <w:rsid w:val="004F4ECD"/>
    <w:rsid w:val="004F5714"/>
    <w:rsid w:val="004F5E20"/>
    <w:rsid w:val="004F5F16"/>
    <w:rsid w:val="004F6212"/>
    <w:rsid w:val="004F73DF"/>
    <w:rsid w:val="00500603"/>
    <w:rsid w:val="00500737"/>
    <w:rsid w:val="005010B3"/>
    <w:rsid w:val="00501441"/>
    <w:rsid w:val="00502AD0"/>
    <w:rsid w:val="00503C89"/>
    <w:rsid w:val="00503D3C"/>
    <w:rsid w:val="005051A4"/>
    <w:rsid w:val="0050586D"/>
    <w:rsid w:val="0050630F"/>
    <w:rsid w:val="005102FC"/>
    <w:rsid w:val="00510833"/>
    <w:rsid w:val="005110A6"/>
    <w:rsid w:val="00512E1E"/>
    <w:rsid w:val="005138B6"/>
    <w:rsid w:val="00514240"/>
    <w:rsid w:val="0051464A"/>
    <w:rsid w:val="005150D5"/>
    <w:rsid w:val="0051551F"/>
    <w:rsid w:val="0051645D"/>
    <w:rsid w:val="0051794D"/>
    <w:rsid w:val="00517C6A"/>
    <w:rsid w:val="00520147"/>
    <w:rsid w:val="0052048D"/>
    <w:rsid w:val="00521336"/>
    <w:rsid w:val="00521E60"/>
    <w:rsid w:val="00521F14"/>
    <w:rsid w:val="0052292D"/>
    <w:rsid w:val="00523666"/>
    <w:rsid w:val="00523694"/>
    <w:rsid w:val="0052369B"/>
    <w:rsid w:val="00524B45"/>
    <w:rsid w:val="00525C16"/>
    <w:rsid w:val="00526BC5"/>
    <w:rsid w:val="00526D3A"/>
    <w:rsid w:val="00526E2A"/>
    <w:rsid w:val="0052723D"/>
    <w:rsid w:val="00527E6F"/>
    <w:rsid w:val="005311E8"/>
    <w:rsid w:val="005331B9"/>
    <w:rsid w:val="00533FE6"/>
    <w:rsid w:val="005348A9"/>
    <w:rsid w:val="00534F19"/>
    <w:rsid w:val="005352E7"/>
    <w:rsid w:val="00537745"/>
    <w:rsid w:val="00537EDF"/>
    <w:rsid w:val="00540451"/>
    <w:rsid w:val="005407ED"/>
    <w:rsid w:val="00540C23"/>
    <w:rsid w:val="00542B79"/>
    <w:rsid w:val="00542C3E"/>
    <w:rsid w:val="0054460C"/>
    <w:rsid w:val="00546183"/>
    <w:rsid w:val="00546A27"/>
    <w:rsid w:val="005471C8"/>
    <w:rsid w:val="0055060B"/>
    <w:rsid w:val="00550BAA"/>
    <w:rsid w:val="00551BCE"/>
    <w:rsid w:val="00552983"/>
    <w:rsid w:val="0055298E"/>
    <w:rsid w:val="005529B6"/>
    <w:rsid w:val="00553766"/>
    <w:rsid w:val="0055401F"/>
    <w:rsid w:val="005544D4"/>
    <w:rsid w:val="0055453F"/>
    <w:rsid w:val="00554C55"/>
    <w:rsid w:val="005551BD"/>
    <w:rsid w:val="00555366"/>
    <w:rsid w:val="00557817"/>
    <w:rsid w:val="00560CDB"/>
    <w:rsid w:val="00562685"/>
    <w:rsid w:val="0056369C"/>
    <w:rsid w:val="005663FF"/>
    <w:rsid w:val="00566E19"/>
    <w:rsid w:val="0056707E"/>
    <w:rsid w:val="00567536"/>
    <w:rsid w:val="0057034B"/>
    <w:rsid w:val="00570519"/>
    <w:rsid w:val="005710B0"/>
    <w:rsid w:val="00571488"/>
    <w:rsid w:val="00571C25"/>
    <w:rsid w:val="005720F3"/>
    <w:rsid w:val="00573E1B"/>
    <w:rsid w:val="00573F41"/>
    <w:rsid w:val="00575563"/>
    <w:rsid w:val="00576274"/>
    <w:rsid w:val="00576794"/>
    <w:rsid w:val="00576C94"/>
    <w:rsid w:val="00576D35"/>
    <w:rsid w:val="00577A92"/>
    <w:rsid w:val="005804FF"/>
    <w:rsid w:val="00580760"/>
    <w:rsid w:val="0058128B"/>
    <w:rsid w:val="00581855"/>
    <w:rsid w:val="00581EC6"/>
    <w:rsid w:val="00582771"/>
    <w:rsid w:val="00583992"/>
    <w:rsid w:val="00583F50"/>
    <w:rsid w:val="00584883"/>
    <w:rsid w:val="0058494B"/>
    <w:rsid w:val="00584A5F"/>
    <w:rsid w:val="00584D01"/>
    <w:rsid w:val="0058524B"/>
    <w:rsid w:val="005855AF"/>
    <w:rsid w:val="00585AFD"/>
    <w:rsid w:val="00586B18"/>
    <w:rsid w:val="00586C4D"/>
    <w:rsid w:val="0058713A"/>
    <w:rsid w:val="005900CF"/>
    <w:rsid w:val="005901DA"/>
    <w:rsid w:val="005905BC"/>
    <w:rsid w:val="00590DC7"/>
    <w:rsid w:val="00591020"/>
    <w:rsid w:val="005922D0"/>
    <w:rsid w:val="005923FA"/>
    <w:rsid w:val="00593356"/>
    <w:rsid w:val="00593803"/>
    <w:rsid w:val="00593FD2"/>
    <w:rsid w:val="00595507"/>
    <w:rsid w:val="0059624C"/>
    <w:rsid w:val="0059632B"/>
    <w:rsid w:val="00596C08"/>
    <w:rsid w:val="00597111"/>
    <w:rsid w:val="00597119"/>
    <w:rsid w:val="005971B0"/>
    <w:rsid w:val="00597AA7"/>
    <w:rsid w:val="005A01DB"/>
    <w:rsid w:val="005A16EE"/>
    <w:rsid w:val="005A1FE3"/>
    <w:rsid w:val="005A298A"/>
    <w:rsid w:val="005A34A1"/>
    <w:rsid w:val="005A4282"/>
    <w:rsid w:val="005A50CD"/>
    <w:rsid w:val="005A595D"/>
    <w:rsid w:val="005A5DD3"/>
    <w:rsid w:val="005A68B7"/>
    <w:rsid w:val="005A7318"/>
    <w:rsid w:val="005A7B96"/>
    <w:rsid w:val="005B062A"/>
    <w:rsid w:val="005B1A5D"/>
    <w:rsid w:val="005B48AC"/>
    <w:rsid w:val="005B48F7"/>
    <w:rsid w:val="005B4F92"/>
    <w:rsid w:val="005B6E03"/>
    <w:rsid w:val="005B7A98"/>
    <w:rsid w:val="005C1032"/>
    <w:rsid w:val="005C23CB"/>
    <w:rsid w:val="005C245E"/>
    <w:rsid w:val="005C36E7"/>
    <w:rsid w:val="005C426F"/>
    <w:rsid w:val="005C4360"/>
    <w:rsid w:val="005D07A1"/>
    <w:rsid w:val="005D0B28"/>
    <w:rsid w:val="005D1C73"/>
    <w:rsid w:val="005D1D68"/>
    <w:rsid w:val="005D1DBD"/>
    <w:rsid w:val="005D257C"/>
    <w:rsid w:val="005D299B"/>
    <w:rsid w:val="005D2B90"/>
    <w:rsid w:val="005D331D"/>
    <w:rsid w:val="005D3750"/>
    <w:rsid w:val="005D3898"/>
    <w:rsid w:val="005D40FC"/>
    <w:rsid w:val="005D41DE"/>
    <w:rsid w:val="005D50D4"/>
    <w:rsid w:val="005D57A4"/>
    <w:rsid w:val="005D6524"/>
    <w:rsid w:val="005D74FD"/>
    <w:rsid w:val="005D7745"/>
    <w:rsid w:val="005E0C50"/>
    <w:rsid w:val="005E1316"/>
    <w:rsid w:val="005E14FE"/>
    <w:rsid w:val="005E1622"/>
    <w:rsid w:val="005E1B97"/>
    <w:rsid w:val="005E1C22"/>
    <w:rsid w:val="005E40A9"/>
    <w:rsid w:val="005E5173"/>
    <w:rsid w:val="005E5CF0"/>
    <w:rsid w:val="005E63F4"/>
    <w:rsid w:val="005E721B"/>
    <w:rsid w:val="005E7284"/>
    <w:rsid w:val="005E72D1"/>
    <w:rsid w:val="005F051E"/>
    <w:rsid w:val="005F0EF0"/>
    <w:rsid w:val="005F116C"/>
    <w:rsid w:val="005F187B"/>
    <w:rsid w:val="005F3B09"/>
    <w:rsid w:val="005F5132"/>
    <w:rsid w:val="005F54EF"/>
    <w:rsid w:val="005F5E21"/>
    <w:rsid w:val="005F743B"/>
    <w:rsid w:val="00601375"/>
    <w:rsid w:val="00603B2B"/>
    <w:rsid w:val="00603C96"/>
    <w:rsid w:val="00604869"/>
    <w:rsid w:val="00605AC3"/>
    <w:rsid w:val="00606830"/>
    <w:rsid w:val="006075EE"/>
    <w:rsid w:val="00607D9E"/>
    <w:rsid w:val="00610A83"/>
    <w:rsid w:val="00611613"/>
    <w:rsid w:val="006125F0"/>
    <w:rsid w:val="00612AEA"/>
    <w:rsid w:val="00614AFC"/>
    <w:rsid w:val="006157DB"/>
    <w:rsid w:val="006158DB"/>
    <w:rsid w:val="00615C20"/>
    <w:rsid w:val="00615F7D"/>
    <w:rsid w:val="006172E6"/>
    <w:rsid w:val="00620B48"/>
    <w:rsid w:val="00620E2D"/>
    <w:rsid w:val="00621015"/>
    <w:rsid w:val="00621353"/>
    <w:rsid w:val="00622FB3"/>
    <w:rsid w:val="00623253"/>
    <w:rsid w:val="00623854"/>
    <w:rsid w:val="00624616"/>
    <w:rsid w:val="006253E4"/>
    <w:rsid w:val="00625F38"/>
    <w:rsid w:val="00625F8E"/>
    <w:rsid w:val="0063121C"/>
    <w:rsid w:val="00631800"/>
    <w:rsid w:val="0063277D"/>
    <w:rsid w:val="00633254"/>
    <w:rsid w:val="00633683"/>
    <w:rsid w:val="00633738"/>
    <w:rsid w:val="006342C1"/>
    <w:rsid w:val="00634FD4"/>
    <w:rsid w:val="00636349"/>
    <w:rsid w:val="006374A9"/>
    <w:rsid w:val="00640058"/>
    <w:rsid w:val="0064051A"/>
    <w:rsid w:val="00642392"/>
    <w:rsid w:val="00642917"/>
    <w:rsid w:val="00642D44"/>
    <w:rsid w:val="006435A0"/>
    <w:rsid w:val="00643F05"/>
    <w:rsid w:val="00645207"/>
    <w:rsid w:val="006453DC"/>
    <w:rsid w:val="00645835"/>
    <w:rsid w:val="00645A0E"/>
    <w:rsid w:val="00645DC2"/>
    <w:rsid w:val="00646176"/>
    <w:rsid w:val="0064690A"/>
    <w:rsid w:val="006472BD"/>
    <w:rsid w:val="00647A20"/>
    <w:rsid w:val="00647DEE"/>
    <w:rsid w:val="0065018E"/>
    <w:rsid w:val="00650BE8"/>
    <w:rsid w:val="00650C10"/>
    <w:rsid w:val="00650CFB"/>
    <w:rsid w:val="00651161"/>
    <w:rsid w:val="00651B09"/>
    <w:rsid w:val="00652028"/>
    <w:rsid w:val="00653985"/>
    <w:rsid w:val="006564B8"/>
    <w:rsid w:val="0066010C"/>
    <w:rsid w:val="0066125E"/>
    <w:rsid w:val="00661521"/>
    <w:rsid w:val="006616A7"/>
    <w:rsid w:val="006620D9"/>
    <w:rsid w:val="00663F68"/>
    <w:rsid w:val="006661A7"/>
    <w:rsid w:val="00666482"/>
    <w:rsid w:val="006700ED"/>
    <w:rsid w:val="006704A7"/>
    <w:rsid w:val="006704D5"/>
    <w:rsid w:val="0067190B"/>
    <w:rsid w:val="00671D55"/>
    <w:rsid w:val="00671EDC"/>
    <w:rsid w:val="00680DD3"/>
    <w:rsid w:val="0068113A"/>
    <w:rsid w:val="00685749"/>
    <w:rsid w:val="0068610F"/>
    <w:rsid w:val="006870F5"/>
    <w:rsid w:val="00687473"/>
    <w:rsid w:val="0068764D"/>
    <w:rsid w:val="00687B41"/>
    <w:rsid w:val="00690045"/>
    <w:rsid w:val="006900D5"/>
    <w:rsid w:val="00691041"/>
    <w:rsid w:val="00691F03"/>
    <w:rsid w:val="0069226D"/>
    <w:rsid w:val="006922D6"/>
    <w:rsid w:val="00692AD4"/>
    <w:rsid w:val="00692C44"/>
    <w:rsid w:val="00693629"/>
    <w:rsid w:val="00694282"/>
    <w:rsid w:val="00694650"/>
    <w:rsid w:val="00694F7F"/>
    <w:rsid w:val="00695938"/>
    <w:rsid w:val="006972A6"/>
    <w:rsid w:val="00697A72"/>
    <w:rsid w:val="006A2746"/>
    <w:rsid w:val="006A3B72"/>
    <w:rsid w:val="006A415B"/>
    <w:rsid w:val="006A5916"/>
    <w:rsid w:val="006A6036"/>
    <w:rsid w:val="006A702D"/>
    <w:rsid w:val="006A7396"/>
    <w:rsid w:val="006A7BE3"/>
    <w:rsid w:val="006B0918"/>
    <w:rsid w:val="006B0BE6"/>
    <w:rsid w:val="006B0C38"/>
    <w:rsid w:val="006B189E"/>
    <w:rsid w:val="006B1E5F"/>
    <w:rsid w:val="006B256D"/>
    <w:rsid w:val="006B2C60"/>
    <w:rsid w:val="006B2CA3"/>
    <w:rsid w:val="006B2FAE"/>
    <w:rsid w:val="006B51D0"/>
    <w:rsid w:val="006B5844"/>
    <w:rsid w:val="006B5DF4"/>
    <w:rsid w:val="006B6414"/>
    <w:rsid w:val="006B706A"/>
    <w:rsid w:val="006C0116"/>
    <w:rsid w:val="006C2728"/>
    <w:rsid w:val="006C3156"/>
    <w:rsid w:val="006C73A9"/>
    <w:rsid w:val="006C74F0"/>
    <w:rsid w:val="006D0AB3"/>
    <w:rsid w:val="006D0BAB"/>
    <w:rsid w:val="006D0F2C"/>
    <w:rsid w:val="006D1284"/>
    <w:rsid w:val="006D18B5"/>
    <w:rsid w:val="006D2216"/>
    <w:rsid w:val="006D4892"/>
    <w:rsid w:val="006D4BE2"/>
    <w:rsid w:val="006D6899"/>
    <w:rsid w:val="006D7F1A"/>
    <w:rsid w:val="006D7FC2"/>
    <w:rsid w:val="006E1084"/>
    <w:rsid w:val="006E3D57"/>
    <w:rsid w:val="006E5D42"/>
    <w:rsid w:val="006E6CA5"/>
    <w:rsid w:val="006E7625"/>
    <w:rsid w:val="006F0D0B"/>
    <w:rsid w:val="006F18D3"/>
    <w:rsid w:val="006F1B26"/>
    <w:rsid w:val="006F399B"/>
    <w:rsid w:val="006F45DE"/>
    <w:rsid w:val="006F57C6"/>
    <w:rsid w:val="00700528"/>
    <w:rsid w:val="00701421"/>
    <w:rsid w:val="00701781"/>
    <w:rsid w:val="00701B1F"/>
    <w:rsid w:val="00702066"/>
    <w:rsid w:val="007029D4"/>
    <w:rsid w:val="007031DB"/>
    <w:rsid w:val="00704368"/>
    <w:rsid w:val="00705ABB"/>
    <w:rsid w:val="00706EB7"/>
    <w:rsid w:val="00706ED4"/>
    <w:rsid w:val="007110DC"/>
    <w:rsid w:val="007111EC"/>
    <w:rsid w:val="00711648"/>
    <w:rsid w:val="0071187C"/>
    <w:rsid w:val="0071231F"/>
    <w:rsid w:val="00713504"/>
    <w:rsid w:val="0071424E"/>
    <w:rsid w:val="00715E38"/>
    <w:rsid w:val="00716AA8"/>
    <w:rsid w:val="0072011B"/>
    <w:rsid w:val="007205E2"/>
    <w:rsid w:val="00720C78"/>
    <w:rsid w:val="00721D9A"/>
    <w:rsid w:val="00722066"/>
    <w:rsid w:val="0072226A"/>
    <w:rsid w:val="00722EB7"/>
    <w:rsid w:val="0072302E"/>
    <w:rsid w:val="0072321A"/>
    <w:rsid w:val="0072353F"/>
    <w:rsid w:val="00724025"/>
    <w:rsid w:val="00724351"/>
    <w:rsid w:val="00724452"/>
    <w:rsid w:val="00725D4F"/>
    <w:rsid w:val="0072792C"/>
    <w:rsid w:val="0073084D"/>
    <w:rsid w:val="00730D72"/>
    <w:rsid w:val="00731365"/>
    <w:rsid w:val="007328B8"/>
    <w:rsid w:val="0073301E"/>
    <w:rsid w:val="007336D4"/>
    <w:rsid w:val="007343B7"/>
    <w:rsid w:val="007364B3"/>
    <w:rsid w:val="00741624"/>
    <w:rsid w:val="007420E7"/>
    <w:rsid w:val="00742C56"/>
    <w:rsid w:val="0074329C"/>
    <w:rsid w:val="00743B49"/>
    <w:rsid w:val="00743BA3"/>
    <w:rsid w:val="007441D8"/>
    <w:rsid w:val="007445FC"/>
    <w:rsid w:val="00744864"/>
    <w:rsid w:val="00746F29"/>
    <w:rsid w:val="00747277"/>
    <w:rsid w:val="00747346"/>
    <w:rsid w:val="00750F77"/>
    <w:rsid w:val="00751646"/>
    <w:rsid w:val="007521B2"/>
    <w:rsid w:val="007535D6"/>
    <w:rsid w:val="0075413E"/>
    <w:rsid w:val="0075475A"/>
    <w:rsid w:val="00754E89"/>
    <w:rsid w:val="00755121"/>
    <w:rsid w:val="00755CA9"/>
    <w:rsid w:val="00756D44"/>
    <w:rsid w:val="00760246"/>
    <w:rsid w:val="0076076E"/>
    <w:rsid w:val="00760D13"/>
    <w:rsid w:val="007610BA"/>
    <w:rsid w:val="00761407"/>
    <w:rsid w:val="007632DF"/>
    <w:rsid w:val="007635B7"/>
    <w:rsid w:val="007649FF"/>
    <w:rsid w:val="00764D24"/>
    <w:rsid w:val="00765998"/>
    <w:rsid w:val="00766B23"/>
    <w:rsid w:val="00767115"/>
    <w:rsid w:val="00770194"/>
    <w:rsid w:val="00771C15"/>
    <w:rsid w:val="007724F6"/>
    <w:rsid w:val="00772CCD"/>
    <w:rsid w:val="00773125"/>
    <w:rsid w:val="00773B22"/>
    <w:rsid w:val="00773CE1"/>
    <w:rsid w:val="0077477E"/>
    <w:rsid w:val="00781B74"/>
    <w:rsid w:val="00783A4D"/>
    <w:rsid w:val="00784DC8"/>
    <w:rsid w:val="00785CA1"/>
    <w:rsid w:val="007864DD"/>
    <w:rsid w:val="00786831"/>
    <w:rsid w:val="00786B8D"/>
    <w:rsid w:val="007905BF"/>
    <w:rsid w:val="00791E89"/>
    <w:rsid w:val="007924D0"/>
    <w:rsid w:val="007934C5"/>
    <w:rsid w:val="0079354A"/>
    <w:rsid w:val="007950FC"/>
    <w:rsid w:val="00795714"/>
    <w:rsid w:val="00795E82"/>
    <w:rsid w:val="00797A81"/>
    <w:rsid w:val="00797F9B"/>
    <w:rsid w:val="007A0F00"/>
    <w:rsid w:val="007A1138"/>
    <w:rsid w:val="007A25CE"/>
    <w:rsid w:val="007A3AB9"/>
    <w:rsid w:val="007A4A3C"/>
    <w:rsid w:val="007A504D"/>
    <w:rsid w:val="007A52B0"/>
    <w:rsid w:val="007A54C6"/>
    <w:rsid w:val="007A5CFB"/>
    <w:rsid w:val="007A6F4C"/>
    <w:rsid w:val="007A7B73"/>
    <w:rsid w:val="007B18C3"/>
    <w:rsid w:val="007B1987"/>
    <w:rsid w:val="007B4C78"/>
    <w:rsid w:val="007B5771"/>
    <w:rsid w:val="007B61AE"/>
    <w:rsid w:val="007B6F7A"/>
    <w:rsid w:val="007B711A"/>
    <w:rsid w:val="007C0782"/>
    <w:rsid w:val="007C129F"/>
    <w:rsid w:val="007C3793"/>
    <w:rsid w:val="007C4697"/>
    <w:rsid w:val="007C4E6F"/>
    <w:rsid w:val="007C72C8"/>
    <w:rsid w:val="007D0D11"/>
    <w:rsid w:val="007D164E"/>
    <w:rsid w:val="007D3943"/>
    <w:rsid w:val="007D44E2"/>
    <w:rsid w:val="007D5000"/>
    <w:rsid w:val="007D5D5F"/>
    <w:rsid w:val="007D6A82"/>
    <w:rsid w:val="007D7218"/>
    <w:rsid w:val="007D76E3"/>
    <w:rsid w:val="007E11A9"/>
    <w:rsid w:val="007E1D88"/>
    <w:rsid w:val="007E212C"/>
    <w:rsid w:val="007E2272"/>
    <w:rsid w:val="007E27C9"/>
    <w:rsid w:val="007E3E7D"/>
    <w:rsid w:val="007E50D6"/>
    <w:rsid w:val="007E55D1"/>
    <w:rsid w:val="007E5AB0"/>
    <w:rsid w:val="007E64C8"/>
    <w:rsid w:val="007E6F89"/>
    <w:rsid w:val="007E788A"/>
    <w:rsid w:val="007F036E"/>
    <w:rsid w:val="007F18F2"/>
    <w:rsid w:val="007F290D"/>
    <w:rsid w:val="007F2E58"/>
    <w:rsid w:val="007F30C5"/>
    <w:rsid w:val="007F37D0"/>
    <w:rsid w:val="007F3891"/>
    <w:rsid w:val="007F3A06"/>
    <w:rsid w:val="007F3AEE"/>
    <w:rsid w:val="007F458F"/>
    <w:rsid w:val="007F525D"/>
    <w:rsid w:val="007F55BD"/>
    <w:rsid w:val="007F67D1"/>
    <w:rsid w:val="007F7712"/>
    <w:rsid w:val="00800AC4"/>
    <w:rsid w:val="00803140"/>
    <w:rsid w:val="00803F7D"/>
    <w:rsid w:val="008043AD"/>
    <w:rsid w:val="00806171"/>
    <w:rsid w:val="0080704C"/>
    <w:rsid w:val="008108B4"/>
    <w:rsid w:val="0081114B"/>
    <w:rsid w:val="00814507"/>
    <w:rsid w:val="008148A4"/>
    <w:rsid w:val="00815186"/>
    <w:rsid w:val="008155A5"/>
    <w:rsid w:val="00815B72"/>
    <w:rsid w:val="0082043A"/>
    <w:rsid w:val="00820E0F"/>
    <w:rsid w:val="0082220F"/>
    <w:rsid w:val="00822A08"/>
    <w:rsid w:val="00822A13"/>
    <w:rsid w:val="00822F9B"/>
    <w:rsid w:val="00823117"/>
    <w:rsid w:val="00823339"/>
    <w:rsid w:val="00825194"/>
    <w:rsid w:val="00825C42"/>
    <w:rsid w:val="00825DEC"/>
    <w:rsid w:val="00826972"/>
    <w:rsid w:val="008278C6"/>
    <w:rsid w:val="00827C7C"/>
    <w:rsid w:val="008312B2"/>
    <w:rsid w:val="00831D23"/>
    <w:rsid w:val="00831DB1"/>
    <w:rsid w:val="00833D7E"/>
    <w:rsid w:val="00833E7F"/>
    <w:rsid w:val="0083406F"/>
    <w:rsid w:val="00834534"/>
    <w:rsid w:val="00835BB5"/>
    <w:rsid w:val="008376EE"/>
    <w:rsid w:val="00841953"/>
    <w:rsid w:val="008422E2"/>
    <w:rsid w:val="0084232C"/>
    <w:rsid w:val="0084269A"/>
    <w:rsid w:val="00842759"/>
    <w:rsid w:val="008430BB"/>
    <w:rsid w:val="0084359E"/>
    <w:rsid w:val="00843EF5"/>
    <w:rsid w:val="00843FE9"/>
    <w:rsid w:val="0084580D"/>
    <w:rsid w:val="00846AE2"/>
    <w:rsid w:val="00851499"/>
    <w:rsid w:val="00851F97"/>
    <w:rsid w:val="00853451"/>
    <w:rsid w:val="00854A5A"/>
    <w:rsid w:val="00854CD9"/>
    <w:rsid w:val="008569A1"/>
    <w:rsid w:val="00861E00"/>
    <w:rsid w:val="00862C10"/>
    <w:rsid w:val="00862E1F"/>
    <w:rsid w:val="00863182"/>
    <w:rsid w:val="008650C7"/>
    <w:rsid w:val="00866706"/>
    <w:rsid w:val="00867E0E"/>
    <w:rsid w:val="008707FF"/>
    <w:rsid w:val="00871152"/>
    <w:rsid w:val="0087128E"/>
    <w:rsid w:val="008723B2"/>
    <w:rsid w:val="00872EFA"/>
    <w:rsid w:val="008731D7"/>
    <w:rsid w:val="00873E01"/>
    <w:rsid w:val="00873E69"/>
    <w:rsid w:val="00874916"/>
    <w:rsid w:val="008751C7"/>
    <w:rsid w:val="00876E04"/>
    <w:rsid w:val="00877E61"/>
    <w:rsid w:val="008806BD"/>
    <w:rsid w:val="00880874"/>
    <w:rsid w:val="0088111D"/>
    <w:rsid w:val="008815B3"/>
    <w:rsid w:val="0088184E"/>
    <w:rsid w:val="0088309B"/>
    <w:rsid w:val="00884FFA"/>
    <w:rsid w:val="0088510D"/>
    <w:rsid w:val="008871B5"/>
    <w:rsid w:val="008900D0"/>
    <w:rsid w:val="008916D5"/>
    <w:rsid w:val="00892236"/>
    <w:rsid w:val="008935C8"/>
    <w:rsid w:val="00893696"/>
    <w:rsid w:val="00893E32"/>
    <w:rsid w:val="0089407F"/>
    <w:rsid w:val="008963D2"/>
    <w:rsid w:val="008A0B91"/>
    <w:rsid w:val="008A0D4B"/>
    <w:rsid w:val="008A0DA3"/>
    <w:rsid w:val="008A201D"/>
    <w:rsid w:val="008A353D"/>
    <w:rsid w:val="008A3AEF"/>
    <w:rsid w:val="008A464C"/>
    <w:rsid w:val="008A467E"/>
    <w:rsid w:val="008A51A7"/>
    <w:rsid w:val="008B0A9F"/>
    <w:rsid w:val="008B3012"/>
    <w:rsid w:val="008B3355"/>
    <w:rsid w:val="008B3814"/>
    <w:rsid w:val="008B3915"/>
    <w:rsid w:val="008B4202"/>
    <w:rsid w:val="008B50D5"/>
    <w:rsid w:val="008B54AE"/>
    <w:rsid w:val="008B71BC"/>
    <w:rsid w:val="008B7D3B"/>
    <w:rsid w:val="008C06C3"/>
    <w:rsid w:val="008C16E9"/>
    <w:rsid w:val="008C1D6C"/>
    <w:rsid w:val="008C27AB"/>
    <w:rsid w:val="008C370E"/>
    <w:rsid w:val="008C378B"/>
    <w:rsid w:val="008C387E"/>
    <w:rsid w:val="008C3D5D"/>
    <w:rsid w:val="008C5261"/>
    <w:rsid w:val="008C5DBD"/>
    <w:rsid w:val="008C68EF"/>
    <w:rsid w:val="008C7149"/>
    <w:rsid w:val="008D0417"/>
    <w:rsid w:val="008D0F4A"/>
    <w:rsid w:val="008D1814"/>
    <w:rsid w:val="008D1D87"/>
    <w:rsid w:val="008D2CE3"/>
    <w:rsid w:val="008D4333"/>
    <w:rsid w:val="008D532E"/>
    <w:rsid w:val="008D54D2"/>
    <w:rsid w:val="008D5EB4"/>
    <w:rsid w:val="008D78E5"/>
    <w:rsid w:val="008D7B8C"/>
    <w:rsid w:val="008D7BE9"/>
    <w:rsid w:val="008E0444"/>
    <w:rsid w:val="008E0AB0"/>
    <w:rsid w:val="008E0C18"/>
    <w:rsid w:val="008E0FAF"/>
    <w:rsid w:val="008E1D3D"/>
    <w:rsid w:val="008E27B1"/>
    <w:rsid w:val="008E4869"/>
    <w:rsid w:val="008E5A07"/>
    <w:rsid w:val="008E5F00"/>
    <w:rsid w:val="008E6183"/>
    <w:rsid w:val="008E6784"/>
    <w:rsid w:val="008F13AF"/>
    <w:rsid w:val="008F1E1C"/>
    <w:rsid w:val="008F265F"/>
    <w:rsid w:val="008F5D9C"/>
    <w:rsid w:val="008F6742"/>
    <w:rsid w:val="008F67E8"/>
    <w:rsid w:val="008F6F5B"/>
    <w:rsid w:val="009021F6"/>
    <w:rsid w:val="00902FE3"/>
    <w:rsid w:val="009038F2"/>
    <w:rsid w:val="009043CF"/>
    <w:rsid w:val="00905255"/>
    <w:rsid w:val="00905B35"/>
    <w:rsid w:val="00906438"/>
    <w:rsid w:val="0090654F"/>
    <w:rsid w:val="00910241"/>
    <w:rsid w:val="00910993"/>
    <w:rsid w:val="00910A2C"/>
    <w:rsid w:val="00910D4E"/>
    <w:rsid w:val="00911F87"/>
    <w:rsid w:val="00912442"/>
    <w:rsid w:val="00913678"/>
    <w:rsid w:val="009141AE"/>
    <w:rsid w:val="0091491F"/>
    <w:rsid w:val="0091571E"/>
    <w:rsid w:val="009158C7"/>
    <w:rsid w:val="009160FA"/>
    <w:rsid w:val="009161E6"/>
    <w:rsid w:val="0091712A"/>
    <w:rsid w:val="00920340"/>
    <w:rsid w:val="0092114B"/>
    <w:rsid w:val="0092218C"/>
    <w:rsid w:val="0092358F"/>
    <w:rsid w:val="00923AE1"/>
    <w:rsid w:val="00925045"/>
    <w:rsid w:val="0092728F"/>
    <w:rsid w:val="00930D4A"/>
    <w:rsid w:val="00930FE6"/>
    <w:rsid w:val="009313DD"/>
    <w:rsid w:val="00931497"/>
    <w:rsid w:val="009314BB"/>
    <w:rsid w:val="00937C76"/>
    <w:rsid w:val="00937D43"/>
    <w:rsid w:val="009412E7"/>
    <w:rsid w:val="00941D4D"/>
    <w:rsid w:val="00943AF1"/>
    <w:rsid w:val="00945227"/>
    <w:rsid w:val="00946D2C"/>
    <w:rsid w:val="00946DE0"/>
    <w:rsid w:val="00950DA4"/>
    <w:rsid w:val="00951119"/>
    <w:rsid w:val="009530B2"/>
    <w:rsid w:val="00954D97"/>
    <w:rsid w:val="0095501E"/>
    <w:rsid w:val="0095576D"/>
    <w:rsid w:val="009564F1"/>
    <w:rsid w:val="00956641"/>
    <w:rsid w:val="00957834"/>
    <w:rsid w:val="00961935"/>
    <w:rsid w:val="00963346"/>
    <w:rsid w:val="0096366A"/>
    <w:rsid w:val="0096380C"/>
    <w:rsid w:val="00965E25"/>
    <w:rsid w:val="00966233"/>
    <w:rsid w:val="00966369"/>
    <w:rsid w:val="009665AD"/>
    <w:rsid w:val="00967437"/>
    <w:rsid w:val="009677AB"/>
    <w:rsid w:val="00967B33"/>
    <w:rsid w:val="009716C7"/>
    <w:rsid w:val="00971E10"/>
    <w:rsid w:val="00971E31"/>
    <w:rsid w:val="0097232D"/>
    <w:rsid w:val="00973E49"/>
    <w:rsid w:val="00975303"/>
    <w:rsid w:val="00975391"/>
    <w:rsid w:val="00975AC8"/>
    <w:rsid w:val="00976530"/>
    <w:rsid w:val="00976E9F"/>
    <w:rsid w:val="00976F6F"/>
    <w:rsid w:val="009772C5"/>
    <w:rsid w:val="009775A1"/>
    <w:rsid w:val="00981AE0"/>
    <w:rsid w:val="00982234"/>
    <w:rsid w:val="00982430"/>
    <w:rsid w:val="009824BE"/>
    <w:rsid w:val="009826E2"/>
    <w:rsid w:val="00984545"/>
    <w:rsid w:val="00984668"/>
    <w:rsid w:val="00984AE2"/>
    <w:rsid w:val="00985CD7"/>
    <w:rsid w:val="00986174"/>
    <w:rsid w:val="009869F7"/>
    <w:rsid w:val="00987139"/>
    <w:rsid w:val="00987520"/>
    <w:rsid w:val="009906F2"/>
    <w:rsid w:val="0099183C"/>
    <w:rsid w:val="0099296F"/>
    <w:rsid w:val="00992FF9"/>
    <w:rsid w:val="0099673E"/>
    <w:rsid w:val="00996925"/>
    <w:rsid w:val="00997E06"/>
    <w:rsid w:val="00997E53"/>
    <w:rsid w:val="009A1677"/>
    <w:rsid w:val="009A1B5F"/>
    <w:rsid w:val="009A1E2F"/>
    <w:rsid w:val="009A1E70"/>
    <w:rsid w:val="009A43C2"/>
    <w:rsid w:val="009A55FE"/>
    <w:rsid w:val="009A6DB9"/>
    <w:rsid w:val="009A7C10"/>
    <w:rsid w:val="009B1018"/>
    <w:rsid w:val="009B1F02"/>
    <w:rsid w:val="009B28E0"/>
    <w:rsid w:val="009B3109"/>
    <w:rsid w:val="009B3240"/>
    <w:rsid w:val="009B3484"/>
    <w:rsid w:val="009B41D5"/>
    <w:rsid w:val="009B49BA"/>
    <w:rsid w:val="009B568C"/>
    <w:rsid w:val="009B7AF1"/>
    <w:rsid w:val="009B7B44"/>
    <w:rsid w:val="009C0015"/>
    <w:rsid w:val="009C0123"/>
    <w:rsid w:val="009C059A"/>
    <w:rsid w:val="009C0708"/>
    <w:rsid w:val="009C08CB"/>
    <w:rsid w:val="009C1610"/>
    <w:rsid w:val="009C1B47"/>
    <w:rsid w:val="009C2D55"/>
    <w:rsid w:val="009C2FAD"/>
    <w:rsid w:val="009C3678"/>
    <w:rsid w:val="009C3D2E"/>
    <w:rsid w:val="009C3EB2"/>
    <w:rsid w:val="009C5D44"/>
    <w:rsid w:val="009C5E35"/>
    <w:rsid w:val="009C7283"/>
    <w:rsid w:val="009C76DD"/>
    <w:rsid w:val="009D058C"/>
    <w:rsid w:val="009D090E"/>
    <w:rsid w:val="009D0E3A"/>
    <w:rsid w:val="009D0EA5"/>
    <w:rsid w:val="009D128B"/>
    <w:rsid w:val="009D2E23"/>
    <w:rsid w:val="009D5198"/>
    <w:rsid w:val="009D7291"/>
    <w:rsid w:val="009D73AC"/>
    <w:rsid w:val="009E0C06"/>
    <w:rsid w:val="009E0D57"/>
    <w:rsid w:val="009E2471"/>
    <w:rsid w:val="009E30C6"/>
    <w:rsid w:val="009E4057"/>
    <w:rsid w:val="009E4723"/>
    <w:rsid w:val="009E580A"/>
    <w:rsid w:val="009E6E9A"/>
    <w:rsid w:val="009E7887"/>
    <w:rsid w:val="009F0F17"/>
    <w:rsid w:val="009F1C13"/>
    <w:rsid w:val="009F3788"/>
    <w:rsid w:val="009F4EE9"/>
    <w:rsid w:val="009F5BA7"/>
    <w:rsid w:val="009F6C2A"/>
    <w:rsid w:val="009F7B6C"/>
    <w:rsid w:val="009F7FCF"/>
    <w:rsid w:val="00A00E0C"/>
    <w:rsid w:val="00A01487"/>
    <w:rsid w:val="00A023F4"/>
    <w:rsid w:val="00A02995"/>
    <w:rsid w:val="00A04148"/>
    <w:rsid w:val="00A042E0"/>
    <w:rsid w:val="00A04928"/>
    <w:rsid w:val="00A04AAA"/>
    <w:rsid w:val="00A05A01"/>
    <w:rsid w:val="00A05EEA"/>
    <w:rsid w:val="00A065B6"/>
    <w:rsid w:val="00A06DD4"/>
    <w:rsid w:val="00A103CB"/>
    <w:rsid w:val="00A11981"/>
    <w:rsid w:val="00A12265"/>
    <w:rsid w:val="00A12956"/>
    <w:rsid w:val="00A14070"/>
    <w:rsid w:val="00A141C9"/>
    <w:rsid w:val="00A143B4"/>
    <w:rsid w:val="00A14502"/>
    <w:rsid w:val="00A14AFB"/>
    <w:rsid w:val="00A15401"/>
    <w:rsid w:val="00A15DB4"/>
    <w:rsid w:val="00A15E89"/>
    <w:rsid w:val="00A16834"/>
    <w:rsid w:val="00A2024E"/>
    <w:rsid w:val="00A20358"/>
    <w:rsid w:val="00A21908"/>
    <w:rsid w:val="00A21A31"/>
    <w:rsid w:val="00A2268E"/>
    <w:rsid w:val="00A2455D"/>
    <w:rsid w:val="00A256FF"/>
    <w:rsid w:val="00A25F53"/>
    <w:rsid w:val="00A2604E"/>
    <w:rsid w:val="00A275D5"/>
    <w:rsid w:val="00A30B19"/>
    <w:rsid w:val="00A30B37"/>
    <w:rsid w:val="00A30BAD"/>
    <w:rsid w:val="00A321A4"/>
    <w:rsid w:val="00A32278"/>
    <w:rsid w:val="00A3304A"/>
    <w:rsid w:val="00A34B91"/>
    <w:rsid w:val="00A35AAB"/>
    <w:rsid w:val="00A372DE"/>
    <w:rsid w:val="00A377F1"/>
    <w:rsid w:val="00A37BEF"/>
    <w:rsid w:val="00A4000D"/>
    <w:rsid w:val="00A40936"/>
    <w:rsid w:val="00A41536"/>
    <w:rsid w:val="00A41E8C"/>
    <w:rsid w:val="00A420A7"/>
    <w:rsid w:val="00A44016"/>
    <w:rsid w:val="00A454D7"/>
    <w:rsid w:val="00A4586D"/>
    <w:rsid w:val="00A464CA"/>
    <w:rsid w:val="00A50DC3"/>
    <w:rsid w:val="00A50E20"/>
    <w:rsid w:val="00A51ADB"/>
    <w:rsid w:val="00A5220B"/>
    <w:rsid w:val="00A52A71"/>
    <w:rsid w:val="00A5309B"/>
    <w:rsid w:val="00A53C1A"/>
    <w:rsid w:val="00A53D07"/>
    <w:rsid w:val="00A541E1"/>
    <w:rsid w:val="00A54646"/>
    <w:rsid w:val="00A56C52"/>
    <w:rsid w:val="00A57341"/>
    <w:rsid w:val="00A57563"/>
    <w:rsid w:val="00A57B74"/>
    <w:rsid w:val="00A60E11"/>
    <w:rsid w:val="00A60F36"/>
    <w:rsid w:val="00A61118"/>
    <w:rsid w:val="00A6208A"/>
    <w:rsid w:val="00A625B1"/>
    <w:rsid w:val="00A63260"/>
    <w:rsid w:val="00A634C5"/>
    <w:rsid w:val="00A6367F"/>
    <w:rsid w:val="00A70443"/>
    <w:rsid w:val="00A713DF"/>
    <w:rsid w:val="00A71F2F"/>
    <w:rsid w:val="00A72A29"/>
    <w:rsid w:val="00A72AFB"/>
    <w:rsid w:val="00A7319A"/>
    <w:rsid w:val="00A732BF"/>
    <w:rsid w:val="00A743DC"/>
    <w:rsid w:val="00A74559"/>
    <w:rsid w:val="00A7460B"/>
    <w:rsid w:val="00A75BCC"/>
    <w:rsid w:val="00A76781"/>
    <w:rsid w:val="00A77E2B"/>
    <w:rsid w:val="00A80B4F"/>
    <w:rsid w:val="00A814B5"/>
    <w:rsid w:val="00A825B6"/>
    <w:rsid w:val="00A83D9F"/>
    <w:rsid w:val="00A84E94"/>
    <w:rsid w:val="00A8685D"/>
    <w:rsid w:val="00A86CB9"/>
    <w:rsid w:val="00A86ED4"/>
    <w:rsid w:val="00A90A03"/>
    <w:rsid w:val="00A91834"/>
    <w:rsid w:val="00A93BF8"/>
    <w:rsid w:val="00A96683"/>
    <w:rsid w:val="00AA1389"/>
    <w:rsid w:val="00AA1963"/>
    <w:rsid w:val="00AA2E3D"/>
    <w:rsid w:val="00AA3137"/>
    <w:rsid w:val="00AA4062"/>
    <w:rsid w:val="00AA4509"/>
    <w:rsid w:val="00AA47AD"/>
    <w:rsid w:val="00AA55FA"/>
    <w:rsid w:val="00AA55FD"/>
    <w:rsid w:val="00AA56B0"/>
    <w:rsid w:val="00AA65B5"/>
    <w:rsid w:val="00AA7BE6"/>
    <w:rsid w:val="00AB0CC5"/>
    <w:rsid w:val="00AB1AB5"/>
    <w:rsid w:val="00AB23BD"/>
    <w:rsid w:val="00AB38AB"/>
    <w:rsid w:val="00AB495B"/>
    <w:rsid w:val="00AB6337"/>
    <w:rsid w:val="00AB742C"/>
    <w:rsid w:val="00AC157F"/>
    <w:rsid w:val="00AC21BC"/>
    <w:rsid w:val="00AC221E"/>
    <w:rsid w:val="00AC2CE8"/>
    <w:rsid w:val="00AC6C6F"/>
    <w:rsid w:val="00AC77FE"/>
    <w:rsid w:val="00AD026E"/>
    <w:rsid w:val="00AD12BC"/>
    <w:rsid w:val="00AD1880"/>
    <w:rsid w:val="00AD1B36"/>
    <w:rsid w:val="00AD213D"/>
    <w:rsid w:val="00AD223F"/>
    <w:rsid w:val="00AD2B18"/>
    <w:rsid w:val="00AD3409"/>
    <w:rsid w:val="00AD34AB"/>
    <w:rsid w:val="00AD3B91"/>
    <w:rsid w:val="00AD3ED5"/>
    <w:rsid w:val="00AD431C"/>
    <w:rsid w:val="00AD5390"/>
    <w:rsid w:val="00AD692D"/>
    <w:rsid w:val="00AE0889"/>
    <w:rsid w:val="00AE08EC"/>
    <w:rsid w:val="00AE0DC2"/>
    <w:rsid w:val="00AE0F90"/>
    <w:rsid w:val="00AE25B5"/>
    <w:rsid w:val="00AE2FAA"/>
    <w:rsid w:val="00AE3BBE"/>
    <w:rsid w:val="00AE4A96"/>
    <w:rsid w:val="00AE4ECB"/>
    <w:rsid w:val="00AE72C5"/>
    <w:rsid w:val="00AE7482"/>
    <w:rsid w:val="00AE7A3F"/>
    <w:rsid w:val="00AF040C"/>
    <w:rsid w:val="00AF0D66"/>
    <w:rsid w:val="00AF0FBE"/>
    <w:rsid w:val="00AF176C"/>
    <w:rsid w:val="00AF1AC4"/>
    <w:rsid w:val="00AF215A"/>
    <w:rsid w:val="00AF26A2"/>
    <w:rsid w:val="00AF2AC8"/>
    <w:rsid w:val="00AF6FB3"/>
    <w:rsid w:val="00AF7343"/>
    <w:rsid w:val="00AF799B"/>
    <w:rsid w:val="00AF7BDE"/>
    <w:rsid w:val="00AF7DC8"/>
    <w:rsid w:val="00AF7F04"/>
    <w:rsid w:val="00B001AB"/>
    <w:rsid w:val="00B0046F"/>
    <w:rsid w:val="00B008CC"/>
    <w:rsid w:val="00B00D0F"/>
    <w:rsid w:val="00B012AC"/>
    <w:rsid w:val="00B013D5"/>
    <w:rsid w:val="00B0166C"/>
    <w:rsid w:val="00B02C2E"/>
    <w:rsid w:val="00B0583E"/>
    <w:rsid w:val="00B06A1D"/>
    <w:rsid w:val="00B06E18"/>
    <w:rsid w:val="00B06F91"/>
    <w:rsid w:val="00B101B6"/>
    <w:rsid w:val="00B1253F"/>
    <w:rsid w:val="00B126F0"/>
    <w:rsid w:val="00B1285C"/>
    <w:rsid w:val="00B12B12"/>
    <w:rsid w:val="00B12C37"/>
    <w:rsid w:val="00B13CF3"/>
    <w:rsid w:val="00B13ED2"/>
    <w:rsid w:val="00B1477C"/>
    <w:rsid w:val="00B14B7A"/>
    <w:rsid w:val="00B14C6C"/>
    <w:rsid w:val="00B15DE6"/>
    <w:rsid w:val="00B16181"/>
    <w:rsid w:val="00B16D92"/>
    <w:rsid w:val="00B170A1"/>
    <w:rsid w:val="00B1748B"/>
    <w:rsid w:val="00B20D7B"/>
    <w:rsid w:val="00B218DD"/>
    <w:rsid w:val="00B21A5B"/>
    <w:rsid w:val="00B21E55"/>
    <w:rsid w:val="00B22A42"/>
    <w:rsid w:val="00B23900"/>
    <w:rsid w:val="00B241E7"/>
    <w:rsid w:val="00B24230"/>
    <w:rsid w:val="00B268A6"/>
    <w:rsid w:val="00B26F56"/>
    <w:rsid w:val="00B26FE8"/>
    <w:rsid w:val="00B27B1A"/>
    <w:rsid w:val="00B32A27"/>
    <w:rsid w:val="00B33102"/>
    <w:rsid w:val="00B34AF7"/>
    <w:rsid w:val="00B3572B"/>
    <w:rsid w:val="00B36007"/>
    <w:rsid w:val="00B375CE"/>
    <w:rsid w:val="00B4001D"/>
    <w:rsid w:val="00B41882"/>
    <w:rsid w:val="00B421DC"/>
    <w:rsid w:val="00B423C0"/>
    <w:rsid w:val="00B42B94"/>
    <w:rsid w:val="00B446F9"/>
    <w:rsid w:val="00B44C22"/>
    <w:rsid w:val="00B45345"/>
    <w:rsid w:val="00B46F04"/>
    <w:rsid w:val="00B5030C"/>
    <w:rsid w:val="00B51BA8"/>
    <w:rsid w:val="00B524A5"/>
    <w:rsid w:val="00B5256F"/>
    <w:rsid w:val="00B535E9"/>
    <w:rsid w:val="00B53C5C"/>
    <w:rsid w:val="00B54008"/>
    <w:rsid w:val="00B54222"/>
    <w:rsid w:val="00B54CF1"/>
    <w:rsid w:val="00B5527F"/>
    <w:rsid w:val="00B55414"/>
    <w:rsid w:val="00B57F92"/>
    <w:rsid w:val="00B6025D"/>
    <w:rsid w:val="00B60C62"/>
    <w:rsid w:val="00B612B3"/>
    <w:rsid w:val="00B62748"/>
    <w:rsid w:val="00B636D0"/>
    <w:rsid w:val="00B660F7"/>
    <w:rsid w:val="00B66FC2"/>
    <w:rsid w:val="00B67E75"/>
    <w:rsid w:val="00B70BA0"/>
    <w:rsid w:val="00B71946"/>
    <w:rsid w:val="00B71E2A"/>
    <w:rsid w:val="00B72875"/>
    <w:rsid w:val="00B7367F"/>
    <w:rsid w:val="00B74095"/>
    <w:rsid w:val="00B74B41"/>
    <w:rsid w:val="00B74C0F"/>
    <w:rsid w:val="00B755D8"/>
    <w:rsid w:val="00B80A54"/>
    <w:rsid w:val="00B80DF5"/>
    <w:rsid w:val="00B843DA"/>
    <w:rsid w:val="00B856EC"/>
    <w:rsid w:val="00B857EC"/>
    <w:rsid w:val="00B863E2"/>
    <w:rsid w:val="00B90B74"/>
    <w:rsid w:val="00B91C2A"/>
    <w:rsid w:val="00B93994"/>
    <w:rsid w:val="00B93E56"/>
    <w:rsid w:val="00B94242"/>
    <w:rsid w:val="00B94D45"/>
    <w:rsid w:val="00B96836"/>
    <w:rsid w:val="00BA018E"/>
    <w:rsid w:val="00BA0B90"/>
    <w:rsid w:val="00BA1241"/>
    <w:rsid w:val="00BA1FB9"/>
    <w:rsid w:val="00BA24BD"/>
    <w:rsid w:val="00BA3858"/>
    <w:rsid w:val="00BA42A9"/>
    <w:rsid w:val="00BA46D4"/>
    <w:rsid w:val="00BA5309"/>
    <w:rsid w:val="00BA535F"/>
    <w:rsid w:val="00BA5742"/>
    <w:rsid w:val="00BB0137"/>
    <w:rsid w:val="00BB0D24"/>
    <w:rsid w:val="00BB2A84"/>
    <w:rsid w:val="00BB4AAD"/>
    <w:rsid w:val="00BB58C7"/>
    <w:rsid w:val="00BB5B28"/>
    <w:rsid w:val="00BB5E56"/>
    <w:rsid w:val="00BB7D74"/>
    <w:rsid w:val="00BC04AA"/>
    <w:rsid w:val="00BC06A3"/>
    <w:rsid w:val="00BC088A"/>
    <w:rsid w:val="00BC2DFE"/>
    <w:rsid w:val="00BC33C1"/>
    <w:rsid w:val="00BC3E94"/>
    <w:rsid w:val="00BC3F25"/>
    <w:rsid w:val="00BC67CC"/>
    <w:rsid w:val="00BD008B"/>
    <w:rsid w:val="00BD0C39"/>
    <w:rsid w:val="00BD0F8E"/>
    <w:rsid w:val="00BD3656"/>
    <w:rsid w:val="00BD41D1"/>
    <w:rsid w:val="00BD71DA"/>
    <w:rsid w:val="00BD7538"/>
    <w:rsid w:val="00BD7799"/>
    <w:rsid w:val="00BD7EFB"/>
    <w:rsid w:val="00BE0B78"/>
    <w:rsid w:val="00BE0D4A"/>
    <w:rsid w:val="00BE1021"/>
    <w:rsid w:val="00BE1941"/>
    <w:rsid w:val="00BE233F"/>
    <w:rsid w:val="00BE243F"/>
    <w:rsid w:val="00BE26C8"/>
    <w:rsid w:val="00BE37D7"/>
    <w:rsid w:val="00BE37EF"/>
    <w:rsid w:val="00BE4458"/>
    <w:rsid w:val="00BE5BD6"/>
    <w:rsid w:val="00BE61BA"/>
    <w:rsid w:val="00BE7F4C"/>
    <w:rsid w:val="00BF0761"/>
    <w:rsid w:val="00BF18F1"/>
    <w:rsid w:val="00BF1D5A"/>
    <w:rsid w:val="00BF347D"/>
    <w:rsid w:val="00BF402B"/>
    <w:rsid w:val="00BF4973"/>
    <w:rsid w:val="00BF669F"/>
    <w:rsid w:val="00BF78F9"/>
    <w:rsid w:val="00BF7CA9"/>
    <w:rsid w:val="00BF7CD8"/>
    <w:rsid w:val="00C00510"/>
    <w:rsid w:val="00C0080B"/>
    <w:rsid w:val="00C01426"/>
    <w:rsid w:val="00C017FB"/>
    <w:rsid w:val="00C02C89"/>
    <w:rsid w:val="00C03137"/>
    <w:rsid w:val="00C03729"/>
    <w:rsid w:val="00C03917"/>
    <w:rsid w:val="00C03B5E"/>
    <w:rsid w:val="00C04309"/>
    <w:rsid w:val="00C048D3"/>
    <w:rsid w:val="00C04BCB"/>
    <w:rsid w:val="00C05010"/>
    <w:rsid w:val="00C0646B"/>
    <w:rsid w:val="00C064E6"/>
    <w:rsid w:val="00C068BC"/>
    <w:rsid w:val="00C0773C"/>
    <w:rsid w:val="00C122D0"/>
    <w:rsid w:val="00C12344"/>
    <w:rsid w:val="00C13566"/>
    <w:rsid w:val="00C13569"/>
    <w:rsid w:val="00C1469C"/>
    <w:rsid w:val="00C146D6"/>
    <w:rsid w:val="00C155D7"/>
    <w:rsid w:val="00C15621"/>
    <w:rsid w:val="00C15BCF"/>
    <w:rsid w:val="00C15C22"/>
    <w:rsid w:val="00C1628A"/>
    <w:rsid w:val="00C16323"/>
    <w:rsid w:val="00C16BDC"/>
    <w:rsid w:val="00C16FCA"/>
    <w:rsid w:val="00C1707B"/>
    <w:rsid w:val="00C1765B"/>
    <w:rsid w:val="00C17F5D"/>
    <w:rsid w:val="00C201FC"/>
    <w:rsid w:val="00C20571"/>
    <w:rsid w:val="00C2216E"/>
    <w:rsid w:val="00C225C1"/>
    <w:rsid w:val="00C23D3F"/>
    <w:rsid w:val="00C23EC5"/>
    <w:rsid w:val="00C24768"/>
    <w:rsid w:val="00C24C87"/>
    <w:rsid w:val="00C25861"/>
    <w:rsid w:val="00C2592B"/>
    <w:rsid w:val="00C25BC5"/>
    <w:rsid w:val="00C25D70"/>
    <w:rsid w:val="00C27432"/>
    <w:rsid w:val="00C30D47"/>
    <w:rsid w:val="00C31CEC"/>
    <w:rsid w:val="00C33F6D"/>
    <w:rsid w:val="00C342D3"/>
    <w:rsid w:val="00C3442D"/>
    <w:rsid w:val="00C3524A"/>
    <w:rsid w:val="00C35971"/>
    <w:rsid w:val="00C35E6B"/>
    <w:rsid w:val="00C36431"/>
    <w:rsid w:val="00C36979"/>
    <w:rsid w:val="00C36C7B"/>
    <w:rsid w:val="00C36DE3"/>
    <w:rsid w:val="00C36E0D"/>
    <w:rsid w:val="00C40AB6"/>
    <w:rsid w:val="00C40C43"/>
    <w:rsid w:val="00C40C58"/>
    <w:rsid w:val="00C42FD3"/>
    <w:rsid w:val="00C43724"/>
    <w:rsid w:val="00C44404"/>
    <w:rsid w:val="00C44E1E"/>
    <w:rsid w:val="00C460F1"/>
    <w:rsid w:val="00C46295"/>
    <w:rsid w:val="00C46823"/>
    <w:rsid w:val="00C470B8"/>
    <w:rsid w:val="00C47B3A"/>
    <w:rsid w:val="00C50586"/>
    <w:rsid w:val="00C506AD"/>
    <w:rsid w:val="00C50734"/>
    <w:rsid w:val="00C519CA"/>
    <w:rsid w:val="00C51ECE"/>
    <w:rsid w:val="00C52627"/>
    <w:rsid w:val="00C52B42"/>
    <w:rsid w:val="00C52F04"/>
    <w:rsid w:val="00C532F6"/>
    <w:rsid w:val="00C54266"/>
    <w:rsid w:val="00C54433"/>
    <w:rsid w:val="00C5490A"/>
    <w:rsid w:val="00C5500C"/>
    <w:rsid w:val="00C55233"/>
    <w:rsid w:val="00C55399"/>
    <w:rsid w:val="00C55AF2"/>
    <w:rsid w:val="00C56BC3"/>
    <w:rsid w:val="00C5786B"/>
    <w:rsid w:val="00C605F8"/>
    <w:rsid w:val="00C611EE"/>
    <w:rsid w:val="00C615F3"/>
    <w:rsid w:val="00C61BF8"/>
    <w:rsid w:val="00C627B2"/>
    <w:rsid w:val="00C63086"/>
    <w:rsid w:val="00C632A3"/>
    <w:rsid w:val="00C63D55"/>
    <w:rsid w:val="00C63E3E"/>
    <w:rsid w:val="00C64083"/>
    <w:rsid w:val="00C64458"/>
    <w:rsid w:val="00C65B6D"/>
    <w:rsid w:val="00C65D79"/>
    <w:rsid w:val="00C67056"/>
    <w:rsid w:val="00C67208"/>
    <w:rsid w:val="00C67DB0"/>
    <w:rsid w:val="00C70CBF"/>
    <w:rsid w:val="00C72679"/>
    <w:rsid w:val="00C730A6"/>
    <w:rsid w:val="00C732F0"/>
    <w:rsid w:val="00C736C1"/>
    <w:rsid w:val="00C74D03"/>
    <w:rsid w:val="00C74FB6"/>
    <w:rsid w:val="00C764C7"/>
    <w:rsid w:val="00C8240A"/>
    <w:rsid w:val="00C82AB3"/>
    <w:rsid w:val="00C82B91"/>
    <w:rsid w:val="00C833A5"/>
    <w:rsid w:val="00C83AAF"/>
    <w:rsid w:val="00C85D3E"/>
    <w:rsid w:val="00C90392"/>
    <w:rsid w:val="00C90DDC"/>
    <w:rsid w:val="00C934C4"/>
    <w:rsid w:val="00C93E34"/>
    <w:rsid w:val="00C94A20"/>
    <w:rsid w:val="00C94B58"/>
    <w:rsid w:val="00C9560E"/>
    <w:rsid w:val="00C96E60"/>
    <w:rsid w:val="00C979CB"/>
    <w:rsid w:val="00CA0C2F"/>
    <w:rsid w:val="00CA1380"/>
    <w:rsid w:val="00CA1A90"/>
    <w:rsid w:val="00CA3997"/>
    <w:rsid w:val="00CA3EA8"/>
    <w:rsid w:val="00CA3ED1"/>
    <w:rsid w:val="00CA54D9"/>
    <w:rsid w:val="00CA597B"/>
    <w:rsid w:val="00CA6DAA"/>
    <w:rsid w:val="00CA7BAE"/>
    <w:rsid w:val="00CA7CA2"/>
    <w:rsid w:val="00CB01C0"/>
    <w:rsid w:val="00CB04ED"/>
    <w:rsid w:val="00CB0688"/>
    <w:rsid w:val="00CB0786"/>
    <w:rsid w:val="00CB0A1F"/>
    <w:rsid w:val="00CB10FE"/>
    <w:rsid w:val="00CB168D"/>
    <w:rsid w:val="00CB325A"/>
    <w:rsid w:val="00CB38D1"/>
    <w:rsid w:val="00CB5669"/>
    <w:rsid w:val="00CB5BCC"/>
    <w:rsid w:val="00CB5CEE"/>
    <w:rsid w:val="00CB7AAA"/>
    <w:rsid w:val="00CC034A"/>
    <w:rsid w:val="00CC0780"/>
    <w:rsid w:val="00CC0AC5"/>
    <w:rsid w:val="00CC0B66"/>
    <w:rsid w:val="00CC1B10"/>
    <w:rsid w:val="00CC1BEA"/>
    <w:rsid w:val="00CC3A8B"/>
    <w:rsid w:val="00CC4100"/>
    <w:rsid w:val="00CC55D1"/>
    <w:rsid w:val="00CC5E28"/>
    <w:rsid w:val="00CC6B2B"/>
    <w:rsid w:val="00CC7B21"/>
    <w:rsid w:val="00CC7DDF"/>
    <w:rsid w:val="00CD0A13"/>
    <w:rsid w:val="00CD0E63"/>
    <w:rsid w:val="00CD11AD"/>
    <w:rsid w:val="00CD315E"/>
    <w:rsid w:val="00CD41F4"/>
    <w:rsid w:val="00CD47FB"/>
    <w:rsid w:val="00CD4A8B"/>
    <w:rsid w:val="00CD5043"/>
    <w:rsid w:val="00CD54E1"/>
    <w:rsid w:val="00CD579F"/>
    <w:rsid w:val="00CD76C2"/>
    <w:rsid w:val="00CD7DBF"/>
    <w:rsid w:val="00CE16EF"/>
    <w:rsid w:val="00CE2C39"/>
    <w:rsid w:val="00CE348F"/>
    <w:rsid w:val="00CE3F6C"/>
    <w:rsid w:val="00CE42CD"/>
    <w:rsid w:val="00CE4477"/>
    <w:rsid w:val="00CE4490"/>
    <w:rsid w:val="00CE53FE"/>
    <w:rsid w:val="00CE67A8"/>
    <w:rsid w:val="00CE7103"/>
    <w:rsid w:val="00CF1487"/>
    <w:rsid w:val="00CF1847"/>
    <w:rsid w:val="00CF3288"/>
    <w:rsid w:val="00CF35CB"/>
    <w:rsid w:val="00CF629A"/>
    <w:rsid w:val="00CF688C"/>
    <w:rsid w:val="00D00A87"/>
    <w:rsid w:val="00D010B8"/>
    <w:rsid w:val="00D01982"/>
    <w:rsid w:val="00D04EBE"/>
    <w:rsid w:val="00D063D7"/>
    <w:rsid w:val="00D0676D"/>
    <w:rsid w:val="00D07CCE"/>
    <w:rsid w:val="00D1294D"/>
    <w:rsid w:val="00D12BFC"/>
    <w:rsid w:val="00D12E23"/>
    <w:rsid w:val="00D12F70"/>
    <w:rsid w:val="00D135AF"/>
    <w:rsid w:val="00D13760"/>
    <w:rsid w:val="00D15494"/>
    <w:rsid w:val="00D157B5"/>
    <w:rsid w:val="00D201E0"/>
    <w:rsid w:val="00D20C04"/>
    <w:rsid w:val="00D20F45"/>
    <w:rsid w:val="00D216F0"/>
    <w:rsid w:val="00D22C3C"/>
    <w:rsid w:val="00D22CE3"/>
    <w:rsid w:val="00D23FEE"/>
    <w:rsid w:val="00D25B59"/>
    <w:rsid w:val="00D26136"/>
    <w:rsid w:val="00D2662A"/>
    <w:rsid w:val="00D26730"/>
    <w:rsid w:val="00D26B8D"/>
    <w:rsid w:val="00D271CF"/>
    <w:rsid w:val="00D275CE"/>
    <w:rsid w:val="00D30D2E"/>
    <w:rsid w:val="00D32145"/>
    <w:rsid w:val="00D32B87"/>
    <w:rsid w:val="00D32BDF"/>
    <w:rsid w:val="00D339E5"/>
    <w:rsid w:val="00D34164"/>
    <w:rsid w:val="00D34761"/>
    <w:rsid w:val="00D34CA7"/>
    <w:rsid w:val="00D358CE"/>
    <w:rsid w:val="00D373FE"/>
    <w:rsid w:val="00D37BAD"/>
    <w:rsid w:val="00D4063F"/>
    <w:rsid w:val="00D41304"/>
    <w:rsid w:val="00D42155"/>
    <w:rsid w:val="00D42969"/>
    <w:rsid w:val="00D42DE2"/>
    <w:rsid w:val="00D43032"/>
    <w:rsid w:val="00D43925"/>
    <w:rsid w:val="00D4452F"/>
    <w:rsid w:val="00D44977"/>
    <w:rsid w:val="00D45441"/>
    <w:rsid w:val="00D464F5"/>
    <w:rsid w:val="00D4676A"/>
    <w:rsid w:val="00D467D5"/>
    <w:rsid w:val="00D47F18"/>
    <w:rsid w:val="00D50869"/>
    <w:rsid w:val="00D50AFA"/>
    <w:rsid w:val="00D50B50"/>
    <w:rsid w:val="00D51727"/>
    <w:rsid w:val="00D517F7"/>
    <w:rsid w:val="00D51809"/>
    <w:rsid w:val="00D51A31"/>
    <w:rsid w:val="00D537A8"/>
    <w:rsid w:val="00D5418F"/>
    <w:rsid w:val="00D56B3F"/>
    <w:rsid w:val="00D574AD"/>
    <w:rsid w:val="00D57833"/>
    <w:rsid w:val="00D5796F"/>
    <w:rsid w:val="00D57BF2"/>
    <w:rsid w:val="00D60F28"/>
    <w:rsid w:val="00D612DA"/>
    <w:rsid w:val="00D627EA"/>
    <w:rsid w:val="00D62DB4"/>
    <w:rsid w:val="00D631B0"/>
    <w:rsid w:val="00D632DC"/>
    <w:rsid w:val="00D634C1"/>
    <w:rsid w:val="00D65B5A"/>
    <w:rsid w:val="00D663AC"/>
    <w:rsid w:val="00D70379"/>
    <w:rsid w:val="00D71304"/>
    <w:rsid w:val="00D7159F"/>
    <w:rsid w:val="00D71FD7"/>
    <w:rsid w:val="00D73BA7"/>
    <w:rsid w:val="00D74198"/>
    <w:rsid w:val="00D7490A"/>
    <w:rsid w:val="00D74C8D"/>
    <w:rsid w:val="00D754F8"/>
    <w:rsid w:val="00D75979"/>
    <w:rsid w:val="00D7600E"/>
    <w:rsid w:val="00D76919"/>
    <w:rsid w:val="00D77291"/>
    <w:rsid w:val="00D77B85"/>
    <w:rsid w:val="00D817D9"/>
    <w:rsid w:val="00D81CBD"/>
    <w:rsid w:val="00D838EC"/>
    <w:rsid w:val="00D83BBC"/>
    <w:rsid w:val="00D83FCE"/>
    <w:rsid w:val="00D843F1"/>
    <w:rsid w:val="00D849FD"/>
    <w:rsid w:val="00D84EE9"/>
    <w:rsid w:val="00D86422"/>
    <w:rsid w:val="00D86A07"/>
    <w:rsid w:val="00D86D7C"/>
    <w:rsid w:val="00D872F0"/>
    <w:rsid w:val="00D91A4B"/>
    <w:rsid w:val="00D91BFA"/>
    <w:rsid w:val="00D92106"/>
    <w:rsid w:val="00D92ED4"/>
    <w:rsid w:val="00D93D35"/>
    <w:rsid w:val="00D94096"/>
    <w:rsid w:val="00D94DEC"/>
    <w:rsid w:val="00D94E0E"/>
    <w:rsid w:val="00D96FBA"/>
    <w:rsid w:val="00D97DD2"/>
    <w:rsid w:val="00D97EE1"/>
    <w:rsid w:val="00DA1A36"/>
    <w:rsid w:val="00DA1CE9"/>
    <w:rsid w:val="00DA2D37"/>
    <w:rsid w:val="00DA30D0"/>
    <w:rsid w:val="00DA4482"/>
    <w:rsid w:val="00DA768C"/>
    <w:rsid w:val="00DA7D93"/>
    <w:rsid w:val="00DB01C3"/>
    <w:rsid w:val="00DB03F7"/>
    <w:rsid w:val="00DB0D4B"/>
    <w:rsid w:val="00DB116A"/>
    <w:rsid w:val="00DB372C"/>
    <w:rsid w:val="00DB3DB3"/>
    <w:rsid w:val="00DB494B"/>
    <w:rsid w:val="00DB5218"/>
    <w:rsid w:val="00DB5D55"/>
    <w:rsid w:val="00DB5EEC"/>
    <w:rsid w:val="00DB5EFC"/>
    <w:rsid w:val="00DB79A4"/>
    <w:rsid w:val="00DC0C36"/>
    <w:rsid w:val="00DC1449"/>
    <w:rsid w:val="00DC1A7E"/>
    <w:rsid w:val="00DC1E42"/>
    <w:rsid w:val="00DC429A"/>
    <w:rsid w:val="00DC504E"/>
    <w:rsid w:val="00DC51DA"/>
    <w:rsid w:val="00DC59DD"/>
    <w:rsid w:val="00DC6722"/>
    <w:rsid w:val="00DC77E4"/>
    <w:rsid w:val="00DC7CC8"/>
    <w:rsid w:val="00DC7EEA"/>
    <w:rsid w:val="00DC7F8C"/>
    <w:rsid w:val="00DD0401"/>
    <w:rsid w:val="00DD0C09"/>
    <w:rsid w:val="00DD0F58"/>
    <w:rsid w:val="00DD17AD"/>
    <w:rsid w:val="00DD1850"/>
    <w:rsid w:val="00DD2240"/>
    <w:rsid w:val="00DD2EFD"/>
    <w:rsid w:val="00DD322E"/>
    <w:rsid w:val="00DD3CF8"/>
    <w:rsid w:val="00DD5A9A"/>
    <w:rsid w:val="00DD617E"/>
    <w:rsid w:val="00DE14B7"/>
    <w:rsid w:val="00DE1CBE"/>
    <w:rsid w:val="00DE3566"/>
    <w:rsid w:val="00DE38C2"/>
    <w:rsid w:val="00DE47EE"/>
    <w:rsid w:val="00DE5970"/>
    <w:rsid w:val="00DE5B0C"/>
    <w:rsid w:val="00DE7E84"/>
    <w:rsid w:val="00DF0415"/>
    <w:rsid w:val="00DF12FB"/>
    <w:rsid w:val="00DF1564"/>
    <w:rsid w:val="00DF2CCB"/>
    <w:rsid w:val="00DF3816"/>
    <w:rsid w:val="00DF3986"/>
    <w:rsid w:val="00DF3AD2"/>
    <w:rsid w:val="00DF42B7"/>
    <w:rsid w:val="00DF478E"/>
    <w:rsid w:val="00DF56EA"/>
    <w:rsid w:val="00DF60FF"/>
    <w:rsid w:val="00DF61F5"/>
    <w:rsid w:val="00DF7497"/>
    <w:rsid w:val="00E002A5"/>
    <w:rsid w:val="00E0312A"/>
    <w:rsid w:val="00E04BC5"/>
    <w:rsid w:val="00E04C2A"/>
    <w:rsid w:val="00E069CE"/>
    <w:rsid w:val="00E079DC"/>
    <w:rsid w:val="00E07FB6"/>
    <w:rsid w:val="00E10420"/>
    <w:rsid w:val="00E134D3"/>
    <w:rsid w:val="00E136FD"/>
    <w:rsid w:val="00E15BC5"/>
    <w:rsid w:val="00E15CDB"/>
    <w:rsid w:val="00E16439"/>
    <w:rsid w:val="00E16589"/>
    <w:rsid w:val="00E17FE1"/>
    <w:rsid w:val="00E201C7"/>
    <w:rsid w:val="00E201E3"/>
    <w:rsid w:val="00E20E0F"/>
    <w:rsid w:val="00E23622"/>
    <w:rsid w:val="00E238AC"/>
    <w:rsid w:val="00E23F0D"/>
    <w:rsid w:val="00E25CA4"/>
    <w:rsid w:val="00E2713F"/>
    <w:rsid w:val="00E276D5"/>
    <w:rsid w:val="00E278C2"/>
    <w:rsid w:val="00E31B33"/>
    <w:rsid w:val="00E31FBB"/>
    <w:rsid w:val="00E32EEE"/>
    <w:rsid w:val="00E333AF"/>
    <w:rsid w:val="00E33B5B"/>
    <w:rsid w:val="00E3434F"/>
    <w:rsid w:val="00E35244"/>
    <w:rsid w:val="00E35314"/>
    <w:rsid w:val="00E35E0E"/>
    <w:rsid w:val="00E3603B"/>
    <w:rsid w:val="00E37C4C"/>
    <w:rsid w:val="00E37FEF"/>
    <w:rsid w:val="00E434E4"/>
    <w:rsid w:val="00E43741"/>
    <w:rsid w:val="00E45BED"/>
    <w:rsid w:val="00E46037"/>
    <w:rsid w:val="00E463F9"/>
    <w:rsid w:val="00E46748"/>
    <w:rsid w:val="00E47F27"/>
    <w:rsid w:val="00E51039"/>
    <w:rsid w:val="00E53C13"/>
    <w:rsid w:val="00E5457F"/>
    <w:rsid w:val="00E55A69"/>
    <w:rsid w:val="00E560B1"/>
    <w:rsid w:val="00E5731A"/>
    <w:rsid w:val="00E57A8A"/>
    <w:rsid w:val="00E57A9E"/>
    <w:rsid w:val="00E60287"/>
    <w:rsid w:val="00E629C8"/>
    <w:rsid w:val="00E63DBF"/>
    <w:rsid w:val="00E66BD7"/>
    <w:rsid w:val="00E66DD5"/>
    <w:rsid w:val="00E679A3"/>
    <w:rsid w:val="00E7105F"/>
    <w:rsid w:val="00E710EB"/>
    <w:rsid w:val="00E719EB"/>
    <w:rsid w:val="00E72481"/>
    <w:rsid w:val="00E7258E"/>
    <w:rsid w:val="00E72923"/>
    <w:rsid w:val="00E732DB"/>
    <w:rsid w:val="00E73E6C"/>
    <w:rsid w:val="00E74B34"/>
    <w:rsid w:val="00E74F4D"/>
    <w:rsid w:val="00E762F8"/>
    <w:rsid w:val="00E76692"/>
    <w:rsid w:val="00E81C62"/>
    <w:rsid w:val="00E83EC0"/>
    <w:rsid w:val="00E84781"/>
    <w:rsid w:val="00E84B02"/>
    <w:rsid w:val="00E85A6E"/>
    <w:rsid w:val="00E901FE"/>
    <w:rsid w:val="00E9188F"/>
    <w:rsid w:val="00E91AB9"/>
    <w:rsid w:val="00E92EE0"/>
    <w:rsid w:val="00E936DC"/>
    <w:rsid w:val="00EA0BAE"/>
    <w:rsid w:val="00EA1D03"/>
    <w:rsid w:val="00EA2B1E"/>
    <w:rsid w:val="00EA2DE3"/>
    <w:rsid w:val="00EA4027"/>
    <w:rsid w:val="00EA654E"/>
    <w:rsid w:val="00EA6E7C"/>
    <w:rsid w:val="00EA746B"/>
    <w:rsid w:val="00EA76F0"/>
    <w:rsid w:val="00EB176E"/>
    <w:rsid w:val="00EB2517"/>
    <w:rsid w:val="00EB27CA"/>
    <w:rsid w:val="00EB2829"/>
    <w:rsid w:val="00EB2942"/>
    <w:rsid w:val="00EB2CBE"/>
    <w:rsid w:val="00EB39B6"/>
    <w:rsid w:val="00EB39DF"/>
    <w:rsid w:val="00EB48BB"/>
    <w:rsid w:val="00EB7A6A"/>
    <w:rsid w:val="00EC015C"/>
    <w:rsid w:val="00EC08AA"/>
    <w:rsid w:val="00EC0B87"/>
    <w:rsid w:val="00EC2508"/>
    <w:rsid w:val="00EC2606"/>
    <w:rsid w:val="00EC2AD6"/>
    <w:rsid w:val="00EC2E6D"/>
    <w:rsid w:val="00EC31C8"/>
    <w:rsid w:val="00EC43CA"/>
    <w:rsid w:val="00EC4B58"/>
    <w:rsid w:val="00EC5556"/>
    <w:rsid w:val="00ED0833"/>
    <w:rsid w:val="00ED1877"/>
    <w:rsid w:val="00ED3261"/>
    <w:rsid w:val="00ED3CC7"/>
    <w:rsid w:val="00ED3EA8"/>
    <w:rsid w:val="00ED4C18"/>
    <w:rsid w:val="00ED52E2"/>
    <w:rsid w:val="00ED5371"/>
    <w:rsid w:val="00ED5DB5"/>
    <w:rsid w:val="00ED67C8"/>
    <w:rsid w:val="00ED6CB5"/>
    <w:rsid w:val="00ED7FC6"/>
    <w:rsid w:val="00EE09FB"/>
    <w:rsid w:val="00EE12B3"/>
    <w:rsid w:val="00EE15CD"/>
    <w:rsid w:val="00EE1EC1"/>
    <w:rsid w:val="00EE2344"/>
    <w:rsid w:val="00EE2D33"/>
    <w:rsid w:val="00EE3919"/>
    <w:rsid w:val="00EE3D55"/>
    <w:rsid w:val="00EE4262"/>
    <w:rsid w:val="00EE4762"/>
    <w:rsid w:val="00EE49AE"/>
    <w:rsid w:val="00EE5264"/>
    <w:rsid w:val="00EE558E"/>
    <w:rsid w:val="00EE590A"/>
    <w:rsid w:val="00EE63AC"/>
    <w:rsid w:val="00EE7A3E"/>
    <w:rsid w:val="00EF1F51"/>
    <w:rsid w:val="00EF213E"/>
    <w:rsid w:val="00EF2220"/>
    <w:rsid w:val="00EF3113"/>
    <w:rsid w:val="00EF3846"/>
    <w:rsid w:val="00EF4FFF"/>
    <w:rsid w:val="00EF60A8"/>
    <w:rsid w:val="00EF60C5"/>
    <w:rsid w:val="00EF6291"/>
    <w:rsid w:val="00EF6394"/>
    <w:rsid w:val="00EF792B"/>
    <w:rsid w:val="00F00E89"/>
    <w:rsid w:val="00F01866"/>
    <w:rsid w:val="00F02C58"/>
    <w:rsid w:val="00F056C9"/>
    <w:rsid w:val="00F056E9"/>
    <w:rsid w:val="00F076AB"/>
    <w:rsid w:val="00F107B6"/>
    <w:rsid w:val="00F11D58"/>
    <w:rsid w:val="00F13F26"/>
    <w:rsid w:val="00F144B5"/>
    <w:rsid w:val="00F14869"/>
    <w:rsid w:val="00F14B6D"/>
    <w:rsid w:val="00F15FC4"/>
    <w:rsid w:val="00F166D0"/>
    <w:rsid w:val="00F20B0A"/>
    <w:rsid w:val="00F21517"/>
    <w:rsid w:val="00F219A9"/>
    <w:rsid w:val="00F22008"/>
    <w:rsid w:val="00F221E8"/>
    <w:rsid w:val="00F23297"/>
    <w:rsid w:val="00F2678C"/>
    <w:rsid w:val="00F271F0"/>
    <w:rsid w:val="00F3022D"/>
    <w:rsid w:val="00F3026C"/>
    <w:rsid w:val="00F3028E"/>
    <w:rsid w:val="00F303E9"/>
    <w:rsid w:val="00F3046D"/>
    <w:rsid w:val="00F30946"/>
    <w:rsid w:val="00F33E5A"/>
    <w:rsid w:val="00F35150"/>
    <w:rsid w:val="00F35D09"/>
    <w:rsid w:val="00F365E8"/>
    <w:rsid w:val="00F36A3E"/>
    <w:rsid w:val="00F40974"/>
    <w:rsid w:val="00F4129B"/>
    <w:rsid w:val="00F42DD6"/>
    <w:rsid w:val="00F4333E"/>
    <w:rsid w:val="00F445A7"/>
    <w:rsid w:val="00F445BB"/>
    <w:rsid w:val="00F4641A"/>
    <w:rsid w:val="00F530CD"/>
    <w:rsid w:val="00F53197"/>
    <w:rsid w:val="00F53528"/>
    <w:rsid w:val="00F53F4F"/>
    <w:rsid w:val="00F542B2"/>
    <w:rsid w:val="00F54A0F"/>
    <w:rsid w:val="00F557EC"/>
    <w:rsid w:val="00F61D9C"/>
    <w:rsid w:val="00F623FB"/>
    <w:rsid w:val="00F63649"/>
    <w:rsid w:val="00F638B4"/>
    <w:rsid w:val="00F6429B"/>
    <w:rsid w:val="00F6454B"/>
    <w:rsid w:val="00F65803"/>
    <w:rsid w:val="00F65A44"/>
    <w:rsid w:val="00F65C5C"/>
    <w:rsid w:val="00F6659F"/>
    <w:rsid w:val="00F679AA"/>
    <w:rsid w:val="00F71C42"/>
    <w:rsid w:val="00F727F3"/>
    <w:rsid w:val="00F74256"/>
    <w:rsid w:val="00F74EDF"/>
    <w:rsid w:val="00F75065"/>
    <w:rsid w:val="00F7647A"/>
    <w:rsid w:val="00F76D8F"/>
    <w:rsid w:val="00F76E75"/>
    <w:rsid w:val="00F77435"/>
    <w:rsid w:val="00F80349"/>
    <w:rsid w:val="00F81C3C"/>
    <w:rsid w:val="00F81F98"/>
    <w:rsid w:val="00F85B5C"/>
    <w:rsid w:val="00F866A9"/>
    <w:rsid w:val="00F9016E"/>
    <w:rsid w:val="00F903CC"/>
    <w:rsid w:val="00F907EA"/>
    <w:rsid w:val="00F90CDA"/>
    <w:rsid w:val="00F90E66"/>
    <w:rsid w:val="00F91719"/>
    <w:rsid w:val="00F92C34"/>
    <w:rsid w:val="00F93D60"/>
    <w:rsid w:val="00F93D91"/>
    <w:rsid w:val="00F93FDA"/>
    <w:rsid w:val="00F95267"/>
    <w:rsid w:val="00F953F7"/>
    <w:rsid w:val="00FA095B"/>
    <w:rsid w:val="00FA0BA0"/>
    <w:rsid w:val="00FA2B58"/>
    <w:rsid w:val="00FA2D07"/>
    <w:rsid w:val="00FA2DB5"/>
    <w:rsid w:val="00FA352E"/>
    <w:rsid w:val="00FA3D1F"/>
    <w:rsid w:val="00FA5CE5"/>
    <w:rsid w:val="00FA7930"/>
    <w:rsid w:val="00FB0EF8"/>
    <w:rsid w:val="00FB1340"/>
    <w:rsid w:val="00FB14CE"/>
    <w:rsid w:val="00FB33EE"/>
    <w:rsid w:val="00FB48A8"/>
    <w:rsid w:val="00FB55F8"/>
    <w:rsid w:val="00FB5739"/>
    <w:rsid w:val="00FC0A6D"/>
    <w:rsid w:val="00FC0D24"/>
    <w:rsid w:val="00FC15BB"/>
    <w:rsid w:val="00FC1ADF"/>
    <w:rsid w:val="00FC2CA0"/>
    <w:rsid w:val="00FC33E5"/>
    <w:rsid w:val="00FC3A86"/>
    <w:rsid w:val="00FC3B1D"/>
    <w:rsid w:val="00FC558B"/>
    <w:rsid w:val="00FC6163"/>
    <w:rsid w:val="00FC64AD"/>
    <w:rsid w:val="00FC6682"/>
    <w:rsid w:val="00FC6ECD"/>
    <w:rsid w:val="00FC6FFC"/>
    <w:rsid w:val="00FC7165"/>
    <w:rsid w:val="00FC7A06"/>
    <w:rsid w:val="00FD0F1B"/>
    <w:rsid w:val="00FD0FDC"/>
    <w:rsid w:val="00FD182C"/>
    <w:rsid w:val="00FD1CEB"/>
    <w:rsid w:val="00FD1E13"/>
    <w:rsid w:val="00FD2417"/>
    <w:rsid w:val="00FD27E9"/>
    <w:rsid w:val="00FD36DA"/>
    <w:rsid w:val="00FD374F"/>
    <w:rsid w:val="00FD40CE"/>
    <w:rsid w:val="00FD41AF"/>
    <w:rsid w:val="00FD4DB4"/>
    <w:rsid w:val="00FD53E7"/>
    <w:rsid w:val="00FD58F7"/>
    <w:rsid w:val="00FD5FF6"/>
    <w:rsid w:val="00FD67C9"/>
    <w:rsid w:val="00FD7F86"/>
    <w:rsid w:val="00FE22B6"/>
    <w:rsid w:val="00FE27A0"/>
    <w:rsid w:val="00FE3696"/>
    <w:rsid w:val="00FE36C0"/>
    <w:rsid w:val="00FE5291"/>
    <w:rsid w:val="00FE52C4"/>
    <w:rsid w:val="00FE5AD9"/>
    <w:rsid w:val="00FE6052"/>
    <w:rsid w:val="00FE6425"/>
    <w:rsid w:val="00FE6F54"/>
    <w:rsid w:val="00FF0696"/>
    <w:rsid w:val="00FF070A"/>
    <w:rsid w:val="00FF080F"/>
    <w:rsid w:val="00FF15E1"/>
    <w:rsid w:val="00FF33FD"/>
    <w:rsid w:val="00FF3644"/>
    <w:rsid w:val="00FF3CBD"/>
    <w:rsid w:val="00FF48BB"/>
    <w:rsid w:val="00FF505B"/>
    <w:rsid w:val="00FF5226"/>
    <w:rsid w:val="00FF59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03CD8F"/>
  <w15:docId w15:val="{8F791C12-6A68-406B-86A0-A7D22C0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2"/>
    <w:pPr>
      <w:spacing w:after="0" w:line="240" w:lineRule="auto"/>
    </w:pPr>
    <w:rPr>
      <w:rFonts w:asciiTheme="majorBidi" w:hAnsiTheme="majorBidi"/>
      <w:sz w:val="24"/>
      <w:szCs w:val="24"/>
    </w:rPr>
  </w:style>
  <w:style w:type="paragraph" w:styleId="1">
    <w:name w:val="heading 1"/>
    <w:aliases w:val=" תו"/>
    <w:basedOn w:val="a"/>
    <w:link w:val="10"/>
    <w:qFormat/>
    <w:rsid w:val="006A415B"/>
    <w:pPr>
      <w:numPr>
        <w:numId w:val="1"/>
      </w:numPr>
      <w:bidi/>
      <w:spacing w:line="360" w:lineRule="auto"/>
      <w:ind w:right="340"/>
      <w:jc w:val="both"/>
      <w:outlineLvl w:val="0"/>
    </w:pPr>
    <w:rPr>
      <w:rFonts w:ascii="Times New Roman" w:eastAsia="Times New Roman" w:hAnsi="Times New Roman" w:cs="David"/>
      <w:kern w:val="28"/>
      <w:lang w:eastAsia="he-IL"/>
    </w:rPr>
  </w:style>
  <w:style w:type="paragraph" w:styleId="2">
    <w:name w:val="heading 2"/>
    <w:basedOn w:val="1"/>
    <w:link w:val="20"/>
    <w:qFormat/>
    <w:rsid w:val="006A415B"/>
    <w:pPr>
      <w:numPr>
        <w:ilvl w:val="1"/>
      </w:numPr>
      <w:tabs>
        <w:tab w:val="num" w:pos="360"/>
      </w:tabs>
      <w:ind w:right="680"/>
      <w:outlineLvl w:val="1"/>
    </w:pPr>
  </w:style>
  <w:style w:type="paragraph" w:styleId="3">
    <w:name w:val="heading 3"/>
    <w:basedOn w:val="2"/>
    <w:link w:val="30"/>
    <w:qFormat/>
    <w:rsid w:val="006A415B"/>
    <w:pPr>
      <w:keepNext/>
      <w:numPr>
        <w:ilvl w:val="2"/>
      </w:numPr>
      <w:tabs>
        <w:tab w:val="num" w:pos="360"/>
      </w:tabs>
      <w:ind w:right="1020"/>
      <w:outlineLvl w:val="2"/>
    </w:pPr>
  </w:style>
  <w:style w:type="paragraph" w:styleId="4">
    <w:name w:val="heading 4"/>
    <w:basedOn w:val="3"/>
    <w:link w:val="40"/>
    <w:qFormat/>
    <w:rsid w:val="006A415B"/>
    <w:pPr>
      <w:keepNext w:val="0"/>
      <w:numPr>
        <w:ilvl w:val="3"/>
      </w:numPr>
      <w:tabs>
        <w:tab w:val="num" w:pos="360"/>
      </w:tabs>
      <w:ind w:right="1360"/>
      <w:outlineLvl w:val="3"/>
    </w:pPr>
  </w:style>
  <w:style w:type="paragraph" w:styleId="5">
    <w:name w:val="heading 5"/>
    <w:basedOn w:val="4"/>
    <w:link w:val="50"/>
    <w:qFormat/>
    <w:rsid w:val="006A415B"/>
    <w:pPr>
      <w:numPr>
        <w:ilvl w:val="4"/>
      </w:numPr>
      <w:tabs>
        <w:tab w:val="num" w:pos="360"/>
      </w:tabs>
      <w:ind w:right="2068"/>
      <w:outlineLvl w:val="4"/>
    </w:pPr>
  </w:style>
  <w:style w:type="paragraph" w:styleId="6">
    <w:name w:val="heading 6"/>
    <w:basedOn w:val="a"/>
    <w:next w:val="a"/>
    <w:link w:val="60"/>
    <w:qFormat/>
    <w:rsid w:val="006A415B"/>
    <w:pPr>
      <w:numPr>
        <w:ilvl w:val="5"/>
        <w:numId w:val="1"/>
      </w:numPr>
      <w:bidi/>
      <w:spacing w:before="240" w:after="60" w:line="360" w:lineRule="auto"/>
      <w:ind w:right="2776"/>
      <w:jc w:val="both"/>
      <w:outlineLvl w:val="5"/>
    </w:pPr>
    <w:rPr>
      <w:rFonts w:ascii="Arial" w:eastAsia="Times New Roman" w:hAnsi="Arial" w:cs="Arial"/>
      <w:i/>
      <w:iCs/>
      <w:szCs w:val="22"/>
      <w:lang w:eastAsia="he-IL"/>
    </w:rPr>
  </w:style>
  <w:style w:type="paragraph" w:styleId="7">
    <w:name w:val="heading 7"/>
    <w:basedOn w:val="a"/>
    <w:next w:val="a"/>
    <w:link w:val="70"/>
    <w:qFormat/>
    <w:rsid w:val="006A415B"/>
    <w:pPr>
      <w:numPr>
        <w:ilvl w:val="6"/>
        <w:numId w:val="1"/>
      </w:numPr>
      <w:bidi/>
      <w:spacing w:before="240" w:after="60" w:line="360" w:lineRule="auto"/>
      <w:ind w:right="3484"/>
      <w:jc w:val="both"/>
      <w:outlineLvl w:val="6"/>
    </w:pPr>
    <w:rPr>
      <w:rFonts w:ascii="Arial" w:eastAsia="Times New Roman" w:hAnsi="Arial" w:cs="Arial"/>
      <w:sz w:val="20"/>
      <w:szCs w:val="20"/>
      <w:lang w:eastAsia="he-IL"/>
    </w:rPr>
  </w:style>
  <w:style w:type="paragraph" w:styleId="8">
    <w:name w:val="heading 8"/>
    <w:basedOn w:val="a"/>
    <w:next w:val="a"/>
    <w:link w:val="80"/>
    <w:qFormat/>
    <w:rsid w:val="006A415B"/>
    <w:pPr>
      <w:numPr>
        <w:ilvl w:val="7"/>
        <w:numId w:val="1"/>
      </w:numPr>
      <w:bidi/>
      <w:spacing w:before="240" w:after="60" w:line="360" w:lineRule="auto"/>
      <w:ind w:right="4192"/>
      <w:jc w:val="both"/>
      <w:outlineLvl w:val="7"/>
    </w:pPr>
    <w:rPr>
      <w:rFonts w:ascii="Arial" w:eastAsia="Times New Roman" w:hAnsi="Arial" w:cs="Arial"/>
      <w:i/>
      <w:iCs/>
      <w:sz w:val="20"/>
      <w:szCs w:val="20"/>
      <w:lang w:eastAsia="he-IL"/>
    </w:rPr>
  </w:style>
  <w:style w:type="paragraph" w:styleId="9">
    <w:name w:val="heading 9"/>
    <w:basedOn w:val="a"/>
    <w:next w:val="a"/>
    <w:link w:val="90"/>
    <w:qFormat/>
    <w:rsid w:val="006A415B"/>
    <w:pPr>
      <w:numPr>
        <w:ilvl w:val="8"/>
        <w:numId w:val="1"/>
      </w:numPr>
      <w:bidi/>
      <w:spacing w:before="240" w:after="60" w:line="360" w:lineRule="auto"/>
      <w:ind w:right="4900"/>
      <w:jc w:val="both"/>
      <w:outlineLvl w:val="8"/>
    </w:pPr>
    <w:rPr>
      <w:rFonts w:ascii="Arial" w:eastAsia="Times New Roman" w:hAnsi="Arial" w:cs="Arial"/>
      <w:i/>
      <w:iCs/>
      <w:sz w:val="18"/>
      <w:szCs w:val="1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DEE"/>
    <w:rPr>
      <w:rFonts w:ascii="Tahoma" w:hAnsi="Tahoma" w:cs="Tahoma"/>
      <w:sz w:val="16"/>
      <w:szCs w:val="16"/>
    </w:rPr>
  </w:style>
  <w:style w:type="character" w:customStyle="1" w:styleId="a4">
    <w:name w:val="טקסט בלונים תו"/>
    <w:basedOn w:val="a0"/>
    <w:link w:val="a3"/>
    <w:uiPriority w:val="99"/>
    <w:semiHidden/>
    <w:rsid w:val="003A2DEE"/>
    <w:rPr>
      <w:rFonts w:ascii="Tahoma" w:hAnsi="Tahoma" w:cs="Tahoma"/>
      <w:sz w:val="16"/>
      <w:szCs w:val="16"/>
    </w:rPr>
  </w:style>
  <w:style w:type="character" w:styleId="a5">
    <w:name w:val="annotation reference"/>
    <w:basedOn w:val="a0"/>
    <w:uiPriority w:val="99"/>
    <w:semiHidden/>
    <w:unhideWhenUsed/>
    <w:rsid w:val="009021F6"/>
    <w:rPr>
      <w:sz w:val="16"/>
      <w:szCs w:val="16"/>
    </w:rPr>
  </w:style>
  <w:style w:type="paragraph" w:styleId="a6">
    <w:name w:val="annotation text"/>
    <w:basedOn w:val="a"/>
    <w:link w:val="a7"/>
    <w:uiPriority w:val="99"/>
    <w:semiHidden/>
    <w:unhideWhenUsed/>
    <w:rsid w:val="009021F6"/>
    <w:rPr>
      <w:sz w:val="20"/>
      <w:szCs w:val="20"/>
    </w:rPr>
  </w:style>
  <w:style w:type="character" w:customStyle="1" w:styleId="a7">
    <w:name w:val="טקסט הערה תו"/>
    <w:basedOn w:val="a0"/>
    <w:link w:val="a6"/>
    <w:uiPriority w:val="99"/>
    <w:semiHidden/>
    <w:rsid w:val="009021F6"/>
    <w:rPr>
      <w:rFonts w:asciiTheme="majorBidi" w:hAnsiTheme="majorBidi"/>
      <w:sz w:val="20"/>
      <w:szCs w:val="20"/>
    </w:rPr>
  </w:style>
  <w:style w:type="paragraph" w:styleId="a8">
    <w:name w:val="annotation subject"/>
    <w:basedOn w:val="a6"/>
    <w:next w:val="a6"/>
    <w:link w:val="a9"/>
    <w:uiPriority w:val="99"/>
    <w:semiHidden/>
    <w:unhideWhenUsed/>
    <w:rsid w:val="009021F6"/>
    <w:rPr>
      <w:b/>
      <w:bCs/>
    </w:rPr>
  </w:style>
  <w:style w:type="character" w:customStyle="1" w:styleId="a9">
    <w:name w:val="נושא הערה תו"/>
    <w:basedOn w:val="a7"/>
    <w:link w:val="a8"/>
    <w:uiPriority w:val="99"/>
    <w:semiHidden/>
    <w:rsid w:val="009021F6"/>
    <w:rPr>
      <w:rFonts w:asciiTheme="majorBidi" w:hAnsiTheme="majorBidi"/>
      <w:b/>
      <w:bCs/>
      <w:sz w:val="20"/>
      <w:szCs w:val="20"/>
    </w:rPr>
  </w:style>
  <w:style w:type="character" w:customStyle="1" w:styleId="10">
    <w:name w:val="כותרת 1 תו"/>
    <w:aliases w:val=" תו תו"/>
    <w:basedOn w:val="a0"/>
    <w:link w:val="1"/>
    <w:rsid w:val="006A415B"/>
    <w:rPr>
      <w:rFonts w:ascii="Times New Roman" w:eastAsia="Times New Roman" w:hAnsi="Times New Roman" w:cs="David"/>
      <w:kern w:val="28"/>
      <w:sz w:val="24"/>
      <w:szCs w:val="24"/>
      <w:lang w:eastAsia="he-IL"/>
    </w:rPr>
  </w:style>
  <w:style w:type="character" w:customStyle="1" w:styleId="20">
    <w:name w:val="כותרת 2 תו"/>
    <w:basedOn w:val="a0"/>
    <w:link w:val="2"/>
    <w:rsid w:val="006A415B"/>
    <w:rPr>
      <w:rFonts w:ascii="Times New Roman" w:eastAsia="Times New Roman" w:hAnsi="Times New Roman" w:cs="David"/>
      <w:kern w:val="28"/>
      <w:sz w:val="24"/>
      <w:szCs w:val="24"/>
      <w:lang w:eastAsia="he-IL"/>
    </w:rPr>
  </w:style>
  <w:style w:type="character" w:customStyle="1" w:styleId="30">
    <w:name w:val="כותרת 3 תו"/>
    <w:basedOn w:val="a0"/>
    <w:link w:val="3"/>
    <w:rsid w:val="006A415B"/>
    <w:rPr>
      <w:rFonts w:ascii="Times New Roman" w:eastAsia="Times New Roman" w:hAnsi="Times New Roman" w:cs="David"/>
      <w:kern w:val="28"/>
      <w:sz w:val="24"/>
      <w:szCs w:val="24"/>
      <w:lang w:eastAsia="he-IL"/>
    </w:rPr>
  </w:style>
  <w:style w:type="character" w:customStyle="1" w:styleId="40">
    <w:name w:val="כותרת 4 תו"/>
    <w:basedOn w:val="a0"/>
    <w:link w:val="4"/>
    <w:rsid w:val="006A415B"/>
    <w:rPr>
      <w:rFonts w:ascii="Times New Roman" w:eastAsia="Times New Roman" w:hAnsi="Times New Roman" w:cs="David"/>
      <w:kern w:val="28"/>
      <w:sz w:val="24"/>
      <w:szCs w:val="24"/>
      <w:lang w:eastAsia="he-IL"/>
    </w:rPr>
  </w:style>
  <w:style w:type="character" w:customStyle="1" w:styleId="50">
    <w:name w:val="כותרת 5 תו"/>
    <w:basedOn w:val="a0"/>
    <w:link w:val="5"/>
    <w:rsid w:val="006A415B"/>
    <w:rPr>
      <w:rFonts w:ascii="Times New Roman" w:eastAsia="Times New Roman" w:hAnsi="Times New Roman" w:cs="David"/>
      <w:kern w:val="28"/>
      <w:sz w:val="24"/>
      <w:szCs w:val="24"/>
      <w:lang w:eastAsia="he-IL"/>
    </w:rPr>
  </w:style>
  <w:style w:type="character" w:customStyle="1" w:styleId="60">
    <w:name w:val="כותרת 6 תו"/>
    <w:basedOn w:val="a0"/>
    <w:link w:val="6"/>
    <w:rsid w:val="006A415B"/>
    <w:rPr>
      <w:rFonts w:ascii="Arial" w:eastAsia="Times New Roman" w:hAnsi="Arial" w:cs="Arial"/>
      <w:i/>
      <w:iCs/>
      <w:sz w:val="24"/>
      <w:lang w:eastAsia="he-IL"/>
    </w:rPr>
  </w:style>
  <w:style w:type="character" w:customStyle="1" w:styleId="70">
    <w:name w:val="כותרת 7 תו"/>
    <w:basedOn w:val="a0"/>
    <w:link w:val="7"/>
    <w:rsid w:val="006A415B"/>
    <w:rPr>
      <w:rFonts w:ascii="Arial" w:eastAsia="Times New Roman" w:hAnsi="Arial" w:cs="Arial"/>
      <w:sz w:val="20"/>
      <w:szCs w:val="20"/>
      <w:lang w:eastAsia="he-IL"/>
    </w:rPr>
  </w:style>
  <w:style w:type="character" w:customStyle="1" w:styleId="80">
    <w:name w:val="כותרת 8 תו"/>
    <w:basedOn w:val="a0"/>
    <w:link w:val="8"/>
    <w:rsid w:val="006A415B"/>
    <w:rPr>
      <w:rFonts w:ascii="Arial" w:eastAsia="Times New Roman" w:hAnsi="Arial" w:cs="Arial"/>
      <w:i/>
      <w:iCs/>
      <w:sz w:val="20"/>
      <w:szCs w:val="20"/>
      <w:lang w:eastAsia="he-IL"/>
    </w:rPr>
  </w:style>
  <w:style w:type="character" w:customStyle="1" w:styleId="90">
    <w:name w:val="כותרת 9 תו"/>
    <w:basedOn w:val="a0"/>
    <w:link w:val="9"/>
    <w:rsid w:val="006A415B"/>
    <w:rPr>
      <w:rFonts w:ascii="Arial" w:eastAsia="Times New Roman" w:hAnsi="Arial" w:cs="Arial"/>
      <w:i/>
      <w:iCs/>
      <w:sz w:val="18"/>
      <w:szCs w:val="18"/>
      <w:lang w:eastAsia="he-IL"/>
    </w:rPr>
  </w:style>
  <w:style w:type="paragraph" w:styleId="aa">
    <w:name w:val="header"/>
    <w:basedOn w:val="a"/>
    <w:link w:val="ab"/>
    <w:rsid w:val="006A415B"/>
    <w:pPr>
      <w:tabs>
        <w:tab w:val="center" w:pos="4153"/>
        <w:tab w:val="right" w:pos="8306"/>
      </w:tabs>
      <w:bidi/>
      <w:spacing w:line="360" w:lineRule="auto"/>
      <w:jc w:val="both"/>
    </w:pPr>
    <w:rPr>
      <w:rFonts w:ascii="Times New Roman" w:eastAsia="Times New Roman" w:hAnsi="Times New Roman" w:cs="David"/>
      <w:lang w:eastAsia="he-IL"/>
    </w:rPr>
  </w:style>
  <w:style w:type="character" w:customStyle="1" w:styleId="ab">
    <w:name w:val="כותרת עליונה תו"/>
    <w:basedOn w:val="a0"/>
    <w:link w:val="aa"/>
    <w:rsid w:val="006A415B"/>
    <w:rPr>
      <w:rFonts w:ascii="Times New Roman" w:eastAsia="Times New Roman" w:hAnsi="Times New Roman" w:cs="David"/>
      <w:sz w:val="24"/>
      <w:szCs w:val="24"/>
      <w:lang w:eastAsia="he-IL"/>
    </w:rPr>
  </w:style>
  <w:style w:type="paragraph" w:styleId="ac">
    <w:name w:val="List Paragraph"/>
    <w:basedOn w:val="a"/>
    <w:uiPriority w:val="34"/>
    <w:qFormat/>
    <w:rsid w:val="006A415B"/>
    <w:pPr>
      <w:bidi/>
      <w:spacing w:line="360" w:lineRule="auto"/>
      <w:ind w:left="720"/>
      <w:contextualSpacing/>
      <w:jc w:val="both"/>
    </w:pPr>
    <w:rPr>
      <w:rFonts w:ascii="Times New Roman" w:eastAsia="Times New Roman" w:hAnsi="Times New Roman" w:cs="David"/>
      <w:lang w:eastAsia="he-IL"/>
    </w:rPr>
  </w:style>
  <w:style w:type="paragraph" w:styleId="ad">
    <w:name w:val="footer"/>
    <w:basedOn w:val="a"/>
    <w:link w:val="ae"/>
    <w:uiPriority w:val="99"/>
    <w:unhideWhenUsed/>
    <w:rsid w:val="006A415B"/>
    <w:pPr>
      <w:tabs>
        <w:tab w:val="center" w:pos="4320"/>
        <w:tab w:val="right" w:pos="8640"/>
      </w:tabs>
    </w:pPr>
  </w:style>
  <w:style w:type="character" w:customStyle="1" w:styleId="ae">
    <w:name w:val="כותרת תחתונה תו"/>
    <w:basedOn w:val="a0"/>
    <w:link w:val="ad"/>
    <w:uiPriority w:val="99"/>
    <w:rsid w:val="006A415B"/>
    <w:rPr>
      <w:rFonts w:asciiTheme="majorBidi" w:hAnsiTheme="majorBidi"/>
      <w:sz w:val="24"/>
      <w:szCs w:val="24"/>
    </w:rPr>
  </w:style>
  <w:style w:type="paragraph" w:customStyle="1" w:styleId="regpar">
    <w:name w:val="regpar"/>
    <w:basedOn w:val="a"/>
    <w:rsid w:val="006A415B"/>
    <w:pPr>
      <w:spacing w:line="300" w:lineRule="exact"/>
      <w:ind w:firstLine="240"/>
      <w:jc w:val="both"/>
    </w:pPr>
    <w:rPr>
      <w:rFonts w:ascii="Times" w:eastAsia="Times New Roman" w:hAnsi="Times" w:cs="Times"/>
    </w:rPr>
  </w:style>
  <w:style w:type="paragraph" w:styleId="af">
    <w:name w:val="Revision"/>
    <w:hidden/>
    <w:uiPriority w:val="99"/>
    <w:semiHidden/>
    <w:rsid w:val="002530C3"/>
    <w:pPr>
      <w:spacing w:after="0" w:line="240" w:lineRule="auto"/>
    </w:pPr>
    <w:rPr>
      <w:rFonts w:asciiTheme="majorBidi" w:hAnsiTheme="majorBidi"/>
      <w:sz w:val="24"/>
      <w:szCs w:val="24"/>
    </w:rPr>
  </w:style>
  <w:style w:type="paragraph" w:styleId="af0">
    <w:name w:val="footnote text"/>
    <w:basedOn w:val="a"/>
    <w:link w:val="af1"/>
    <w:uiPriority w:val="99"/>
    <w:semiHidden/>
    <w:unhideWhenUsed/>
    <w:rsid w:val="00701421"/>
    <w:rPr>
      <w:sz w:val="20"/>
      <w:szCs w:val="20"/>
    </w:rPr>
  </w:style>
  <w:style w:type="character" w:customStyle="1" w:styleId="af1">
    <w:name w:val="טקסט הערת שוליים תו"/>
    <w:basedOn w:val="a0"/>
    <w:link w:val="af0"/>
    <w:uiPriority w:val="99"/>
    <w:semiHidden/>
    <w:rsid w:val="00701421"/>
    <w:rPr>
      <w:rFonts w:asciiTheme="majorBidi" w:hAnsiTheme="majorBidi"/>
      <w:sz w:val="20"/>
      <w:szCs w:val="20"/>
    </w:rPr>
  </w:style>
  <w:style w:type="character" w:styleId="af2">
    <w:name w:val="footnote reference"/>
    <w:basedOn w:val="a0"/>
    <w:uiPriority w:val="99"/>
    <w:semiHidden/>
    <w:unhideWhenUsed/>
    <w:rsid w:val="00701421"/>
    <w:rPr>
      <w:vertAlign w:val="superscript"/>
    </w:rPr>
  </w:style>
  <w:style w:type="character" w:styleId="Hyperlink">
    <w:name w:val="Hyperlink"/>
    <w:basedOn w:val="a0"/>
    <w:uiPriority w:val="99"/>
    <w:unhideWhenUsed/>
    <w:rsid w:val="00B21E55"/>
    <w:rPr>
      <w:color w:val="0563C1"/>
      <w:u w:val="single"/>
    </w:rPr>
  </w:style>
  <w:style w:type="character" w:styleId="FollowedHyperlink">
    <w:name w:val="FollowedHyperlink"/>
    <w:basedOn w:val="a0"/>
    <w:uiPriority w:val="99"/>
    <w:semiHidden/>
    <w:unhideWhenUsed/>
    <w:rsid w:val="00606830"/>
    <w:rPr>
      <w:color w:val="800080" w:themeColor="followedHyperlink"/>
      <w:u w:val="single"/>
    </w:rPr>
  </w:style>
  <w:style w:type="paragraph" w:styleId="NormalWeb">
    <w:name w:val="Normal (Web)"/>
    <w:basedOn w:val="a"/>
    <w:uiPriority w:val="99"/>
    <w:unhideWhenUsed/>
    <w:rsid w:val="00D32BD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0710">
      <w:bodyDiv w:val="1"/>
      <w:marLeft w:val="0"/>
      <w:marRight w:val="0"/>
      <w:marTop w:val="0"/>
      <w:marBottom w:val="0"/>
      <w:divBdr>
        <w:top w:val="none" w:sz="0" w:space="0" w:color="auto"/>
        <w:left w:val="none" w:sz="0" w:space="0" w:color="auto"/>
        <w:bottom w:val="none" w:sz="0" w:space="0" w:color="auto"/>
        <w:right w:val="none" w:sz="0" w:space="0" w:color="auto"/>
      </w:divBdr>
    </w:div>
    <w:div w:id="378628959">
      <w:bodyDiv w:val="1"/>
      <w:marLeft w:val="0"/>
      <w:marRight w:val="0"/>
      <w:marTop w:val="0"/>
      <w:marBottom w:val="0"/>
      <w:divBdr>
        <w:top w:val="none" w:sz="0" w:space="0" w:color="auto"/>
        <w:left w:val="none" w:sz="0" w:space="0" w:color="auto"/>
        <w:bottom w:val="none" w:sz="0" w:space="0" w:color="auto"/>
        <w:right w:val="none" w:sz="0" w:space="0" w:color="auto"/>
      </w:divBdr>
    </w:div>
    <w:div w:id="18278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11969B0"/><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0CFFBFB-1A87-4427-B1E2-4DADE3CC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1816</Words>
  <Characters>9085</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יהודה פאש</dc:creator>
  <cp:lastModifiedBy>רוסול דכוור</cp:lastModifiedBy>
  <cp:revision>4</cp:revision>
  <cp:lastPrinted>2025-02-24T11:13:00Z</cp:lastPrinted>
  <dcterms:created xsi:type="dcterms:W3CDTF">2025-08-20T11:46:00Z</dcterms:created>
  <dcterms:modified xsi:type="dcterms:W3CDTF">2025-08-20T12:18:00Z</dcterms:modified>
</cp:coreProperties>
</file>