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B97D3C" w14:paraId="3B264FE7" w14:textId="77777777" w:rsidTr="000D1651">
        <w:trPr>
          <w:jc w:val="center"/>
        </w:trPr>
        <w:tc>
          <w:tcPr>
            <w:tcW w:w="2840" w:type="dxa"/>
            <w:tcBorders>
              <w:top w:val="nil"/>
              <w:left w:val="nil"/>
              <w:bottom w:val="nil"/>
              <w:right w:val="nil"/>
            </w:tcBorders>
            <w:vAlign w:val="center"/>
          </w:tcPr>
          <w:p w14:paraId="65BD46E2" w14:textId="77777777" w:rsidR="00BB4381" w:rsidRPr="00B97D3C" w:rsidRDefault="00BB4381" w:rsidP="000D1651">
            <w:pPr>
              <w:spacing w:line="360" w:lineRule="auto"/>
              <w:jc w:val="right"/>
              <w:rPr>
                <w:rFonts w:ascii="David" w:hAnsi="David" w:cs="David"/>
                <w:b/>
                <w:bCs/>
                <w:sz w:val="24"/>
                <w:szCs w:val="24"/>
              </w:rPr>
            </w:pPr>
            <w:r w:rsidRPr="00B97D3C">
              <w:rPr>
                <w:rFonts w:ascii="David" w:hAnsi="David" w:cs="David"/>
                <w:b/>
                <w:bCs/>
                <w:sz w:val="24"/>
                <w:szCs w:val="24"/>
                <w:rtl/>
              </w:rPr>
              <w:t>בנק ישראל</w:t>
            </w:r>
          </w:p>
          <w:p w14:paraId="295529B0" w14:textId="77777777" w:rsidR="00BB4381" w:rsidRPr="00B97D3C" w:rsidRDefault="00BB4381" w:rsidP="000D1651">
            <w:pPr>
              <w:spacing w:line="360" w:lineRule="auto"/>
              <w:ind w:right="-101"/>
              <w:jc w:val="right"/>
              <w:rPr>
                <w:rFonts w:ascii="David" w:hAnsi="David" w:cs="David"/>
                <w:sz w:val="24"/>
                <w:szCs w:val="24"/>
              </w:rPr>
            </w:pPr>
            <w:r w:rsidRPr="00B97D3C">
              <w:rPr>
                <w:rFonts w:ascii="David" w:hAnsi="David" w:cs="David"/>
                <w:sz w:val="24"/>
                <w:szCs w:val="24"/>
                <w:rtl/>
              </w:rPr>
              <w:t>דוברות והסברה כלכלית</w:t>
            </w:r>
          </w:p>
        </w:tc>
        <w:tc>
          <w:tcPr>
            <w:tcW w:w="2596" w:type="dxa"/>
            <w:tcBorders>
              <w:top w:val="nil"/>
              <w:left w:val="nil"/>
              <w:bottom w:val="nil"/>
              <w:right w:val="nil"/>
            </w:tcBorders>
          </w:tcPr>
          <w:p w14:paraId="432D19C2" w14:textId="77777777" w:rsidR="00BB4381" w:rsidRPr="00B97D3C" w:rsidRDefault="00CE4026" w:rsidP="000D1651">
            <w:pPr>
              <w:jc w:val="center"/>
              <w:rPr>
                <w:rFonts w:ascii="David" w:hAnsi="David" w:cs="David"/>
                <w:sz w:val="24"/>
                <w:szCs w:val="24"/>
              </w:rPr>
            </w:pPr>
            <w:r w:rsidRPr="00B97D3C">
              <w:rPr>
                <w:rFonts w:ascii="David" w:hAnsi="David" w:cs="David"/>
                <w:noProof/>
                <w:sz w:val="24"/>
                <w:szCs w:val="24"/>
              </w:rPr>
              <w:drawing>
                <wp:inline distT="0" distB="0" distL="0" distR="0" wp14:anchorId="4254D66F" wp14:editId="4BB33C43">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441F2A1" w14:textId="13492C45" w:rsidR="00BB4381" w:rsidRPr="00B97D3C" w:rsidRDefault="00BB4381" w:rsidP="00286117">
            <w:pPr>
              <w:spacing w:line="480" w:lineRule="auto"/>
              <w:rPr>
                <w:rFonts w:ascii="David" w:hAnsi="David" w:cs="David"/>
                <w:sz w:val="24"/>
                <w:szCs w:val="24"/>
              </w:rPr>
            </w:pPr>
            <w:r w:rsidRPr="00B97D3C">
              <w:rPr>
                <w:rFonts w:ascii="David" w:hAnsi="David" w:cs="David"/>
                <w:sz w:val="24"/>
                <w:szCs w:val="24"/>
                <w:rtl/>
              </w:rPr>
              <w:t>‏ירושלים</w:t>
            </w:r>
            <w:r w:rsidR="00B97D3C" w:rsidRPr="00B97D3C">
              <w:rPr>
                <w:rFonts w:ascii="David" w:hAnsi="David" w:cs="David"/>
                <w:sz w:val="24"/>
                <w:szCs w:val="24"/>
                <w:rtl/>
              </w:rPr>
              <w:t>, תשפ"ד</w:t>
            </w:r>
          </w:p>
          <w:p w14:paraId="6105EB72" w14:textId="555E0741" w:rsidR="00BB4381" w:rsidRPr="00B97D3C" w:rsidRDefault="00BB4381" w:rsidP="00286117">
            <w:pPr>
              <w:spacing w:line="480" w:lineRule="auto"/>
              <w:rPr>
                <w:rFonts w:ascii="David" w:hAnsi="David" w:cs="David"/>
                <w:sz w:val="24"/>
                <w:szCs w:val="24"/>
              </w:rPr>
            </w:pPr>
            <w:r w:rsidRPr="00B97D3C">
              <w:rPr>
                <w:rFonts w:ascii="David" w:hAnsi="David" w:cs="David"/>
                <w:sz w:val="24"/>
                <w:szCs w:val="24"/>
                <w:rtl/>
              </w:rPr>
              <w:t>‏‏</w:t>
            </w:r>
            <w:r w:rsidR="00286117">
              <w:rPr>
                <w:rFonts w:ascii="David" w:hAnsi="David" w:cs="David" w:hint="cs"/>
                <w:sz w:val="24"/>
                <w:szCs w:val="24"/>
                <w:rtl/>
              </w:rPr>
              <w:t>28</w:t>
            </w:r>
            <w:r w:rsidR="00B97D3C" w:rsidRPr="00B97D3C">
              <w:rPr>
                <w:rFonts w:ascii="David" w:hAnsi="David" w:cs="David"/>
                <w:sz w:val="24"/>
                <w:szCs w:val="24"/>
                <w:rtl/>
              </w:rPr>
              <w:t xml:space="preserve"> פברואר 2024</w:t>
            </w:r>
          </w:p>
        </w:tc>
      </w:tr>
    </w:tbl>
    <w:p w14:paraId="5F446DA1" w14:textId="77777777" w:rsidR="00286117" w:rsidRDefault="00286117" w:rsidP="00447790">
      <w:pPr>
        <w:bidi/>
        <w:spacing w:line="360" w:lineRule="auto"/>
        <w:ind w:right="-101"/>
        <w:rPr>
          <w:rFonts w:ascii="David" w:hAnsi="David" w:cs="David"/>
          <w:sz w:val="24"/>
          <w:szCs w:val="24"/>
          <w:rtl/>
        </w:rPr>
      </w:pPr>
    </w:p>
    <w:p w14:paraId="47D42271" w14:textId="79341CDE" w:rsidR="00370D07" w:rsidRPr="00B97D3C" w:rsidRDefault="00370D07" w:rsidP="00286117">
      <w:pPr>
        <w:bidi/>
        <w:spacing w:line="360" w:lineRule="auto"/>
        <w:ind w:right="-101"/>
        <w:rPr>
          <w:rFonts w:ascii="David" w:hAnsi="David" w:cs="David"/>
          <w:sz w:val="24"/>
          <w:szCs w:val="24"/>
        </w:rPr>
      </w:pPr>
      <w:r w:rsidRPr="00B97D3C">
        <w:rPr>
          <w:rFonts w:ascii="David" w:hAnsi="David" w:cs="David"/>
          <w:sz w:val="24"/>
          <w:szCs w:val="24"/>
          <w:rtl/>
        </w:rPr>
        <w:t>הודעה לעיתונות:</w:t>
      </w:r>
    </w:p>
    <w:p w14:paraId="303A1481" w14:textId="77777777" w:rsidR="008E579E" w:rsidRDefault="008E579E" w:rsidP="008E579E">
      <w:pPr>
        <w:bidi/>
        <w:spacing w:line="360" w:lineRule="auto"/>
        <w:ind w:right="-101"/>
        <w:jc w:val="center"/>
        <w:rPr>
          <w:rFonts w:ascii="David" w:hAnsi="David" w:cs="David"/>
          <w:b/>
          <w:bCs/>
          <w:sz w:val="28"/>
          <w:szCs w:val="28"/>
          <w:rtl/>
        </w:rPr>
      </w:pPr>
    </w:p>
    <w:p w14:paraId="3F316F55" w14:textId="4C00D864" w:rsidR="00A5739B" w:rsidRPr="00A5739B" w:rsidRDefault="00E6475E" w:rsidP="008E579E">
      <w:pPr>
        <w:bidi/>
        <w:spacing w:line="360" w:lineRule="auto"/>
        <w:ind w:right="-101"/>
        <w:jc w:val="center"/>
        <w:rPr>
          <w:rFonts w:ascii="David" w:hAnsi="David" w:cs="David"/>
          <w:b/>
          <w:bCs/>
          <w:sz w:val="28"/>
          <w:szCs w:val="28"/>
          <w:rtl/>
        </w:rPr>
      </w:pPr>
      <w:r>
        <w:rPr>
          <w:rFonts w:ascii="David" w:hAnsi="David" w:cs="David" w:hint="cs"/>
          <w:b/>
          <w:bCs/>
          <w:sz w:val="28"/>
          <w:szCs w:val="28"/>
          <w:rtl/>
        </w:rPr>
        <w:t>צעד נוסף ל</w:t>
      </w:r>
      <w:r w:rsidR="008E579E">
        <w:rPr>
          <w:rFonts w:ascii="David" w:hAnsi="David" w:cs="David" w:hint="cs"/>
          <w:b/>
          <w:bCs/>
          <w:sz w:val="28"/>
          <w:szCs w:val="28"/>
          <w:rtl/>
        </w:rPr>
        <w:t xml:space="preserve">הגברת </w:t>
      </w:r>
      <w:r w:rsidR="00A5739B" w:rsidRPr="00A5739B">
        <w:rPr>
          <w:rFonts w:ascii="David" w:hAnsi="David" w:cs="David" w:hint="cs"/>
          <w:b/>
          <w:bCs/>
          <w:sz w:val="28"/>
          <w:szCs w:val="28"/>
          <w:rtl/>
        </w:rPr>
        <w:t>התחרות על ה</w:t>
      </w:r>
      <w:r w:rsidR="00A5739B" w:rsidRPr="00A5739B">
        <w:rPr>
          <w:rFonts w:ascii="David" w:hAnsi="David" w:cs="David"/>
          <w:b/>
          <w:bCs/>
          <w:sz w:val="28"/>
          <w:szCs w:val="28"/>
          <w:rtl/>
        </w:rPr>
        <w:t>פיקדונות המוצעים על ידי המערכת הבנקאית</w:t>
      </w:r>
    </w:p>
    <w:p w14:paraId="6688DAE1" w14:textId="4D1D1B58" w:rsidR="00445B2D" w:rsidRDefault="00DE4461" w:rsidP="00DE4461">
      <w:pPr>
        <w:bidi/>
        <w:spacing w:line="360" w:lineRule="auto"/>
        <w:ind w:right="-101"/>
        <w:jc w:val="both"/>
        <w:rPr>
          <w:rFonts w:ascii="David" w:hAnsi="David" w:cs="David"/>
          <w:sz w:val="24"/>
          <w:szCs w:val="24"/>
          <w:rtl/>
        </w:rPr>
      </w:pPr>
      <w:r>
        <w:rPr>
          <w:rFonts w:ascii="David" w:hAnsi="David" w:cs="David" w:hint="cs"/>
          <w:sz w:val="24"/>
          <w:szCs w:val="24"/>
          <w:rtl/>
        </w:rPr>
        <w:t xml:space="preserve">בהמשך לצעדים שקידם בנק ישראל בנושא, </w:t>
      </w:r>
      <w:r w:rsidR="00B97D3C" w:rsidRPr="00102506">
        <w:rPr>
          <w:rFonts w:ascii="David" w:hAnsi="David" w:cs="David"/>
          <w:sz w:val="24"/>
          <w:szCs w:val="24"/>
          <w:rtl/>
        </w:rPr>
        <w:t>הפיקוח על הבנקים פרסם היום להערות הציבור</w:t>
      </w:r>
      <w:r w:rsidR="00A7198F">
        <w:rPr>
          <w:rFonts w:ascii="David" w:hAnsi="David" w:cs="David" w:hint="cs"/>
          <w:sz w:val="24"/>
          <w:szCs w:val="24"/>
          <w:rtl/>
        </w:rPr>
        <w:t xml:space="preserve"> שתי טיוטות </w:t>
      </w:r>
      <w:r w:rsidR="00E41C77">
        <w:rPr>
          <w:rFonts w:ascii="David" w:hAnsi="David" w:cs="David" w:hint="cs"/>
          <w:sz w:val="24"/>
          <w:szCs w:val="24"/>
          <w:rtl/>
        </w:rPr>
        <w:t xml:space="preserve">הוראה </w:t>
      </w:r>
      <w:r w:rsidR="00A7198F">
        <w:rPr>
          <w:rFonts w:ascii="David" w:hAnsi="David" w:cs="David" w:hint="cs"/>
          <w:sz w:val="24"/>
          <w:szCs w:val="24"/>
          <w:rtl/>
        </w:rPr>
        <w:t>חדשות</w:t>
      </w:r>
      <w:r w:rsidR="00445B2D">
        <w:rPr>
          <w:rFonts w:ascii="David" w:hAnsi="David" w:cs="David" w:hint="cs"/>
          <w:sz w:val="24"/>
          <w:szCs w:val="24"/>
          <w:rtl/>
        </w:rPr>
        <w:t xml:space="preserve">, </w:t>
      </w:r>
      <w:r w:rsidR="00445B2D">
        <w:rPr>
          <w:rFonts w:ascii="David" w:eastAsia="Segoe UI" w:hAnsi="David" w:cs="David" w:hint="cs"/>
          <w:sz w:val="24"/>
          <w:szCs w:val="24"/>
          <w:rtl/>
        </w:rPr>
        <w:t>שנועדו</w:t>
      </w:r>
      <w:r w:rsidR="00445B2D" w:rsidRPr="00B97D3C">
        <w:rPr>
          <w:rFonts w:ascii="David" w:eastAsia="Segoe UI" w:hAnsi="David" w:cs="David"/>
          <w:sz w:val="24"/>
          <w:szCs w:val="24"/>
          <w:rtl/>
        </w:rPr>
        <w:t xml:space="preserve"> ל</w:t>
      </w:r>
      <w:r>
        <w:rPr>
          <w:rFonts w:ascii="David" w:eastAsia="Segoe UI" w:hAnsi="David" w:cs="David" w:hint="cs"/>
          <w:sz w:val="24"/>
          <w:szCs w:val="24"/>
          <w:rtl/>
        </w:rPr>
        <w:t>המשיך ל</w:t>
      </w:r>
      <w:r w:rsidR="00445B2D" w:rsidRPr="00B97D3C">
        <w:rPr>
          <w:rFonts w:ascii="David" w:eastAsia="Segoe UI" w:hAnsi="David" w:cs="David"/>
          <w:sz w:val="24"/>
          <w:szCs w:val="24"/>
          <w:rtl/>
        </w:rPr>
        <w:t xml:space="preserve">עודד את התחרות </w:t>
      </w:r>
      <w:r w:rsidR="00445B2D">
        <w:rPr>
          <w:rFonts w:ascii="David" w:eastAsia="Segoe UI" w:hAnsi="David" w:cs="David"/>
          <w:sz w:val="24"/>
          <w:szCs w:val="24"/>
          <w:rtl/>
        </w:rPr>
        <w:t>בתחום הפיקדונות</w:t>
      </w:r>
      <w:r w:rsidR="00445B2D">
        <w:rPr>
          <w:rFonts w:ascii="David" w:eastAsia="Segoe UI" w:hAnsi="David" w:cs="David" w:hint="cs"/>
          <w:sz w:val="24"/>
          <w:szCs w:val="24"/>
          <w:rtl/>
        </w:rPr>
        <w:t xml:space="preserve"> ולשפר את הצעות הערך שמקבלים הלקוחות</w:t>
      </w:r>
      <w:r w:rsidR="00A7198F">
        <w:rPr>
          <w:rFonts w:ascii="David" w:hAnsi="David" w:cs="David" w:hint="cs"/>
          <w:sz w:val="24"/>
          <w:szCs w:val="24"/>
          <w:rtl/>
        </w:rPr>
        <w:t xml:space="preserve">. </w:t>
      </w:r>
    </w:p>
    <w:p w14:paraId="19B2FFFE" w14:textId="10FFFA11" w:rsidR="00916C93" w:rsidRDefault="00916C93" w:rsidP="00420864">
      <w:pPr>
        <w:bidi/>
        <w:spacing w:line="360" w:lineRule="auto"/>
        <w:ind w:right="-101"/>
        <w:jc w:val="both"/>
        <w:rPr>
          <w:rFonts w:ascii="Arial" w:hAnsi="Arial" w:cs="Arial"/>
          <w:color w:val="1F497D"/>
        </w:rPr>
      </w:pPr>
      <w:r w:rsidRPr="00102506">
        <w:rPr>
          <w:rFonts w:ascii="David" w:eastAsia="Segoe UI" w:hAnsi="David" w:cs="David"/>
          <w:b/>
          <w:bCs/>
          <w:sz w:val="24"/>
          <w:szCs w:val="24"/>
          <w:rtl/>
        </w:rPr>
        <w:t>המפקח על הבנקים, מר דניאל חחיאשוילי</w:t>
      </w:r>
      <w:r w:rsidRPr="00B97D3C">
        <w:rPr>
          <w:rFonts w:ascii="David" w:eastAsia="Segoe UI" w:hAnsi="David" w:cs="David"/>
          <w:sz w:val="24"/>
          <w:szCs w:val="24"/>
          <w:rtl/>
        </w:rPr>
        <w:t>:</w:t>
      </w:r>
      <w:r>
        <w:rPr>
          <w:rFonts w:ascii="David" w:eastAsia="Segoe UI" w:hAnsi="David" w:cs="David" w:hint="cs"/>
          <w:sz w:val="24"/>
          <w:szCs w:val="24"/>
          <w:rtl/>
        </w:rPr>
        <w:t xml:space="preserve">  </w:t>
      </w:r>
      <w:r>
        <w:rPr>
          <w:rFonts w:ascii="David" w:hAnsi="David" w:cs="David" w:hint="cs"/>
          <w:sz w:val="24"/>
          <w:szCs w:val="24"/>
          <w:rtl/>
        </w:rPr>
        <w:t>"</w:t>
      </w:r>
      <w:r>
        <w:rPr>
          <w:rFonts w:ascii="David" w:hAnsi="David" w:cs="David"/>
          <w:sz w:val="24"/>
          <w:szCs w:val="24"/>
          <w:rtl/>
        </w:rPr>
        <w:t>הפיקוח על הבנקים מקדם צעד נוסף להגברת השקיפות בתחום הפיקדונות, כך שללקוח יהיה ברור מה גובה הריבית שהוא יקבל על הפיקדונות ובהשוואה בין בנקים שונים. במקביל אנו משפרים את האפשרות של בנקים לגייס פיקדונות מהציבור תוך הליך זיהוי מקוצר של הלקוח. צעדים אלו צפויים להגביר את התחרות בתחום הפיקדונות ולאפשר ללקוחות הבנקים להשיג את ההצעה המיטבית עבורם.</w:t>
      </w:r>
      <w:r>
        <w:rPr>
          <w:rFonts w:ascii="David" w:hAnsi="David" w:cs="David" w:hint="cs"/>
          <w:sz w:val="24"/>
          <w:szCs w:val="24"/>
          <w:rtl/>
        </w:rPr>
        <w:t>"</w:t>
      </w:r>
      <w:r>
        <w:rPr>
          <w:rFonts w:ascii="David" w:hAnsi="David" w:cs="David"/>
          <w:sz w:val="24"/>
          <w:szCs w:val="24"/>
          <w:rtl/>
        </w:rPr>
        <w:t xml:space="preserve"> </w:t>
      </w:r>
    </w:p>
    <w:p w14:paraId="0313840D" w14:textId="77777777" w:rsidR="00916C93" w:rsidRDefault="00916C93" w:rsidP="00916C93">
      <w:pPr>
        <w:bidi/>
        <w:spacing w:line="360" w:lineRule="auto"/>
        <w:ind w:right="-101"/>
        <w:jc w:val="both"/>
        <w:rPr>
          <w:rFonts w:ascii="David" w:hAnsi="David" w:cs="David"/>
          <w:sz w:val="24"/>
          <w:szCs w:val="24"/>
          <w:rtl/>
        </w:rPr>
      </w:pPr>
    </w:p>
    <w:p w14:paraId="1EBD92DC" w14:textId="77777777" w:rsidR="00BF0B25" w:rsidRPr="00286117" w:rsidRDefault="00BF0B25" w:rsidP="00BF0B25">
      <w:pPr>
        <w:bidi/>
        <w:spacing w:line="360" w:lineRule="auto"/>
        <w:ind w:right="-101"/>
        <w:jc w:val="both"/>
        <w:rPr>
          <w:rFonts w:ascii="David" w:hAnsi="David" w:cs="David"/>
          <w:b/>
          <w:bCs/>
          <w:sz w:val="24"/>
          <w:szCs w:val="24"/>
          <w:rtl/>
        </w:rPr>
      </w:pPr>
      <w:r w:rsidRPr="00286117">
        <w:rPr>
          <w:rFonts w:ascii="David" w:hAnsi="David" w:cs="David" w:hint="cs"/>
          <w:b/>
          <w:bCs/>
          <w:sz w:val="24"/>
          <w:szCs w:val="24"/>
          <w:rtl/>
        </w:rPr>
        <w:t>פירוט הצעדים:</w:t>
      </w:r>
    </w:p>
    <w:p w14:paraId="69B7B4E0" w14:textId="362F261C" w:rsidR="00445B2D" w:rsidRDefault="00BF0B25" w:rsidP="007A1261">
      <w:pPr>
        <w:bidi/>
        <w:spacing w:line="360" w:lineRule="auto"/>
        <w:ind w:right="-101"/>
        <w:jc w:val="both"/>
        <w:rPr>
          <w:rFonts w:ascii="David" w:hAnsi="David" w:cs="David"/>
          <w:sz w:val="24"/>
          <w:szCs w:val="24"/>
          <w:rtl/>
        </w:rPr>
      </w:pPr>
      <w:r>
        <w:rPr>
          <w:rFonts w:ascii="David" w:hAnsi="David" w:cs="David" w:hint="cs"/>
          <w:sz w:val="24"/>
          <w:szCs w:val="24"/>
          <w:rtl/>
        </w:rPr>
        <w:t xml:space="preserve">1. </w:t>
      </w:r>
      <w:r w:rsidR="00DE4461">
        <w:rPr>
          <w:rFonts w:ascii="David" w:hAnsi="David" w:cs="David" w:hint="cs"/>
          <w:sz w:val="24"/>
          <w:szCs w:val="24"/>
          <w:rtl/>
        </w:rPr>
        <w:t xml:space="preserve">הטיוטה </w:t>
      </w:r>
      <w:r w:rsidR="00A7198F">
        <w:rPr>
          <w:rFonts w:ascii="David" w:hAnsi="David" w:cs="David" w:hint="cs"/>
          <w:sz w:val="24"/>
          <w:szCs w:val="24"/>
          <w:rtl/>
        </w:rPr>
        <w:t xml:space="preserve">הראשונה </w:t>
      </w:r>
      <w:r w:rsidR="00A7198F" w:rsidRPr="00286117">
        <w:rPr>
          <w:rFonts w:ascii="David" w:hAnsi="David" w:cs="David" w:hint="cs"/>
          <w:sz w:val="24"/>
          <w:szCs w:val="24"/>
          <w:rtl/>
        </w:rPr>
        <w:t>היא עדכון להוראה</w:t>
      </w:r>
      <w:r w:rsidR="00DE4461" w:rsidRPr="00286117">
        <w:rPr>
          <w:rFonts w:ascii="David" w:hAnsi="David" w:cs="David" w:hint="cs"/>
          <w:sz w:val="24"/>
          <w:szCs w:val="24"/>
          <w:rtl/>
        </w:rPr>
        <w:t xml:space="preserve"> </w:t>
      </w:r>
      <w:r w:rsidR="007A1261" w:rsidRPr="00286117">
        <w:rPr>
          <w:rFonts w:ascii="David" w:hAnsi="David" w:cs="David" w:hint="cs"/>
          <w:sz w:val="24"/>
          <w:szCs w:val="24"/>
          <w:rtl/>
        </w:rPr>
        <w:t>מספר 417</w:t>
      </w:r>
      <w:r w:rsidR="00A7198F" w:rsidRPr="00286117">
        <w:rPr>
          <w:rFonts w:ascii="David" w:hAnsi="David" w:cs="David" w:hint="cs"/>
          <w:sz w:val="24"/>
          <w:szCs w:val="24"/>
          <w:rtl/>
        </w:rPr>
        <w:t xml:space="preserve"> </w:t>
      </w:r>
      <w:r w:rsidR="00A5739B" w:rsidRPr="00286117">
        <w:rPr>
          <w:rFonts w:ascii="David" w:hAnsi="David" w:cs="David" w:hint="cs"/>
          <w:sz w:val="24"/>
          <w:szCs w:val="24"/>
          <w:rtl/>
        </w:rPr>
        <w:t>"</w:t>
      </w:r>
      <w:r w:rsidR="00D1664C" w:rsidRPr="00286117">
        <w:rPr>
          <w:rFonts w:ascii="David" w:hAnsi="David" w:cs="David" w:hint="cs"/>
          <w:sz w:val="24"/>
          <w:szCs w:val="24"/>
          <w:rtl/>
        </w:rPr>
        <w:t>פעילות תאגיד</w:t>
      </w:r>
      <w:r w:rsidR="00D1664C">
        <w:rPr>
          <w:rFonts w:ascii="David" w:hAnsi="David" w:cs="David" w:hint="cs"/>
          <w:sz w:val="24"/>
          <w:szCs w:val="24"/>
          <w:rtl/>
        </w:rPr>
        <w:t xml:space="preserve"> בנקאי ב</w:t>
      </w:r>
      <w:r w:rsidR="00A5739B">
        <w:rPr>
          <w:rFonts w:ascii="David" w:hAnsi="David" w:cs="David" w:hint="cs"/>
          <w:sz w:val="24"/>
          <w:szCs w:val="24"/>
          <w:rtl/>
        </w:rPr>
        <w:t>מערכת סגורה"</w:t>
      </w:r>
      <w:r w:rsidR="00445B2D">
        <w:rPr>
          <w:rFonts w:ascii="David" w:hAnsi="David" w:cs="David" w:hint="cs"/>
          <w:sz w:val="24"/>
          <w:szCs w:val="24"/>
          <w:rtl/>
        </w:rPr>
        <w:t xml:space="preserve">. המערכת הסגורה מאפשרת הפקדת פיקדון בתאגיד בנקאי בו לא מנוהלת פעילותו הבנקאית השוטפת של הלקוח, בקלות רבה יותר. עדכון ההוראה </w:t>
      </w:r>
      <w:r w:rsidR="00A5739B">
        <w:rPr>
          <w:rFonts w:ascii="David" w:hAnsi="David" w:cs="David" w:hint="cs"/>
          <w:sz w:val="24"/>
          <w:szCs w:val="24"/>
          <w:rtl/>
        </w:rPr>
        <w:t>נועד</w:t>
      </w:r>
      <w:r w:rsidR="00A5739B" w:rsidRPr="00A5739B">
        <w:rPr>
          <w:rFonts w:ascii="David" w:hAnsi="David" w:cs="David"/>
          <w:sz w:val="24"/>
          <w:szCs w:val="24"/>
          <w:rtl/>
        </w:rPr>
        <w:t xml:space="preserve"> לשפר את המערכת הסגורה</w:t>
      </w:r>
      <w:r w:rsidR="00087453">
        <w:rPr>
          <w:rFonts w:ascii="David" w:hAnsi="David" w:cs="David" w:hint="cs"/>
          <w:sz w:val="24"/>
          <w:szCs w:val="24"/>
          <w:rtl/>
        </w:rPr>
        <w:t>,</w:t>
      </w:r>
      <w:r w:rsidR="00A5739B" w:rsidRPr="00A5739B">
        <w:rPr>
          <w:rFonts w:ascii="David" w:hAnsi="David" w:cs="David"/>
          <w:sz w:val="24"/>
          <w:szCs w:val="24"/>
          <w:rtl/>
        </w:rPr>
        <w:t xml:space="preserve"> ולעודד תאגידים בנקאיים לעשות בה שימוש</w:t>
      </w:r>
      <w:r w:rsidR="00DE4461">
        <w:rPr>
          <w:rFonts w:ascii="David" w:hAnsi="David" w:cs="David" w:hint="cs"/>
          <w:sz w:val="24"/>
          <w:szCs w:val="24"/>
          <w:rtl/>
        </w:rPr>
        <w:t xml:space="preserve"> גדול יותר</w:t>
      </w:r>
      <w:r w:rsidR="00A5739B">
        <w:rPr>
          <w:rFonts w:ascii="David" w:hAnsi="David" w:cs="David" w:hint="cs"/>
          <w:sz w:val="24"/>
          <w:szCs w:val="24"/>
          <w:rtl/>
        </w:rPr>
        <w:t xml:space="preserve">. </w:t>
      </w:r>
    </w:p>
    <w:p w14:paraId="47A2D3A2" w14:textId="77777777" w:rsidR="00445B2D" w:rsidRDefault="00445B2D" w:rsidP="00445B2D">
      <w:pPr>
        <w:pStyle w:val="af6"/>
        <w:tabs>
          <w:tab w:val="left" w:pos="389"/>
          <w:tab w:val="left" w:pos="658"/>
        </w:tabs>
        <w:contextualSpacing/>
        <w:rPr>
          <w:rFonts w:ascii="David" w:eastAsia="Segoe UI" w:hAnsi="David"/>
          <w:sz w:val="24"/>
          <w:rtl/>
          <w:lang w:bidi="he"/>
        </w:rPr>
      </w:pPr>
      <w:r>
        <w:rPr>
          <w:rFonts w:ascii="David" w:hAnsi="David" w:hint="cs"/>
          <w:sz w:val="24"/>
          <w:rtl/>
        </w:rPr>
        <w:t>במסגרת עדכון הוראת "המערכת הסגורה"</w:t>
      </w:r>
      <w:r w:rsidRPr="00A5739B">
        <w:rPr>
          <w:rFonts w:ascii="David" w:hAnsi="David"/>
          <w:sz w:val="24"/>
          <w:rtl/>
          <w:lang w:bidi="he"/>
        </w:rPr>
        <w:t xml:space="preserve">, </w:t>
      </w:r>
      <w:r w:rsidRPr="00A5739B">
        <w:rPr>
          <w:rFonts w:ascii="David" w:hAnsi="David"/>
          <w:sz w:val="24"/>
          <w:rtl/>
        </w:rPr>
        <w:t>הוסר החסם המחייב להחזיר כספים לחשבון המקור בתום תקופה ונקבע כי לבקשת לקוח ניתן להותיר את הכספים לצורך הפקדתם לתקופה נוספת</w:t>
      </w:r>
      <w:r w:rsidRPr="00A5739B">
        <w:rPr>
          <w:rFonts w:ascii="David" w:hAnsi="David"/>
          <w:sz w:val="24"/>
          <w:rtl/>
          <w:lang w:bidi="he"/>
        </w:rPr>
        <w:t xml:space="preserve">. </w:t>
      </w:r>
      <w:r w:rsidRPr="00A5739B">
        <w:rPr>
          <w:rFonts w:ascii="David" w:hAnsi="David"/>
          <w:sz w:val="24"/>
          <w:rtl/>
        </w:rPr>
        <w:t>כמו כן</w:t>
      </w:r>
      <w:r w:rsidRPr="00A5739B">
        <w:rPr>
          <w:rFonts w:ascii="David" w:hAnsi="David"/>
          <w:sz w:val="24"/>
          <w:rtl/>
          <w:lang w:bidi="he"/>
        </w:rPr>
        <w:t xml:space="preserve">, </w:t>
      </w:r>
      <w:r w:rsidRPr="00A5739B">
        <w:rPr>
          <w:rFonts w:ascii="David" w:hAnsi="David"/>
          <w:sz w:val="24"/>
          <w:rtl/>
        </w:rPr>
        <w:t>בוצעו התאמות נוספות שנועדו לעדכן את דרישות ההוראה ולייעל את תהליכי העבודה לאיתור לקוח במקרה שלא ניתן להחזיר את הכספים</w:t>
      </w:r>
      <w:r w:rsidRPr="00A5739B">
        <w:rPr>
          <w:rFonts w:ascii="David" w:hAnsi="David"/>
          <w:sz w:val="24"/>
          <w:rtl/>
          <w:lang w:bidi="he"/>
        </w:rPr>
        <w:t>.</w:t>
      </w:r>
      <w:r>
        <w:rPr>
          <w:rFonts w:ascii="David" w:eastAsia="Segoe UI" w:hAnsi="David" w:hint="cs"/>
          <w:sz w:val="24"/>
          <w:rtl/>
        </w:rPr>
        <w:t xml:space="preserve"> זאת על מנת להקל על תאגידים בנקאיים שיהיו מעוניינים לעשות שימוש במערכת בעתיד</w:t>
      </w:r>
      <w:r>
        <w:rPr>
          <w:rFonts w:ascii="David" w:eastAsia="Segoe UI" w:hAnsi="David" w:hint="cs"/>
          <w:sz w:val="24"/>
          <w:rtl/>
          <w:lang w:bidi="he"/>
        </w:rPr>
        <w:t>.</w:t>
      </w:r>
    </w:p>
    <w:p w14:paraId="4C9DDB06" w14:textId="77777777" w:rsidR="00445B2D" w:rsidRDefault="00445B2D" w:rsidP="00445B2D">
      <w:pPr>
        <w:bidi/>
        <w:spacing w:line="360" w:lineRule="auto"/>
        <w:ind w:right="-101"/>
        <w:jc w:val="both"/>
        <w:rPr>
          <w:rFonts w:ascii="David" w:hAnsi="David" w:cs="David"/>
          <w:sz w:val="24"/>
          <w:szCs w:val="24"/>
          <w:rtl/>
          <w:lang w:bidi="he"/>
        </w:rPr>
      </w:pPr>
    </w:p>
    <w:p w14:paraId="5EE8419B" w14:textId="28C7573C" w:rsidR="00445B2D" w:rsidRDefault="00BF0B25" w:rsidP="00DE4461">
      <w:pPr>
        <w:bidi/>
        <w:spacing w:line="360" w:lineRule="auto"/>
        <w:ind w:right="-101"/>
        <w:jc w:val="both"/>
        <w:rPr>
          <w:rFonts w:ascii="David" w:eastAsia="Segoe UI" w:hAnsi="David" w:cs="David"/>
          <w:sz w:val="24"/>
          <w:szCs w:val="24"/>
          <w:rtl/>
        </w:rPr>
      </w:pPr>
      <w:r>
        <w:rPr>
          <w:rFonts w:ascii="David" w:hAnsi="David" w:cs="David" w:hint="cs"/>
          <w:sz w:val="24"/>
          <w:szCs w:val="24"/>
          <w:rtl/>
        </w:rPr>
        <w:t xml:space="preserve">2. </w:t>
      </w:r>
      <w:r w:rsidR="00DE4461">
        <w:rPr>
          <w:rFonts w:ascii="David" w:hAnsi="David" w:cs="David" w:hint="cs"/>
          <w:sz w:val="24"/>
          <w:szCs w:val="24"/>
          <w:rtl/>
        </w:rPr>
        <w:t xml:space="preserve">הטיוטה </w:t>
      </w:r>
      <w:r w:rsidR="00A5739B">
        <w:rPr>
          <w:rFonts w:ascii="David" w:hAnsi="David" w:cs="David" w:hint="cs"/>
          <w:sz w:val="24"/>
          <w:szCs w:val="24"/>
          <w:rtl/>
        </w:rPr>
        <w:t xml:space="preserve">השנייה היא </w:t>
      </w:r>
      <w:r w:rsidR="00B97D3C" w:rsidRPr="00102506">
        <w:rPr>
          <w:rFonts w:ascii="David" w:hAnsi="David" w:cs="David"/>
          <w:sz w:val="24"/>
          <w:szCs w:val="24"/>
          <w:rtl/>
        </w:rPr>
        <w:t xml:space="preserve">הוראה חדשה </w:t>
      </w:r>
      <w:r w:rsidR="00D1664C">
        <w:rPr>
          <w:rFonts w:ascii="David" w:hAnsi="David" w:cs="David" w:hint="cs"/>
          <w:sz w:val="24"/>
          <w:szCs w:val="24"/>
          <w:rtl/>
        </w:rPr>
        <w:t xml:space="preserve">בנושא "פרסום שיעורי ריבית על פיקדונות ועל יתרות זכות בחשבון", </w:t>
      </w:r>
      <w:r w:rsidR="00B97D3C" w:rsidRPr="00102506">
        <w:rPr>
          <w:rFonts w:ascii="David" w:hAnsi="David" w:cs="David"/>
          <w:sz w:val="24"/>
          <w:szCs w:val="24"/>
          <w:rtl/>
        </w:rPr>
        <w:t xml:space="preserve">הכוללת </w:t>
      </w:r>
      <w:r w:rsidR="00B75C49">
        <w:rPr>
          <w:rFonts w:ascii="David" w:hAnsi="David" w:cs="David"/>
          <w:sz w:val="24"/>
          <w:szCs w:val="24"/>
          <w:rtl/>
        </w:rPr>
        <w:t>הנחיות למערכת הבנק</w:t>
      </w:r>
      <w:r w:rsidR="00B75C49">
        <w:rPr>
          <w:rFonts w:ascii="David" w:hAnsi="David" w:cs="David" w:hint="cs"/>
          <w:sz w:val="24"/>
          <w:szCs w:val="24"/>
          <w:rtl/>
        </w:rPr>
        <w:t>אית</w:t>
      </w:r>
      <w:r w:rsidR="00B97D3C" w:rsidRPr="00102506">
        <w:rPr>
          <w:rFonts w:ascii="David" w:hAnsi="David" w:cs="David"/>
          <w:sz w:val="24"/>
          <w:szCs w:val="24"/>
          <w:rtl/>
        </w:rPr>
        <w:t xml:space="preserve"> בנוגע להצגת המידע על</w:t>
      </w:r>
      <w:r w:rsidR="00B97D3C" w:rsidRPr="00B97D3C">
        <w:rPr>
          <w:rFonts w:ascii="David" w:hAnsi="David" w:cs="David"/>
          <w:b/>
          <w:bCs/>
          <w:sz w:val="24"/>
          <w:szCs w:val="24"/>
          <w:rtl/>
        </w:rPr>
        <w:t xml:space="preserve"> </w:t>
      </w:r>
      <w:r w:rsidR="00B97D3C" w:rsidRPr="00B97D3C">
        <w:rPr>
          <w:rFonts w:ascii="David" w:eastAsia="Segoe UI" w:hAnsi="David" w:cs="David"/>
          <w:sz w:val="24"/>
          <w:szCs w:val="24"/>
          <w:rtl/>
        </w:rPr>
        <w:t xml:space="preserve">פיקדונות ועל יתרות זכות בחשבון. </w:t>
      </w:r>
    </w:p>
    <w:p w14:paraId="2F5A0062" w14:textId="77777777" w:rsidR="00A5739B" w:rsidRDefault="00A5739B" w:rsidP="00573C42">
      <w:pPr>
        <w:pStyle w:val="af6"/>
        <w:tabs>
          <w:tab w:val="left" w:pos="389"/>
          <w:tab w:val="left" w:pos="658"/>
        </w:tabs>
        <w:contextualSpacing/>
        <w:rPr>
          <w:rFonts w:ascii="David" w:eastAsia="Segoe UI" w:hAnsi="David"/>
          <w:sz w:val="24"/>
          <w:rtl/>
          <w:lang w:bidi="he"/>
        </w:rPr>
      </w:pPr>
    </w:p>
    <w:p w14:paraId="2ACD7416" w14:textId="5F2E926D" w:rsidR="00A5739B" w:rsidRDefault="00A5739B" w:rsidP="006E442E">
      <w:pPr>
        <w:pStyle w:val="af6"/>
        <w:tabs>
          <w:tab w:val="left" w:pos="389"/>
          <w:tab w:val="left" w:pos="658"/>
        </w:tabs>
        <w:contextualSpacing/>
        <w:rPr>
          <w:rFonts w:ascii="David" w:eastAsia="Segoe UI" w:hAnsi="David"/>
          <w:sz w:val="24"/>
          <w:rtl/>
        </w:rPr>
      </w:pPr>
      <w:r w:rsidRPr="00B75C49">
        <w:rPr>
          <w:rFonts w:ascii="David" w:hAnsi="David"/>
          <w:sz w:val="24"/>
          <w:rtl/>
        </w:rPr>
        <w:t xml:space="preserve">במסגרת </w:t>
      </w:r>
      <w:r w:rsidR="00B75C49" w:rsidRPr="00B75C49">
        <w:rPr>
          <w:rFonts w:ascii="David" w:hAnsi="David" w:hint="cs"/>
          <w:sz w:val="24"/>
          <w:rtl/>
        </w:rPr>
        <w:t xml:space="preserve">טיוטת </w:t>
      </w:r>
      <w:r w:rsidR="006E442E">
        <w:rPr>
          <w:rFonts w:ascii="David" w:hAnsi="David" w:hint="cs"/>
          <w:sz w:val="24"/>
          <w:rtl/>
        </w:rPr>
        <w:t>הוראה זו,</w:t>
      </w:r>
      <w:r w:rsidR="00B75C49">
        <w:rPr>
          <w:rFonts w:ascii="David" w:hAnsi="David" w:hint="cs"/>
          <w:sz w:val="24"/>
          <w:rtl/>
        </w:rPr>
        <w:t xml:space="preserve"> </w:t>
      </w:r>
      <w:r w:rsidRPr="00B97D3C">
        <w:rPr>
          <w:rFonts w:ascii="David" w:eastAsia="Segoe UI" w:hAnsi="David"/>
          <w:sz w:val="24"/>
          <w:rtl/>
        </w:rPr>
        <w:t>נקבעו כללים ומבנה אחיד להצגת המידע לציבור</w:t>
      </w:r>
      <w:r w:rsidR="00602789">
        <w:rPr>
          <w:rFonts w:ascii="David" w:eastAsia="Segoe UI" w:hAnsi="David" w:hint="cs"/>
          <w:sz w:val="24"/>
          <w:rtl/>
        </w:rPr>
        <w:t>,</w:t>
      </w:r>
      <w:r w:rsidR="00445B2D">
        <w:rPr>
          <w:rFonts w:ascii="David" w:eastAsia="Segoe UI" w:hAnsi="David" w:hint="cs"/>
          <w:sz w:val="24"/>
          <w:rtl/>
        </w:rPr>
        <w:t xml:space="preserve"> </w:t>
      </w:r>
      <w:r w:rsidRPr="00B97D3C">
        <w:rPr>
          <w:rFonts w:ascii="David" w:eastAsia="Segoe UI" w:hAnsi="David"/>
          <w:sz w:val="24"/>
          <w:rtl/>
        </w:rPr>
        <w:t>תוך הגברת השקיפות ופישוט הפרסום של שיעורי הריבית על פיקדונות ויתרות זכות בחשבון, באופן שיסייע ללקוחות לבצע השוואה בין מגוון הצעות הערך של התאגידים הבנקאיים השונים בתחום זה, וישפר את האפקטיביות והשימושיות של הצגת המידע</w:t>
      </w:r>
      <w:r w:rsidR="00602789">
        <w:rPr>
          <w:rFonts w:ascii="David" w:eastAsia="Segoe UI" w:hAnsi="David" w:hint="cs"/>
          <w:sz w:val="24"/>
          <w:rtl/>
        </w:rPr>
        <w:t xml:space="preserve"> וכך יוביל לעידוד התחרות בתחום הפיקדונות</w:t>
      </w:r>
      <w:r w:rsidRPr="00B97D3C">
        <w:rPr>
          <w:rFonts w:ascii="David" w:eastAsia="Segoe UI" w:hAnsi="David"/>
          <w:sz w:val="24"/>
          <w:rtl/>
        </w:rPr>
        <w:t xml:space="preserve">. </w:t>
      </w:r>
    </w:p>
    <w:p w14:paraId="18B450BE" w14:textId="77777777" w:rsidR="00286117" w:rsidRDefault="00286117" w:rsidP="006E442E">
      <w:pPr>
        <w:pStyle w:val="af6"/>
        <w:tabs>
          <w:tab w:val="left" w:pos="389"/>
          <w:tab w:val="left" w:pos="658"/>
        </w:tabs>
        <w:contextualSpacing/>
        <w:rPr>
          <w:rFonts w:ascii="David" w:eastAsia="Segoe UI" w:hAnsi="David"/>
          <w:sz w:val="24"/>
          <w:rtl/>
        </w:rPr>
      </w:pPr>
    </w:p>
    <w:p w14:paraId="27BEE905" w14:textId="525161CF" w:rsidR="00573C42" w:rsidRDefault="00B97D3C" w:rsidP="00456D61">
      <w:pPr>
        <w:pStyle w:val="af6"/>
        <w:tabs>
          <w:tab w:val="left" w:pos="389"/>
          <w:tab w:val="left" w:pos="658"/>
        </w:tabs>
        <w:contextualSpacing/>
        <w:rPr>
          <w:rFonts w:ascii="David" w:eastAsia="Segoe UI" w:hAnsi="David"/>
          <w:sz w:val="24"/>
          <w:rtl/>
          <w:lang w:eastAsia="en-US"/>
        </w:rPr>
      </w:pPr>
      <w:r w:rsidRPr="00B97D3C">
        <w:rPr>
          <w:rFonts w:ascii="David" w:eastAsia="Segoe UI" w:hAnsi="David"/>
          <w:sz w:val="24"/>
          <w:rtl/>
        </w:rPr>
        <w:t xml:space="preserve">בהתאם להוראה, תאגיד בנקאי יציג פרסום מרוכז לציבור </w:t>
      </w:r>
      <w:r w:rsidR="00573C42">
        <w:rPr>
          <w:rFonts w:ascii="David" w:eastAsia="Segoe UI" w:hAnsi="David" w:hint="cs"/>
          <w:sz w:val="24"/>
          <w:rtl/>
        </w:rPr>
        <w:t xml:space="preserve">הכולל </w:t>
      </w:r>
      <w:r w:rsidRPr="00B97D3C">
        <w:rPr>
          <w:rFonts w:ascii="David" w:eastAsia="Segoe UI" w:hAnsi="David"/>
          <w:sz w:val="24"/>
          <w:rtl/>
        </w:rPr>
        <w:t xml:space="preserve">את שיעורי הריבית בסוגי </w:t>
      </w:r>
      <w:r w:rsidR="00573C42">
        <w:rPr>
          <w:rFonts w:ascii="David" w:eastAsia="Segoe UI" w:hAnsi="David" w:hint="cs"/>
          <w:sz w:val="24"/>
          <w:rtl/>
        </w:rPr>
        <w:t>ה</w:t>
      </w:r>
      <w:r w:rsidRPr="00B97D3C">
        <w:rPr>
          <w:rFonts w:ascii="David" w:eastAsia="Segoe UI" w:hAnsi="David"/>
          <w:sz w:val="24"/>
          <w:rtl/>
        </w:rPr>
        <w:t xml:space="preserve">פיקדונות </w:t>
      </w:r>
      <w:r w:rsidR="00573C42">
        <w:rPr>
          <w:rFonts w:ascii="David" w:eastAsia="Segoe UI" w:hAnsi="David" w:hint="cs"/>
          <w:sz w:val="24"/>
          <w:rtl/>
        </w:rPr>
        <w:t>ה</w:t>
      </w:r>
      <w:r w:rsidRPr="00B97D3C">
        <w:rPr>
          <w:rFonts w:ascii="David" w:eastAsia="Segoe UI" w:hAnsi="David"/>
          <w:sz w:val="24"/>
          <w:rtl/>
        </w:rPr>
        <w:t>מקובלים שנקבעו בהוראה.</w:t>
      </w:r>
      <w:r w:rsidR="0067022D">
        <w:rPr>
          <w:rFonts w:ascii="David" w:eastAsia="Segoe UI" w:hAnsi="David" w:hint="cs"/>
          <w:sz w:val="24"/>
          <w:rtl/>
        </w:rPr>
        <w:t xml:space="preserve"> ככל שישנם</w:t>
      </w:r>
      <w:r w:rsidRPr="00B97D3C">
        <w:rPr>
          <w:rFonts w:ascii="David" w:eastAsia="Segoe UI" w:hAnsi="David"/>
          <w:sz w:val="24"/>
          <w:rtl/>
        </w:rPr>
        <w:t xml:space="preserve"> פיקדונות נוספים ש</w:t>
      </w:r>
      <w:r w:rsidR="00573C42">
        <w:rPr>
          <w:rFonts w:ascii="David" w:eastAsia="Segoe UI" w:hAnsi="David" w:hint="cs"/>
          <w:sz w:val="24"/>
          <w:rtl/>
        </w:rPr>
        <w:t>מוצעים</w:t>
      </w:r>
      <w:r w:rsidR="0067022D">
        <w:rPr>
          <w:rFonts w:ascii="David" w:eastAsia="Segoe UI" w:hAnsi="David" w:hint="cs"/>
          <w:sz w:val="24"/>
          <w:rtl/>
        </w:rPr>
        <w:t xml:space="preserve"> על ידי התאגיד הבנקאי, אלו</w:t>
      </w:r>
      <w:r w:rsidR="00573C42">
        <w:rPr>
          <w:rFonts w:ascii="David" w:eastAsia="Segoe UI" w:hAnsi="David" w:hint="cs"/>
          <w:sz w:val="24"/>
          <w:rtl/>
        </w:rPr>
        <w:t xml:space="preserve"> יוצגו בנפרד</w:t>
      </w:r>
      <w:r w:rsidRPr="00B97D3C">
        <w:rPr>
          <w:rFonts w:ascii="David" w:eastAsia="Segoe UI" w:hAnsi="David"/>
          <w:sz w:val="24"/>
          <w:rtl/>
        </w:rPr>
        <w:t xml:space="preserve">. </w:t>
      </w:r>
      <w:r w:rsidR="00573C42">
        <w:rPr>
          <w:rFonts w:ascii="David" w:eastAsia="Segoe UI" w:hAnsi="David" w:hint="cs"/>
          <w:sz w:val="24"/>
          <w:rtl/>
        </w:rPr>
        <w:t xml:space="preserve">בנוסף, </w:t>
      </w:r>
      <w:r w:rsidRPr="00B97D3C">
        <w:rPr>
          <w:rFonts w:ascii="David" w:eastAsia="Segoe UI" w:hAnsi="David"/>
          <w:sz w:val="24"/>
          <w:rtl/>
        </w:rPr>
        <w:t xml:space="preserve">קובעת ההוראה </w:t>
      </w:r>
      <w:r w:rsidR="00573C42">
        <w:rPr>
          <w:rFonts w:ascii="David" w:eastAsia="Segoe UI" w:hAnsi="David" w:hint="cs"/>
          <w:sz w:val="24"/>
          <w:rtl/>
        </w:rPr>
        <w:t>הנחיות שונות לצ</w:t>
      </w:r>
      <w:bookmarkStart w:id="0" w:name="_GoBack"/>
      <w:bookmarkEnd w:id="0"/>
      <w:r w:rsidR="00573C42">
        <w:rPr>
          <w:rFonts w:ascii="David" w:eastAsia="Segoe UI" w:hAnsi="David" w:hint="cs"/>
          <w:sz w:val="24"/>
          <w:rtl/>
        </w:rPr>
        <w:t xml:space="preserve">ורך הצגה אחידה של המידע </w:t>
      </w:r>
      <w:r w:rsidR="00573C42">
        <w:rPr>
          <w:rFonts w:ascii="David" w:eastAsia="Segoe UI" w:hAnsi="David"/>
          <w:sz w:val="24"/>
          <w:rtl/>
        </w:rPr>
        <w:t>–</w:t>
      </w:r>
      <w:r w:rsidR="00573C42">
        <w:rPr>
          <w:rFonts w:ascii="David" w:eastAsia="Segoe UI" w:hAnsi="David" w:hint="cs"/>
          <w:sz w:val="24"/>
          <w:rtl/>
        </w:rPr>
        <w:t xml:space="preserve"> כך למשל יש לציין כי המידע הוא לפני חישוב מס רווחי הון, נקבעו כללים לאופן הצגת ריבית משתנה ועוד.</w:t>
      </w:r>
      <w:r w:rsidR="00286117">
        <w:rPr>
          <w:rFonts w:ascii="David" w:eastAsia="Segoe UI" w:hAnsi="David" w:hint="cs"/>
          <w:sz w:val="24"/>
          <w:rtl/>
        </w:rPr>
        <w:t xml:space="preserve"> </w:t>
      </w:r>
      <w:r w:rsidR="00573C42">
        <w:rPr>
          <w:rFonts w:ascii="David" w:eastAsia="Segoe UI" w:hAnsi="David" w:hint="cs"/>
          <w:sz w:val="24"/>
          <w:rtl/>
        </w:rPr>
        <w:t>כמו כן, נקבע בהוראה כי על התאגידים הבנקאיים להציג במסגרת הפרסום הפנייה לכלי המידע ההשוואתי לריביות על פיקדונות המופיע באתר בנק ישראל</w:t>
      </w:r>
      <w:r w:rsidR="006F3AC2">
        <w:rPr>
          <w:rFonts w:ascii="David" w:eastAsia="Segoe UI" w:hAnsi="David" w:hint="cs"/>
          <w:sz w:val="24"/>
          <w:rtl/>
        </w:rPr>
        <w:t>,</w:t>
      </w:r>
      <w:r w:rsidR="00573C42">
        <w:rPr>
          <w:rFonts w:ascii="David" w:eastAsia="Segoe UI" w:hAnsi="David" w:hint="cs"/>
          <w:sz w:val="24"/>
          <w:rtl/>
        </w:rPr>
        <w:t xml:space="preserve"> </w:t>
      </w:r>
      <w:r w:rsidR="004B0599">
        <w:rPr>
          <w:rFonts w:ascii="David" w:eastAsia="Segoe UI" w:hAnsi="David" w:hint="cs"/>
          <w:sz w:val="24"/>
          <w:rtl/>
        </w:rPr>
        <w:t xml:space="preserve">כדי לסייע לציבור הרחב להשוות בקלות </w:t>
      </w:r>
      <w:r w:rsidR="004B0599">
        <w:rPr>
          <w:rFonts w:ascii="David" w:eastAsia="Segoe UI" w:hAnsi="David" w:hint="cs"/>
          <w:sz w:val="24"/>
          <w:rtl/>
          <w:lang w:eastAsia="en-US"/>
        </w:rPr>
        <w:t>בין שיעורי הריבית על פיקדונות שמציעים התאגידים הבנקאיים</w:t>
      </w:r>
      <w:r w:rsidR="00573C42">
        <w:rPr>
          <w:rFonts w:ascii="David" w:eastAsia="Segoe UI" w:hAnsi="David" w:hint="cs"/>
          <w:sz w:val="24"/>
          <w:rtl/>
          <w:lang w:eastAsia="en-US"/>
        </w:rPr>
        <w:t>.</w:t>
      </w:r>
      <w:r w:rsidR="00456D61">
        <w:rPr>
          <w:rFonts w:ascii="David" w:eastAsia="Segoe UI" w:hAnsi="David" w:hint="cs"/>
          <w:sz w:val="24"/>
          <w:rtl/>
          <w:lang w:eastAsia="en-US"/>
        </w:rPr>
        <w:t xml:space="preserve"> (ראו דוגמא להצגת המידע בטיוטת ההוראה).</w:t>
      </w:r>
    </w:p>
    <w:p w14:paraId="04BEA999" w14:textId="77777777" w:rsidR="00286117" w:rsidRDefault="00286117" w:rsidP="00286117">
      <w:pPr>
        <w:pStyle w:val="af6"/>
        <w:tabs>
          <w:tab w:val="left" w:pos="389"/>
          <w:tab w:val="left" w:pos="658"/>
        </w:tabs>
        <w:contextualSpacing/>
        <w:rPr>
          <w:rFonts w:ascii="David" w:eastAsia="Segoe UI" w:hAnsi="David"/>
          <w:sz w:val="24"/>
          <w:rtl/>
          <w:lang w:eastAsia="en-US"/>
        </w:rPr>
      </w:pPr>
    </w:p>
    <w:p w14:paraId="472C5843" w14:textId="2FF071B7" w:rsidR="00445B2D" w:rsidRDefault="006F3AC2" w:rsidP="00445B2D">
      <w:pPr>
        <w:bidi/>
        <w:spacing w:line="360" w:lineRule="auto"/>
        <w:ind w:right="-101"/>
        <w:jc w:val="both"/>
        <w:rPr>
          <w:rFonts w:ascii="David" w:eastAsia="Segoe UI" w:hAnsi="David" w:cs="David"/>
          <w:sz w:val="24"/>
          <w:szCs w:val="24"/>
          <w:rtl/>
        </w:rPr>
      </w:pPr>
      <w:r w:rsidRPr="0050283A">
        <w:rPr>
          <w:rFonts w:ascii="David" w:eastAsia="Segoe UI" w:hAnsi="David" w:cs="David" w:hint="cs"/>
          <w:sz w:val="24"/>
          <w:szCs w:val="24"/>
          <w:rtl/>
        </w:rPr>
        <w:t xml:space="preserve">לבסוף, נקבעה בהוראה </w:t>
      </w:r>
      <w:r w:rsidR="00B97D3C" w:rsidRPr="0050283A">
        <w:rPr>
          <w:rFonts w:ascii="David" w:eastAsia="Segoe UI" w:hAnsi="David" w:cs="David"/>
          <w:sz w:val="24"/>
          <w:szCs w:val="24"/>
          <w:rtl/>
        </w:rPr>
        <w:t>חובה להציע ללקוחות מנגנון חיפוש</w:t>
      </w:r>
      <w:r w:rsidRPr="0050283A">
        <w:rPr>
          <w:rFonts w:ascii="David" w:eastAsia="Segoe UI" w:hAnsi="David" w:cs="David" w:hint="cs"/>
          <w:sz w:val="24"/>
          <w:szCs w:val="24"/>
          <w:rtl/>
        </w:rPr>
        <w:t>,</w:t>
      </w:r>
      <w:r w:rsidR="00B97D3C" w:rsidRPr="0050283A">
        <w:rPr>
          <w:rFonts w:ascii="David" w:eastAsia="Segoe UI" w:hAnsi="David" w:cs="David"/>
          <w:sz w:val="24"/>
          <w:szCs w:val="24"/>
          <w:rtl/>
        </w:rPr>
        <w:t xml:space="preserve"> שיאפשר להם לקבל מידע ממוקד העונה על צרכיהם אודות סוגי הפיקדונות המוצעים</w:t>
      </w:r>
      <w:r w:rsidRPr="0050283A">
        <w:rPr>
          <w:rFonts w:ascii="David" w:eastAsia="Segoe UI" w:hAnsi="David" w:cs="David" w:hint="cs"/>
          <w:sz w:val="24"/>
          <w:szCs w:val="24"/>
          <w:rtl/>
        </w:rPr>
        <w:t>.</w:t>
      </w:r>
      <w:r w:rsidR="00573C42" w:rsidRPr="0050283A">
        <w:rPr>
          <w:rFonts w:ascii="David" w:eastAsia="Segoe UI" w:hAnsi="David" w:cs="David" w:hint="cs"/>
          <w:sz w:val="24"/>
          <w:szCs w:val="24"/>
          <w:rtl/>
        </w:rPr>
        <w:t xml:space="preserve"> זאת מתוך תפיסה</w:t>
      </w:r>
      <w:r w:rsidRPr="0050283A">
        <w:rPr>
          <w:rFonts w:ascii="David" w:eastAsia="Segoe UI" w:hAnsi="David" w:cs="David" w:hint="cs"/>
          <w:sz w:val="24"/>
          <w:szCs w:val="24"/>
          <w:rtl/>
        </w:rPr>
        <w:t>,</w:t>
      </w:r>
      <w:r w:rsidR="00573C42" w:rsidRPr="0050283A">
        <w:rPr>
          <w:rFonts w:ascii="David" w:eastAsia="Segoe UI" w:hAnsi="David" w:cs="David" w:hint="cs"/>
          <w:sz w:val="24"/>
          <w:szCs w:val="24"/>
          <w:rtl/>
        </w:rPr>
        <w:t xml:space="preserve"> שבעוד שלקוחות רבים ואף גופים המעניקים שירותי השוואת מחירים יוכלו להפיק תועלת מהפרסום המרוכז, ישנם לקוחות רבים אחרים אשר זקוקים לכלי שינגיש עבורם את המידע </w:t>
      </w:r>
      <w:r w:rsidR="00573C42" w:rsidRPr="00286117">
        <w:rPr>
          <w:rFonts w:ascii="David" w:eastAsia="Segoe UI" w:hAnsi="David" w:cs="David" w:hint="cs"/>
          <w:sz w:val="24"/>
          <w:szCs w:val="24"/>
          <w:rtl/>
        </w:rPr>
        <w:t>ויסייע להם להתאים את המוצר הנכון לצרכיהם</w:t>
      </w:r>
      <w:r w:rsidR="00B97D3C" w:rsidRPr="00286117">
        <w:rPr>
          <w:rFonts w:ascii="David" w:eastAsia="Segoe UI" w:hAnsi="David" w:cs="David"/>
          <w:sz w:val="24"/>
          <w:szCs w:val="24"/>
          <w:rtl/>
        </w:rPr>
        <w:t>.</w:t>
      </w:r>
      <w:r w:rsidR="00BF0B25" w:rsidRPr="00286117">
        <w:rPr>
          <w:rFonts w:ascii="David" w:eastAsia="Segoe UI" w:hAnsi="David" w:cs="David" w:hint="cs"/>
          <w:sz w:val="24"/>
          <w:szCs w:val="24"/>
          <w:rtl/>
        </w:rPr>
        <w:t xml:space="preserve"> נציין כי בנק ישראל הקים סביבה ייעודית להשוואת ריביות על פיקדונות ואשראי ומזמין את הציבור לעשות בה שימוש לצורך קבלת החלטות פיננסיות רלוונטיות. </w:t>
      </w:r>
      <w:hyperlink r:id="rId9" w:history="1">
        <w:r w:rsidR="00BF0B25" w:rsidRPr="00286117">
          <w:rPr>
            <w:rStyle w:val="Hyperlink"/>
            <w:rFonts w:ascii="David" w:eastAsia="Segoe UI" w:hAnsi="David" w:cs="David" w:hint="cs"/>
            <w:sz w:val="24"/>
            <w:szCs w:val="24"/>
            <w:rtl/>
          </w:rPr>
          <w:t>לינק ל"קו המשווה"</w:t>
        </w:r>
      </w:hyperlink>
      <w:r w:rsidR="00BF0B25" w:rsidRPr="00286117">
        <w:rPr>
          <w:rFonts w:ascii="David" w:eastAsia="Segoe UI" w:hAnsi="David" w:cs="David" w:hint="cs"/>
          <w:sz w:val="24"/>
          <w:szCs w:val="24"/>
          <w:rtl/>
        </w:rPr>
        <w:t>.</w:t>
      </w:r>
    </w:p>
    <w:p w14:paraId="57FDE55C" w14:textId="77777777" w:rsidR="00445B2D" w:rsidRPr="00445B2D" w:rsidRDefault="00445B2D" w:rsidP="006F3AC2">
      <w:pPr>
        <w:pStyle w:val="af6"/>
        <w:tabs>
          <w:tab w:val="left" w:pos="389"/>
          <w:tab w:val="left" w:pos="658"/>
        </w:tabs>
        <w:contextualSpacing/>
        <w:rPr>
          <w:rFonts w:ascii="David" w:hAnsi="David"/>
          <w:sz w:val="24"/>
          <w:rtl/>
        </w:rPr>
      </w:pPr>
    </w:p>
    <w:sectPr w:rsidR="00445B2D" w:rsidRPr="00445B2D" w:rsidSect="00126FC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F3F3" w14:textId="77777777" w:rsidR="00C402DF" w:rsidRDefault="00C402DF" w:rsidP="00370D07">
      <w:pPr>
        <w:spacing w:after="0" w:line="240" w:lineRule="auto"/>
      </w:pPr>
      <w:r>
        <w:separator/>
      </w:r>
    </w:p>
  </w:endnote>
  <w:endnote w:type="continuationSeparator" w:id="0">
    <w:p w14:paraId="31DF9374" w14:textId="77777777" w:rsidR="00C402DF" w:rsidRDefault="00C402DF"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C139"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06"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C9E8"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73BD" w14:textId="77777777" w:rsidR="00C402DF" w:rsidRDefault="00C402DF" w:rsidP="00370D07">
      <w:pPr>
        <w:spacing w:after="0" w:line="240" w:lineRule="auto"/>
      </w:pPr>
      <w:r>
        <w:separator/>
      </w:r>
    </w:p>
  </w:footnote>
  <w:footnote w:type="continuationSeparator" w:id="0">
    <w:p w14:paraId="29BD4EB7" w14:textId="77777777" w:rsidR="00C402DF" w:rsidRDefault="00C402DF" w:rsidP="0037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4925"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269F"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6E49"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5"/>
  </w:num>
  <w:num w:numId="8">
    <w:abstractNumId w:val="10"/>
  </w:num>
  <w:num w:numId="9">
    <w:abstractNumId w:val="3"/>
  </w:num>
  <w:num w:numId="10">
    <w:abstractNumId w:val="1"/>
  </w:num>
  <w:num w:numId="11">
    <w:abstractNumId w:val="1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87453"/>
    <w:rsid w:val="00090CEB"/>
    <w:rsid w:val="000A6A6E"/>
    <w:rsid w:val="000C7A01"/>
    <w:rsid w:val="000E76E4"/>
    <w:rsid w:val="000F1A0B"/>
    <w:rsid w:val="000F1D07"/>
    <w:rsid w:val="001016FE"/>
    <w:rsid w:val="00102506"/>
    <w:rsid w:val="00126FC4"/>
    <w:rsid w:val="00142A1D"/>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0E39"/>
    <w:rsid w:val="001D3465"/>
    <w:rsid w:val="001D58A7"/>
    <w:rsid w:val="001E1870"/>
    <w:rsid w:val="001E3599"/>
    <w:rsid w:val="00215D83"/>
    <w:rsid w:val="002163F5"/>
    <w:rsid w:val="00242026"/>
    <w:rsid w:val="002603EC"/>
    <w:rsid w:val="002623B6"/>
    <w:rsid w:val="00286117"/>
    <w:rsid w:val="002B16CD"/>
    <w:rsid w:val="002E151C"/>
    <w:rsid w:val="002E3C61"/>
    <w:rsid w:val="00300CB7"/>
    <w:rsid w:val="00316D51"/>
    <w:rsid w:val="00321C49"/>
    <w:rsid w:val="0032484D"/>
    <w:rsid w:val="00343B6C"/>
    <w:rsid w:val="00355E7A"/>
    <w:rsid w:val="00357896"/>
    <w:rsid w:val="00370D07"/>
    <w:rsid w:val="00374B30"/>
    <w:rsid w:val="00397773"/>
    <w:rsid w:val="003B210A"/>
    <w:rsid w:val="003B34A7"/>
    <w:rsid w:val="003C495C"/>
    <w:rsid w:val="003C6BFE"/>
    <w:rsid w:val="003D0505"/>
    <w:rsid w:val="003D2E5E"/>
    <w:rsid w:val="003E0F97"/>
    <w:rsid w:val="003E3FE5"/>
    <w:rsid w:val="003E5033"/>
    <w:rsid w:val="003F0DC5"/>
    <w:rsid w:val="003F430A"/>
    <w:rsid w:val="004052CD"/>
    <w:rsid w:val="004077F3"/>
    <w:rsid w:val="004128CC"/>
    <w:rsid w:val="00420864"/>
    <w:rsid w:val="00433D3D"/>
    <w:rsid w:val="004357BF"/>
    <w:rsid w:val="00440E0B"/>
    <w:rsid w:val="004459DF"/>
    <w:rsid w:val="00445B2D"/>
    <w:rsid w:val="00447790"/>
    <w:rsid w:val="00456D61"/>
    <w:rsid w:val="004825B7"/>
    <w:rsid w:val="00491B11"/>
    <w:rsid w:val="00493D2B"/>
    <w:rsid w:val="00494F0A"/>
    <w:rsid w:val="004B0599"/>
    <w:rsid w:val="004B16C8"/>
    <w:rsid w:val="004B2831"/>
    <w:rsid w:val="004B2F58"/>
    <w:rsid w:val="004C02F2"/>
    <w:rsid w:val="004C68AC"/>
    <w:rsid w:val="004E59A2"/>
    <w:rsid w:val="004F21A9"/>
    <w:rsid w:val="0050283A"/>
    <w:rsid w:val="005147DD"/>
    <w:rsid w:val="00516734"/>
    <w:rsid w:val="00526658"/>
    <w:rsid w:val="00531721"/>
    <w:rsid w:val="00550B03"/>
    <w:rsid w:val="00550E16"/>
    <w:rsid w:val="00551EA2"/>
    <w:rsid w:val="005538F6"/>
    <w:rsid w:val="00555628"/>
    <w:rsid w:val="00567C02"/>
    <w:rsid w:val="00573C42"/>
    <w:rsid w:val="00581552"/>
    <w:rsid w:val="00581AD5"/>
    <w:rsid w:val="005901E6"/>
    <w:rsid w:val="005C7FF4"/>
    <w:rsid w:val="005D34AE"/>
    <w:rsid w:val="005D58C3"/>
    <w:rsid w:val="005D786D"/>
    <w:rsid w:val="005E437D"/>
    <w:rsid w:val="005F02AE"/>
    <w:rsid w:val="005F0D31"/>
    <w:rsid w:val="00602789"/>
    <w:rsid w:val="00602D10"/>
    <w:rsid w:val="006054D2"/>
    <w:rsid w:val="00632A68"/>
    <w:rsid w:val="0063611A"/>
    <w:rsid w:val="00646FE4"/>
    <w:rsid w:val="00651487"/>
    <w:rsid w:val="006525C5"/>
    <w:rsid w:val="0066144C"/>
    <w:rsid w:val="0066345C"/>
    <w:rsid w:val="0067022D"/>
    <w:rsid w:val="006868CD"/>
    <w:rsid w:val="006914D6"/>
    <w:rsid w:val="006967F2"/>
    <w:rsid w:val="006A738C"/>
    <w:rsid w:val="006B2669"/>
    <w:rsid w:val="006B2BFE"/>
    <w:rsid w:val="006B56E6"/>
    <w:rsid w:val="006C5E94"/>
    <w:rsid w:val="006D7172"/>
    <w:rsid w:val="006D7DC9"/>
    <w:rsid w:val="006E2179"/>
    <w:rsid w:val="006E352B"/>
    <w:rsid w:val="006E3FC7"/>
    <w:rsid w:val="006E442E"/>
    <w:rsid w:val="006F3AC2"/>
    <w:rsid w:val="00707D60"/>
    <w:rsid w:val="007246D6"/>
    <w:rsid w:val="007325B2"/>
    <w:rsid w:val="00736933"/>
    <w:rsid w:val="007369A3"/>
    <w:rsid w:val="00736CAB"/>
    <w:rsid w:val="007423DC"/>
    <w:rsid w:val="007472A4"/>
    <w:rsid w:val="00763D43"/>
    <w:rsid w:val="00767591"/>
    <w:rsid w:val="00773C34"/>
    <w:rsid w:val="0077460F"/>
    <w:rsid w:val="00782752"/>
    <w:rsid w:val="007A1261"/>
    <w:rsid w:val="007A26AA"/>
    <w:rsid w:val="007B4595"/>
    <w:rsid w:val="007C635F"/>
    <w:rsid w:val="007D0A89"/>
    <w:rsid w:val="007F3DD5"/>
    <w:rsid w:val="007F59B9"/>
    <w:rsid w:val="00822C33"/>
    <w:rsid w:val="00832ED1"/>
    <w:rsid w:val="00836EA3"/>
    <w:rsid w:val="00844F43"/>
    <w:rsid w:val="008761A6"/>
    <w:rsid w:val="008852D3"/>
    <w:rsid w:val="00885CB4"/>
    <w:rsid w:val="00893DC7"/>
    <w:rsid w:val="00894496"/>
    <w:rsid w:val="008A2E42"/>
    <w:rsid w:val="008E579E"/>
    <w:rsid w:val="008F659F"/>
    <w:rsid w:val="00905037"/>
    <w:rsid w:val="009071CA"/>
    <w:rsid w:val="009141E6"/>
    <w:rsid w:val="00916C93"/>
    <w:rsid w:val="009210DA"/>
    <w:rsid w:val="00927DB2"/>
    <w:rsid w:val="00933641"/>
    <w:rsid w:val="00936DC1"/>
    <w:rsid w:val="00945DF5"/>
    <w:rsid w:val="00952475"/>
    <w:rsid w:val="009539A7"/>
    <w:rsid w:val="009606F6"/>
    <w:rsid w:val="00977A1D"/>
    <w:rsid w:val="009B7CDE"/>
    <w:rsid w:val="009D6FAF"/>
    <w:rsid w:val="009E40B6"/>
    <w:rsid w:val="009F294C"/>
    <w:rsid w:val="00A022F1"/>
    <w:rsid w:val="00A50592"/>
    <w:rsid w:val="00A51AF0"/>
    <w:rsid w:val="00A5739B"/>
    <w:rsid w:val="00A57A65"/>
    <w:rsid w:val="00A61819"/>
    <w:rsid w:val="00A61ADD"/>
    <w:rsid w:val="00A7198F"/>
    <w:rsid w:val="00A76B72"/>
    <w:rsid w:val="00A9386F"/>
    <w:rsid w:val="00A95AEE"/>
    <w:rsid w:val="00AA1A89"/>
    <w:rsid w:val="00AA2054"/>
    <w:rsid w:val="00AA7E03"/>
    <w:rsid w:val="00AB1782"/>
    <w:rsid w:val="00AB18DC"/>
    <w:rsid w:val="00AC150F"/>
    <w:rsid w:val="00AC27A5"/>
    <w:rsid w:val="00B0105C"/>
    <w:rsid w:val="00B04FFC"/>
    <w:rsid w:val="00B13E51"/>
    <w:rsid w:val="00B23B1F"/>
    <w:rsid w:val="00B56B38"/>
    <w:rsid w:val="00B60BEF"/>
    <w:rsid w:val="00B63307"/>
    <w:rsid w:val="00B6379F"/>
    <w:rsid w:val="00B75C49"/>
    <w:rsid w:val="00B83381"/>
    <w:rsid w:val="00B97D3C"/>
    <w:rsid w:val="00BA24B9"/>
    <w:rsid w:val="00BB4381"/>
    <w:rsid w:val="00BD0BCF"/>
    <w:rsid w:val="00BF0B25"/>
    <w:rsid w:val="00C02C01"/>
    <w:rsid w:val="00C0427D"/>
    <w:rsid w:val="00C1576D"/>
    <w:rsid w:val="00C22C55"/>
    <w:rsid w:val="00C402DF"/>
    <w:rsid w:val="00C732F0"/>
    <w:rsid w:val="00C81487"/>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655E7"/>
    <w:rsid w:val="00D67AEC"/>
    <w:rsid w:val="00D834B0"/>
    <w:rsid w:val="00D87F8F"/>
    <w:rsid w:val="00D92289"/>
    <w:rsid w:val="00DB289B"/>
    <w:rsid w:val="00DC3378"/>
    <w:rsid w:val="00DC4FDF"/>
    <w:rsid w:val="00DC5042"/>
    <w:rsid w:val="00DD4C23"/>
    <w:rsid w:val="00DD5936"/>
    <w:rsid w:val="00DD64D0"/>
    <w:rsid w:val="00DE0687"/>
    <w:rsid w:val="00DE17FD"/>
    <w:rsid w:val="00DE4461"/>
    <w:rsid w:val="00DF0A2E"/>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information/bank-paymnts/financial-education/campains/boi-equato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39C4-5B4F-4B9A-AC85-42101A22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2580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2024-02-28T07:26:00Z</dcterms:created>
  <dcterms:modified xsi:type="dcterms:W3CDTF">2024-02-28T07:30:00Z</dcterms:modified>
</cp:coreProperties>
</file>