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5E28F6" w:rsidTr="00031A9D">
        <w:tc>
          <w:tcPr>
            <w:tcW w:w="3343"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b/>
                <w:bCs/>
                <w:rtl/>
              </w:rPr>
            </w:pPr>
            <w:r w:rsidRPr="005E28F6">
              <w:rPr>
                <w:rFonts w:asciiTheme="minorHAnsi" w:hAnsiTheme="minorHAnsi" w:cstheme="minorHAnsi"/>
                <w:b/>
                <w:bCs/>
                <w:rtl/>
              </w:rPr>
              <w:t>בנק ישראל</w:t>
            </w:r>
          </w:p>
          <w:p w:rsidR="00031A9D" w:rsidRPr="005E28F6" w:rsidRDefault="00031A9D"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CC57F4" w:rsidP="005E28F6">
            <w:pPr>
              <w:bidi/>
              <w:jc w:val="center"/>
              <w:rPr>
                <w:rFonts w:asciiTheme="minorHAnsi" w:hAnsiTheme="minorHAnsi" w:cstheme="minorHAnsi"/>
              </w:rPr>
            </w:pPr>
            <w:r>
              <w:rPr>
                <w:rFonts w:asciiTheme="minorHAnsi" w:hAnsiTheme="minorHAnsi" w:cstheme="minorHAnsi"/>
                <w:noProof/>
              </w:rPr>
              <w:drawing>
                <wp:inline distT="0" distB="0" distL="0" distR="0" wp14:anchorId="5F08C3AE">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202437">
              <w:rPr>
                <w:rFonts w:asciiTheme="minorHAnsi" w:hAnsiTheme="minorHAnsi" w:cstheme="minorHAnsi"/>
                <w:noProof/>
                <w:rtl/>
              </w:rPr>
              <w:t>‏ט"ז שבט, תשפ"ו</w:t>
            </w:r>
            <w:r w:rsidRPr="005E28F6">
              <w:rPr>
                <w:rFonts w:asciiTheme="minorHAnsi" w:hAnsiTheme="minorHAnsi" w:cstheme="minorHAnsi"/>
                <w:rtl/>
              </w:rPr>
              <w:fldChar w:fldCharType="end"/>
            </w:r>
          </w:p>
          <w:p w:rsidR="00031A9D" w:rsidRPr="005E28F6" w:rsidRDefault="00031A9D" w:rsidP="005E28F6">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202437">
              <w:rPr>
                <w:rFonts w:asciiTheme="minorHAnsi" w:hAnsiTheme="minorHAnsi" w:cstheme="minorHAnsi"/>
                <w:noProof/>
                <w:rtl/>
              </w:rPr>
              <w:t>‏3 פברואר, 2026</w:t>
            </w:r>
            <w:r w:rsidRPr="005E28F6">
              <w:rPr>
                <w:rFonts w:asciiTheme="minorHAnsi" w:hAnsiTheme="minorHAnsi" w:cstheme="minorHAnsi"/>
                <w:rtl/>
              </w:rPr>
              <w:fldChar w:fldCharType="end"/>
            </w:r>
          </w:p>
        </w:tc>
      </w:tr>
    </w:tbl>
    <w:p w:rsidR="00031A9D" w:rsidRPr="005E28F6" w:rsidRDefault="00031A9D" w:rsidP="005E28F6">
      <w:pPr>
        <w:bidi/>
        <w:rPr>
          <w:rFonts w:asciiTheme="minorHAnsi" w:hAnsiTheme="minorHAnsi" w:cstheme="minorHAnsi"/>
          <w:rtl/>
        </w:rPr>
      </w:pPr>
    </w:p>
    <w:p w:rsidR="005E28F6" w:rsidRDefault="005E28F6" w:rsidP="005E28F6">
      <w:pPr>
        <w:bidi/>
        <w:spacing w:line="360" w:lineRule="auto"/>
        <w:rPr>
          <w:rFonts w:asciiTheme="minorHAnsi" w:hAnsiTheme="minorHAnsi" w:cstheme="minorHAnsi"/>
          <w:rtl/>
        </w:rPr>
      </w:pPr>
      <w:r w:rsidRPr="005E28F6">
        <w:rPr>
          <w:rFonts w:asciiTheme="minorHAnsi" w:hAnsiTheme="minorHAnsi" w:cstheme="minorHAnsi"/>
          <w:rtl/>
        </w:rPr>
        <w:t>הודעה לעיתונות</w:t>
      </w:r>
      <w:r w:rsidRPr="005E28F6">
        <w:rPr>
          <w:rFonts w:asciiTheme="minorHAnsi" w:hAnsiTheme="minorHAnsi" w:cstheme="minorHAnsi"/>
        </w:rPr>
        <w:t>:</w:t>
      </w:r>
    </w:p>
    <w:p w:rsidR="00202437" w:rsidRPr="00202437" w:rsidRDefault="00202437" w:rsidP="00202437">
      <w:pPr>
        <w:pStyle w:val="af3"/>
        <w:pBdr>
          <w:bottom w:val="none" w:sz="0" w:space="0" w:color="auto"/>
        </w:pBdr>
        <w:bidi/>
        <w:spacing w:line="360" w:lineRule="auto"/>
        <w:jc w:val="center"/>
        <w:rPr>
          <w:rFonts w:asciiTheme="minorHAnsi" w:hAnsiTheme="minorHAnsi" w:cstheme="minorHAnsi"/>
          <w:color w:val="auto"/>
          <w:sz w:val="28"/>
          <w:szCs w:val="28"/>
          <w:rtl/>
        </w:rPr>
      </w:pPr>
      <w:r w:rsidRPr="00202437">
        <w:rPr>
          <w:rFonts w:asciiTheme="minorHAnsi" w:hAnsiTheme="minorHAnsi" w:cstheme="minorHAnsi"/>
          <w:b/>
          <w:bCs/>
          <w:color w:val="auto"/>
          <w:sz w:val="28"/>
          <w:szCs w:val="28"/>
          <w:rtl/>
        </w:rPr>
        <w:t xml:space="preserve">המסחר בשוק מטבע החוץ ברבעון הרביעי של שנת 2025 </w:t>
      </w:r>
    </w:p>
    <w:p w:rsidR="00202437" w:rsidRPr="00202437" w:rsidRDefault="00202437" w:rsidP="00202437">
      <w:pPr>
        <w:pStyle w:val="1"/>
        <w:bidi/>
        <w:spacing w:line="360" w:lineRule="auto"/>
        <w:rPr>
          <w:rFonts w:asciiTheme="minorHAnsi" w:eastAsia="Times New Roman" w:hAnsiTheme="minorHAnsi" w:cstheme="minorHAnsi"/>
          <w:color w:val="FF0000"/>
          <w:sz w:val="24"/>
          <w:szCs w:val="24"/>
          <w:rtl/>
        </w:rPr>
      </w:pPr>
      <w:r w:rsidRPr="00202437">
        <w:rPr>
          <w:rFonts w:asciiTheme="minorHAnsi" w:eastAsia="Times New Roman" w:hAnsiTheme="minorHAnsi" w:cstheme="minorHAnsi"/>
          <w:color w:val="1F497D" w:themeColor="text2"/>
          <w:sz w:val="24"/>
          <w:szCs w:val="24"/>
          <w:rtl/>
        </w:rPr>
        <w:t>התפתחות שער החליפין – התחזקות השקל על רקע מגמה מעורבת של הדולר בעולם</w:t>
      </w:r>
    </w:p>
    <w:p w:rsidR="00202437" w:rsidRPr="00202437" w:rsidRDefault="00202437" w:rsidP="00202437">
      <w:pPr>
        <w:pStyle w:val="NormalWeb"/>
        <w:bidi/>
        <w:spacing w:line="360" w:lineRule="auto"/>
        <w:rPr>
          <w:rFonts w:asciiTheme="minorHAnsi" w:hAnsiTheme="minorHAnsi" w:cstheme="minorHAnsi"/>
          <w:color w:val="000000" w:themeColor="text1"/>
          <w:lang w:eastAsia="he-IL"/>
        </w:rPr>
      </w:pPr>
      <w:r w:rsidRPr="00202437">
        <w:rPr>
          <w:rFonts w:asciiTheme="minorHAnsi" w:hAnsiTheme="minorHAnsi" w:cstheme="minorHAnsi"/>
          <w:color w:val="000000" w:themeColor="text1"/>
          <w:rtl/>
          <w:lang w:eastAsia="he-IL"/>
        </w:rPr>
        <w:t xml:space="preserve">במהלך הרבעון הרביעי של שנת 2025, השקל התחזק מול הדולר והאירו בכ-3.5%. כמו כן, השקל התחזק בשיעור דומה מול מטבעות שותפות הסחר העיקריות של ישראל, כפי שמשוקלל במדד שער החליפין הנומינאלי האפקטיבי.  </w:t>
      </w:r>
    </w:p>
    <w:p w:rsidR="00202437" w:rsidRPr="00202437" w:rsidRDefault="00202437" w:rsidP="00202437">
      <w:pPr>
        <w:pStyle w:val="NormalWeb"/>
        <w:bidi/>
        <w:spacing w:line="360" w:lineRule="auto"/>
        <w:rPr>
          <w:rFonts w:asciiTheme="minorHAnsi" w:hAnsiTheme="minorHAnsi" w:cstheme="minorHAnsi"/>
          <w:color w:val="000000" w:themeColor="text1"/>
          <w:rtl/>
          <w:lang w:eastAsia="he-IL"/>
        </w:rPr>
      </w:pPr>
      <w:r w:rsidRPr="00202437">
        <w:rPr>
          <w:rFonts w:asciiTheme="minorHAnsi" w:hAnsiTheme="minorHAnsi" w:cstheme="minorHAnsi"/>
          <w:color w:val="000000" w:themeColor="text1"/>
          <w:rtl/>
          <w:lang w:eastAsia="he-IL"/>
        </w:rPr>
        <w:t>במהלך הרבעון נרשמה מגמה מעורבת בדולר מול רוב המטבעות העיקריים בעולם (תרשים 2). בין היתר התחזק הדולר בכ-6.2% מול היין היפני, 0.2% מול האירו ובכ-0.1% מול הפאונד הבריטי, בעוד שנחלש בכ-1.4% מול הדולר הקנדי.</w:t>
      </w:r>
    </w:p>
    <w:p w:rsidR="00202437" w:rsidRPr="00202437" w:rsidRDefault="00202437" w:rsidP="00202437">
      <w:pPr>
        <w:bidi/>
        <w:spacing w:line="480" w:lineRule="auto"/>
        <w:ind w:right="-101"/>
        <w:jc w:val="both"/>
        <w:rPr>
          <w:rFonts w:asciiTheme="minorHAnsi" w:hAnsiTheme="minorHAnsi" w:cstheme="minorHAnsi"/>
          <w:noProof/>
          <w:color w:val="000000" w:themeColor="text1"/>
          <w:rtl/>
        </w:rPr>
      </w:pPr>
      <w:r w:rsidRPr="00202437">
        <w:rPr>
          <w:rFonts w:asciiTheme="minorHAnsi" w:hAnsiTheme="minorHAnsi" w:cstheme="minorHAnsi"/>
          <w:noProof/>
          <w:color w:val="000000" w:themeColor="text1"/>
        </w:rPr>
        <w:drawing>
          <wp:inline distT="0" distB="0" distL="0" distR="0" wp14:anchorId="51B19ECB" wp14:editId="2625C5A9">
            <wp:extent cx="5334635" cy="2402205"/>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635" cy="2402205"/>
                    </a:xfrm>
                    <a:prstGeom prst="rect">
                      <a:avLst/>
                    </a:prstGeom>
                    <a:noFill/>
                  </pic:spPr>
                </pic:pic>
              </a:graphicData>
            </a:graphic>
          </wp:inline>
        </w:drawing>
      </w:r>
    </w:p>
    <w:p w:rsidR="00202437" w:rsidRPr="00202437" w:rsidRDefault="00202437" w:rsidP="00202437">
      <w:pPr>
        <w:bidi/>
        <w:spacing w:line="480" w:lineRule="auto"/>
        <w:ind w:right="-101"/>
        <w:rPr>
          <w:rFonts w:asciiTheme="minorHAnsi" w:hAnsiTheme="minorHAnsi" w:cstheme="minorHAnsi"/>
          <w:color w:val="000000" w:themeColor="text1"/>
          <w:rtl/>
        </w:rPr>
      </w:pPr>
      <w:r w:rsidRPr="00202437">
        <w:rPr>
          <w:rFonts w:asciiTheme="minorHAnsi" w:hAnsiTheme="minorHAnsi" w:cstheme="minorHAnsi"/>
          <w:noProof/>
          <w:color w:val="000000" w:themeColor="text1"/>
        </w:rPr>
        <w:lastRenderedPageBreak/>
        <w:drawing>
          <wp:inline distT="0" distB="0" distL="0" distR="0" wp14:anchorId="121CBE29" wp14:editId="73B7F598">
            <wp:extent cx="5716905" cy="2628918"/>
            <wp:effectExtent l="0" t="0" r="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5743" cy="2632982"/>
                    </a:xfrm>
                    <a:prstGeom prst="rect">
                      <a:avLst/>
                    </a:prstGeom>
                    <a:noFill/>
                  </pic:spPr>
                </pic:pic>
              </a:graphicData>
            </a:graphic>
          </wp:inline>
        </w:drawing>
      </w:r>
    </w:p>
    <w:p w:rsidR="00202437" w:rsidRPr="00202437" w:rsidRDefault="00202437" w:rsidP="00202437">
      <w:pPr>
        <w:bidi/>
        <w:spacing w:line="360" w:lineRule="auto"/>
        <w:ind w:right="-101"/>
        <w:rPr>
          <w:rFonts w:asciiTheme="minorHAnsi" w:hAnsiTheme="minorHAnsi" w:cstheme="minorHAnsi"/>
          <w:color w:val="1F497D" w:themeColor="text2"/>
          <w:rtl/>
        </w:rPr>
      </w:pPr>
    </w:p>
    <w:p w:rsidR="00202437" w:rsidRPr="00202437" w:rsidRDefault="00202437" w:rsidP="00202437">
      <w:pPr>
        <w:bidi/>
        <w:spacing w:line="360" w:lineRule="auto"/>
        <w:ind w:right="-101"/>
        <w:rPr>
          <w:rFonts w:asciiTheme="minorHAnsi" w:hAnsiTheme="minorHAnsi" w:cstheme="minorHAnsi"/>
          <w:color w:val="1F497D" w:themeColor="text2"/>
          <w:rtl/>
        </w:rPr>
      </w:pPr>
    </w:p>
    <w:p w:rsidR="00202437" w:rsidRPr="00202437" w:rsidRDefault="00202437" w:rsidP="00202437">
      <w:pPr>
        <w:bidi/>
        <w:spacing w:line="360" w:lineRule="auto"/>
        <w:ind w:right="-101"/>
        <w:rPr>
          <w:rFonts w:asciiTheme="minorHAnsi" w:hAnsiTheme="minorHAnsi" w:cstheme="minorHAnsi"/>
          <w:color w:val="1F497D" w:themeColor="text2"/>
          <w:rtl/>
        </w:rPr>
      </w:pPr>
      <w:r w:rsidRPr="00202437">
        <w:rPr>
          <w:rFonts w:asciiTheme="minorHAnsi" w:hAnsiTheme="minorHAnsi" w:cstheme="minorHAnsi"/>
          <w:color w:val="1F497D" w:themeColor="text2"/>
          <w:rtl/>
        </w:rPr>
        <w:t>תנודתיות שע"ח –  ירידה בסטיית תקן בפועל במקביל לירידה בסטיית תקן הגלומה</w:t>
      </w:r>
    </w:p>
    <w:p w:rsidR="00202437" w:rsidRPr="00202437" w:rsidRDefault="00202437" w:rsidP="00202437">
      <w:pPr>
        <w:bidi/>
        <w:rPr>
          <w:rFonts w:asciiTheme="minorHAnsi" w:hAnsiTheme="minorHAnsi" w:cstheme="minorHAnsi"/>
          <w:color w:val="000000" w:themeColor="text1"/>
          <w:rtl/>
        </w:rPr>
      </w:pPr>
    </w:p>
    <w:p w:rsidR="00202437" w:rsidRPr="00202437" w:rsidRDefault="00202437" w:rsidP="00202437">
      <w:pPr>
        <w:bidi/>
        <w:spacing w:line="480" w:lineRule="auto"/>
        <w:ind w:right="-101"/>
        <w:jc w:val="both"/>
        <w:rPr>
          <w:rFonts w:asciiTheme="minorHAnsi" w:hAnsiTheme="minorHAnsi" w:cstheme="minorHAnsi"/>
          <w:color w:val="000000" w:themeColor="text1"/>
          <w:rtl/>
        </w:rPr>
      </w:pPr>
      <w:r w:rsidRPr="00202437">
        <w:rPr>
          <w:rFonts w:asciiTheme="minorHAnsi" w:hAnsiTheme="minorHAnsi" w:cstheme="minorHAnsi"/>
          <w:color w:val="000000" w:themeColor="text1"/>
          <w:rtl/>
        </w:rPr>
        <w:t xml:space="preserve">סטיית התקן בפועל של שער החליפין שקל/דולר – המציינת את התנודתיות </w:t>
      </w:r>
      <w:r w:rsidRPr="00202437">
        <w:rPr>
          <w:rFonts w:asciiTheme="minorHAnsi" w:hAnsiTheme="minorHAnsi" w:cstheme="minorHAnsi"/>
          <w:b/>
          <w:bCs/>
          <w:color w:val="000000" w:themeColor="text1"/>
          <w:rtl/>
        </w:rPr>
        <w:t>בפועל</w:t>
      </w:r>
      <w:r w:rsidRPr="00202437">
        <w:rPr>
          <w:rFonts w:asciiTheme="minorHAnsi" w:hAnsiTheme="minorHAnsi" w:cstheme="minorHAnsi"/>
          <w:color w:val="000000" w:themeColor="text1"/>
          <w:rtl/>
        </w:rPr>
        <w:t xml:space="preserve"> בשער החליפין – ירדה במהלך הרבעון ב-1.3 נקודות אחוז לרמה ממוצעת של 8.1%.</w:t>
      </w:r>
    </w:p>
    <w:p w:rsidR="00202437" w:rsidRPr="00202437" w:rsidRDefault="00202437" w:rsidP="00202437">
      <w:pPr>
        <w:bidi/>
        <w:spacing w:line="480" w:lineRule="auto"/>
        <w:ind w:right="-101"/>
        <w:rPr>
          <w:rFonts w:asciiTheme="minorHAnsi" w:hAnsiTheme="minorHAnsi" w:cstheme="minorHAnsi"/>
          <w:color w:val="000000" w:themeColor="text1"/>
          <w:rtl/>
        </w:rPr>
      </w:pPr>
      <w:r w:rsidRPr="00202437">
        <w:rPr>
          <w:rFonts w:asciiTheme="minorHAnsi" w:hAnsiTheme="minorHAnsi" w:cstheme="minorHAnsi"/>
          <w:color w:val="000000" w:themeColor="text1"/>
          <w:rtl/>
        </w:rPr>
        <w:t xml:space="preserve">סטיית התקן הגלומה באופציות על שער החליפין שקל/דולר 'מעבר לדלפק' – המציינת את התנודתיות </w:t>
      </w:r>
      <w:r w:rsidRPr="00202437">
        <w:rPr>
          <w:rFonts w:asciiTheme="minorHAnsi" w:hAnsiTheme="minorHAnsi" w:cstheme="minorHAnsi"/>
          <w:b/>
          <w:bCs/>
          <w:color w:val="000000" w:themeColor="text1"/>
          <w:rtl/>
        </w:rPr>
        <w:t>הצפויה</w:t>
      </w:r>
      <w:r w:rsidRPr="00202437">
        <w:rPr>
          <w:rFonts w:asciiTheme="minorHAnsi" w:hAnsiTheme="minorHAnsi" w:cstheme="minorHAnsi"/>
          <w:color w:val="000000" w:themeColor="text1"/>
          <w:rtl/>
        </w:rPr>
        <w:t xml:space="preserve"> בשער החליפין – ירדה ב-0.5 נקודות אחוז לרמה ממוצעת של 8.8%. זאת לצד רמתה הממוצעת של סטיית התקן הגלומה באופציות על מט"ח בשווקים מתעוררים שירדה ב- 1.0 נקודות אחוז ועמדה בסוף הרבעון על 8.6%</w:t>
      </w:r>
      <w:r w:rsidRPr="00202437">
        <w:rPr>
          <w:rFonts w:asciiTheme="minorHAnsi" w:hAnsiTheme="minorHAnsi" w:cstheme="minorHAnsi"/>
          <w:color w:val="000000" w:themeColor="text1"/>
        </w:rPr>
        <w:t>.</w:t>
      </w:r>
    </w:p>
    <w:p w:rsidR="00202437" w:rsidRPr="00202437" w:rsidRDefault="00202437" w:rsidP="00202437">
      <w:pPr>
        <w:bidi/>
        <w:spacing w:line="480" w:lineRule="auto"/>
        <w:ind w:right="-101"/>
        <w:jc w:val="both"/>
        <w:rPr>
          <w:rFonts w:asciiTheme="minorHAnsi" w:hAnsiTheme="minorHAnsi" w:cstheme="minorHAnsi"/>
          <w:color w:val="000000" w:themeColor="text1"/>
          <w:rtl/>
        </w:rPr>
      </w:pPr>
      <w:r w:rsidRPr="00202437">
        <w:rPr>
          <w:rFonts w:asciiTheme="minorHAnsi" w:hAnsiTheme="minorHAnsi" w:cstheme="minorHAnsi"/>
          <w:color w:val="000000" w:themeColor="text1"/>
          <w:rtl/>
        </w:rPr>
        <w:t>ירידה דומה נרשמה גם ברמתה הממוצעת של סטיית התקן בשווקים מפותחים והיא עמדה בסוף הרבעון על 7.0%</w:t>
      </w:r>
      <w:r w:rsidRPr="00202437">
        <w:rPr>
          <w:rFonts w:asciiTheme="minorHAnsi" w:hAnsiTheme="minorHAnsi" w:cstheme="minorHAnsi"/>
          <w:color w:val="000000" w:themeColor="text1"/>
        </w:rPr>
        <w:t xml:space="preserve"> </w:t>
      </w:r>
      <w:r w:rsidRPr="00202437">
        <w:rPr>
          <w:rFonts w:asciiTheme="minorHAnsi" w:hAnsiTheme="minorHAnsi" w:cstheme="minorHAnsi"/>
          <w:color w:val="000000" w:themeColor="text1"/>
          <w:rtl/>
        </w:rPr>
        <w:t xml:space="preserve"> (תרשים 4).</w:t>
      </w:r>
    </w:p>
    <w:p w:rsidR="00202437" w:rsidRPr="00202437" w:rsidRDefault="00202437" w:rsidP="00202437">
      <w:pPr>
        <w:bidi/>
        <w:jc w:val="center"/>
        <w:rPr>
          <w:rFonts w:asciiTheme="minorHAnsi" w:hAnsiTheme="minorHAnsi" w:cstheme="minorHAnsi"/>
          <w:noProof/>
          <w:rtl/>
        </w:rPr>
      </w:pPr>
      <w:r w:rsidRPr="00202437">
        <w:rPr>
          <w:rFonts w:asciiTheme="minorHAnsi" w:hAnsiTheme="minorHAnsi" w:cstheme="minorHAnsi"/>
          <w:noProof/>
        </w:rPr>
        <w:lastRenderedPageBreak/>
        <w:drawing>
          <wp:inline distT="0" distB="0" distL="0" distR="0" wp14:anchorId="7355CC17" wp14:editId="3D838292">
            <wp:extent cx="5499100" cy="2737485"/>
            <wp:effectExtent l="0" t="0" r="6350" b="5715"/>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9100" cy="2737485"/>
                    </a:xfrm>
                    <a:prstGeom prst="rect">
                      <a:avLst/>
                    </a:prstGeom>
                    <a:noFill/>
                  </pic:spPr>
                </pic:pic>
              </a:graphicData>
            </a:graphic>
          </wp:inline>
        </w:drawing>
      </w:r>
    </w:p>
    <w:p w:rsidR="00202437" w:rsidRPr="00202437" w:rsidRDefault="00202437" w:rsidP="00202437">
      <w:pPr>
        <w:spacing w:after="200" w:line="276" w:lineRule="auto"/>
        <w:rPr>
          <w:rFonts w:asciiTheme="minorHAnsi" w:hAnsiTheme="minorHAnsi" w:cstheme="minorHAnsi"/>
          <w:color w:val="1F497D" w:themeColor="text2"/>
        </w:rPr>
      </w:pPr>
    </w:p>
    <w:p w:rsidR="00193C13" w:rsidRDefault="00202437" w:rsidP="00193C13">
      <w:pPr>
        <w:spacing w:after="200" w:line="276" w:lineRule="auto"/>
        <w:jc w:val="center"/>
        <w:rPr>
          <w:rFonts w:asciiTheme="minorHAnsi" w:hAnsiTheme="minorHAnsi" w:cstheme="minorHAnsi"/>
          <w:color w:val="1F497D" w:themeColor="text2"/>
          <w:rtl/>
        </w:rPr>
      </w:pPr>
      <w:r w:rsidRPr="00202437">
        <w:rPr>
          <w:rFonts w:asciiTheme="minorHAnsi" w:hAnsiTheme="minorHAnsi" w:cstheme="minorHAnsi"/>
          <w:noProof/>
          <w:color w:val="1F497D" w:themeColor="text2"/>
        </w:rPr>
        <w:drawing>
          <wp:inline distT="0" distB="0" distL="0" distR="0" wp14:anchorId="7934EA63" wp14:editId="7E10BF83">
            <wp:extent cx="5435346" cy="2520191"/>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51898" cy="2527866"/>
                    </a:xfrm>
                    <a:prstGeom prst="rect">
                      <a:avLst/>
                    </a:prstGeom>
                    <a:noFill/>
                  </pic:spPr>
                </pic:pic>
              </a:graphicData>
            </a:graphic>
          </wp:inline>
        </w:drawing>
      </w:r>
    </w:p>
    <w:p w:rsidR="00193C13" w:rsidRDefault="00193C13" w:rsidP="00193C13">
      <w:pPr>
        <w:spacing w:after="200" w:line="276" w:lineRule="auto"/>
        <w:jc w:val="center"/>
        <w:rPr>
          <w:rFonts w:asciiTheme="minorHAnsi" w:hAnsiTheme="minorHAnsi" w:cstheme="minorHAnsi"/>
          <w:color w:val="1F497D" w:themeColor="text2"/>
          <w:rtl/>
        </w:rPr>
      </w:pPr>
    </w:p>
    <w:p w:rsidR="00193C13" w:rsidRDefault="00193C13" w:rsidP="00193C13">
      <w:pPr>
        <w:spacing w:after="200" w:line="276" w:lineRule="auto"/>
        <w:jc w:val="center"/>
        <w:rPr>
          <w:rFonts w:asciiTheme="minorHAnsi" w:hAnsiTheme="minorHAnsi" w:cstheme="minorHAnsi"/>
          <w:color w:val="1F497D" w:themeColor="text2"/>
          <w:rtl/>
        </w:rPr>
      </w:pPr>
    </w:p>
    <w:p w:rsidR="00193C13" w:rsidRDefault="00193C13" w:rsidP="00193C13">
      <w:pPr>
        <w:spacing w:after="200" w:line="276" w:lineRule="auto"/>
        <w:jc w:val="center"/>
        <w:rPr>
          <w:rFonts w:asciiTheme="minorHAnsi" w:hAnsiTheme="minorHAnsi" w:cstheme="minorHAnsi"/>
          <w:color w:val="1F497D" w:themeColor="text2"/>
          <w:rtl/>
        </w:rPr>
      </w:pPr>
    </w:p>
    <w:p w:rsidR="00193C13" w:rsidRDefault="00193C13" w:rsidP="00193C13">
      <w:pPr>
        <w:spacing w:after="200" w:line="276" w:lineRule="auto"/>
        <w:jc w:val="center"/>
        <w:rPr>
          <w:rFonts w:asciiTheme="minorHAnsi" w:hAnsiTheme="minorHAnsi" w:cstheme="minorHAnsi"/>
          <w:color w:val="1F497D" w:themeColor="text2"/>
          <w:rtl/>
        </w:rPr>
      </w:pPr>
    </w:p>
    <w:p w:rsidR="00193C13" w:rsidRDefault="00193C13" w:rsidP="00193C13">
      <w:pPr>
        <w:spacing w:after="200" w:line="276" w:lineRule="auto"/>
        <w:jc w:val="center"/>
        <w:rPr>
          <w:rFonts w:asciiTheme="minorHAnsi" w:hAnsiTheme="minorHAnsi" w:cstheme="minorHAnsi"/>
          <w:color w:val="1F497D" w:themeColor="text2"/>
          <w:rtl/>
        </w:rPr>
      </w:pPr>
    </w:p>
    <w:p w:rsidR="00193C13" w:rsidRDefault="00193C13" w:rsidP="00193C13">
      <w:pPr>
        <w:spacing w:after="200" w:line="276" w:lineRule="auto"/>
        <w:jc w:val="center"/>
        <w:rPr>
          <w:rFonts w:asciiTheme="minorHAnsi" w:hAnsiTheme="minorHAnsi" w:cstheme="minorHAnsi"/>
          <w:color w:val="1F497D" w:themeColor="text2"/>
          <w:rtl/>
        </w:rPr>
      </w:pPr>
    </w:p>
    <w:p w:rsidR="00193C13" w:rsidRDefault="00193C13" w:rsidP="00193C13">
      <w:pPr>
        <w:spacing w:after="200" w:line="276" w:lineRule="auto"/>
        <w:jc w:val="center"/>
        <w:rPr>
          <w:rFonts w:asciiTheme="minorHAnsi" w:hAnsiTheme="minorHAnsi" w:cstheme="minorHAnsi"/>
          <w:color w:val="1F497D" w:themeColor="text2"/>
          <w:rtl/>
        </w:rPr>
      </w:pPr>
    </w:p>
    <w:p w:rsidR="00202437" w:rsidRPr="00193C13" w:rsidRDefault="00202437" w:rsidP="00193C13">
      <w:pPr>
        <w:spacing w:after="200" w:line="276" w:lineRule="auto"/>
        <w:jc w:val="right"/>
        <w:rPr>
          <w:rFonts w:asciiTheme="minorHAnsi" w:hAnsiTheme="minorHAnsi" w:cstheme="minorHAnsi"/>
          <w:color w:val="1F497D" w:themeColor="text2"/>
          <w:rtl/>
        </w:rPr>
        <w:sectPr w:rsidR="00202437" w:rsidRPr="00193C13" w:rsidSect="00202437">
          <w:pgSz w:w="11906" w:h="16838"/>
          <w:pgMar w:top="624" w:right="1077" w:bottom="624" w:left="1077" w:header="709" w:footer="709" w:gutter="0"/>
          <w:cols w:space="708"/>
          <w:bidi/>
          <w:rtlGutter/>
          <w:docGrid w:linePitch="360"/>
        </w:sectPr>
      </w:pPr>
      <w:r w:rsidRPr="00202437">
        <w:rPr>
          <w:rFonts w:asciiTheme="minorHAnsi" w:hAnsiTheme="minorHAnsi" w:cstheme="minorHAnsi"/>
          <w:color w:val="1F497D" w:themeColor="text2"/>
          <w:rtl/>
        </w:rPr>
        <w:t xml:space="preserve">פעילות המגזרים העיקריים בשוק </w:t>
      </w:r>
      <w:proofErr w:type="spellStart"/>
      <w:r w:rsidRPr="00202437">
        <w:rPr>
          <w:rFonts w:asciiTheme="minorHAnsi" w:hAnsiTheme="minorHAnsi" w:cstheme="minorHAnsi"/>
          <w:color w:val="1F497D" w:themeColor="text2"/>
          <w:rtl/>
        </w:rPr>
        <w:t>המט"ח</w:t>
      </w:r>
      <w:proofErr w:type="spellEnd"/>
      <w:r w:rsidRPr="00202437">
        <w:rPr>
          <w:rStyle w:val="af2"/>
          <w:rFonts w:asciiTheme="minorHAnsi" w:hAnsiTheme="minorHAnsi" w:cstheme="minorHAnsi"/>
          <w:color w:val="1F497D" w:themeColor="text2"/>
          <w:rtl/>
        </w:rPr>
        <w:footnoteReference w:id="1"/>
      </w:r>
      <w:r w:rsidRPr="00202437">
        <w:rPr>
          <w:rStyle w:val="af2"/>
          <w:rFonts w:asciiTheme="minorHAnsi" w:hAnsiTheme="minorHAnsi" w:cstheme="minorHAnsi"/>
          <w:color w:val="1F497D" w:themeColor="text2"/>
          <w:rtl/>
        </w:rPr>
        <w:footnoteReference w:id="2"/>
      </w:r>
    </w:p>
    <w:p w:rsidR="00202437" w:rsidRPr="00202437" w:rsidRDefault="00202437" w:rsidP="00202437">
      <w:pPr>
        <w:tabs>
          <w:tab w:val="left" w:pos="4084"/>
        </w:tabs>
        <w:bidi/>
        <w:rPr>
          <w:rFonts w:asciiTheme="minorHAnsi" w:hAnsiTheme="minorHAnsi" w:cstheme="minorHAnsi"/>
          <w:rtl/>
        </w:rPr>
        <w:sectPr w:rsidR="00202437" w:rsidRPr="00202437" w:rsidSect="004E549D">
          <w:footerReference w:type="default" r:id="rId12"/>
          <w:type w:val="continuous"/>
          <w:pgSz w:w="11906" w:h="16838"/>
          <w:pgMar w:top="624" w:right="1077" w:bottom="624" w:left="1077" w:header="709" w:footer="709" w:gutter="0"/>
          <w:cols w:space="708"/>
          <w:bidi/>
          <w:rtlGutter/>
          <w:docGrid w:linePitch="360"/>
        </w:sectPr>
      </w:pPr>
      <w:r w:rsidRPr="00202437">
        <w:rPr>
          <w:rFonts w:asciiTheme="minorHAnsi" w:hAnsiTheme="minorHAnsi" w:cstheme="minorHAnsi"/>
        </w:rPr>
        <w:tab/>
      </w:r>
    </w:p>
    <w:p w:rsidR="00202437" w:rsidRPr="00202437" w:rsidRDefault="00202437" w:rsidP="00193C13">
      <w:pPr>
        <w:bidi/>
        <w:spacing w:line="480" w:lineRule="auto"/>
        <w:ind w:right="-101"/>
        <w:jc w:val="both"/>
        <w:rPr>
          <w:rFonts w:asciiTheme="minorHAnsi" w:hAnsiTheme="minorHAnsi" w:cstheme="minorHAnsi"/>
          <w:color w:val="000000" w:themeColor="text1"/>
          <w:rtl/>
        </w:rPr>
      </w:pPr>
      <w:r w:rsidRPr="00202437">
        <w:rPr>
          <w:rFonts w:asciiTheme="minorHAnsi" w:hAnsiTheme="minorHAnsi" w:cstheme="minorHAnsi"/>
          <w:color w:val="000000" w:themeColor="text1"/>
          <w:rtl/>
        </w:rPr>
        <w:lastRenderedPageBreak/>
        <w:t xml:space="preserve">אומדן לפעילות המגזרים </w:t>
      </w:r>
      <w:r w:rsidRPr="00202437">
        <w:rPr>
          <w:rFonts w:asciiTheme="minorHAnsi" w:hAnsiTheme="minorHAnsi" w:cstheme="minorHAnsi"/>
          <w:b/>
          <w:bCs/>
          <w:color w:val="000000" w:themeColor="text1"/>
          <w:rtl/>
        </w:rPr>
        <w:t>העיקריים</w:t>
      </w:r>
      <w:r w:rsidRPr="00202437">
        <w:rPr>
          <w:rFonts w:asciiTheme="minorHAnsi" w:hAnsiTheme="minorHAnsi" w:cstheme="minorHAnsi"/>
          <w:color w:val="000000" w:themeColor="text1"/>
          <w:rtl/>
        </w:rPr>
        <w:t xml:space="preserve"> בשוק </w:t>
      </w:r>
      <w:proofErr w:type="spellStart"/>
      <w:r w:rsidRPr="00202437">
        <w:rPr>
          <w:rFonts w:asciiTheme="minorHAnsi" w:hAnsiTheme="minorHAnsi" w:cstheme="minorHAnsi"/>
          <w:color w:val="000000" w:themeColor="text1"/>
          <w:rtl/>
        </w:rPr>
        <w:t>המט"ח</w:t>
      </w:r>
      <w:proofErr w:type="spellEnd"/>
      <w:r w:rsidRPr="00202437">
        <w:rPr>
          <w:rFonts w:asciiTheme="minorHAnsi" w:hAnsiTheme="minorHAnsi" w:cstheme="minorHAnsi"/>
          <w:color w:val="000000" w:themeColor="text1"/>
          <w:rtl/>
        </w:rPr>
        <w:t xml:space="preserve"> מצביע על פעילות הטרוגנית של הסקטורים העיקריים: ברבעון הרביעי נרשמו מכירות מט"ח נטו מצד הגופים המוסדיים, אשר תמכו בהתחזקות השקל, ומנגד, יתר הסקטורים העיקריים – תושבי חוץ, המגזר העסקי והמגזר הפיננסי – פעלו בצד הרכישות נטו, אם כי בעוצמות שונות.</w:t>
      </w:r>
    </w:p>
    <w:p w:rsidR="00202437" w:rsidRPr="00202437" w:rsidRDefault="00202437" w:rsidP="00202437">
      <w:pPr>
        <w:bidi/>
        <w:spacing w:line="480" w:lineRule="auto"/>
        <w:ind w:right="-101"/>
        <w:jc w:val="both"/>
        <w:rPr>
          <w:rFonts w:asciiTheme="minorHAnsi" w:hAnsiTheme="minorHAnsi" w:cstheme="minorHAnsi"/>
          <w:color w:val="000000" w:themeColor="text1"/>
          <w:rtl/>
        </w:rPr>
      </w:pPr>
      <w:r w:rsidRPr="00202437">
        <w:rPr>
          <w:rFonts w:asciiTheme="minorHAnsi" w:hAnsiTheme="minorHAnsi" w:cstheme="minorHAnsi"/>
          <w:color w:val="000000" w:themeColor="text1"/>
          <w:rtl/>
        </w:rPr>
        <w:t>הגופים המוסדיים – קרנות הפנסיה, קופות הגמל וחברות הביטוח – המשיכו למכור מט"ח נטו בהיקף של כ־13.2 מיליארד דולר במהלך הרבעון, לעומת כ־10.4 מיליארד דולר ברבעון השלישי. במקביל, תושבי חוץ עברו לרכישות מט"ח נטו בהיקף של כ־</w:t>
      </w:r>
      <w:r w:rsidRPr="00202437">
        <w:rPr>
          <w:rFonts w:asciiTheme="minorHAnsi" w:hAnsiTheme="minorHAnsi" w:cstheme="minorHAnsi"/>
          <w:color w:val="000000" w:themeColor="text1"/>
        </w:rPr>
        <w:t>1.7</w:t>
      </w:r>
      <w:r w:rsidRPr="00202437">
        <w:rPr>
          <w:rFonts w:asciiTheme="minorHAnsi" w:hAnsiTheme="minorHAnsi" w:cstheme="minorHAnsi"/>
          <w:color w:val="000000" w:themeColor="text1"/>
          <w:rtl/>
        </w:rPr>
        <w:t xml:space="preserve"> מיליארד דולר</w:t>
      </w:r>
      <w:r w:rsidRPr="00202437">
        <w:rPr>
          <w:rFonts w:asciiTheme="minorHAnsi" w:hAnsiTheme="minorHAnsi" w:cstheme="minorHAnsi"/>
          <w:color w:val="000000" w:themeColor="text1"/>
        </w:rPr>
        <w:t xml:space="preserve">, </w:t>
      </w:r>
      <w:r w:rsidRPr="00202437">
        <w:rPr>
          <w:rFonts w:asciiTheme="minorHAnsi" w:hAnsiTheme="minorHAnsi" w:cstheme="minorHAnsi"/>
          <w:color w:val="000000" w:themeColor="text1"/>
          <w:rtl/>
        </w:rPr>
        <w:t>לאחר שמכרו כ־</w:t>
      </w:r>
      <w:r w:rsidRPr="00202437">
        <w:rPr>
          <w:rFonts w:asciiTheme="minorHAnsi" w:hAnsiTheme="minorHAnsi" w:cstheme="minorHAnsi"/>
          <w:color w:val="000000" w:themeColor="text1"/>
        </w:rPr>
        <w:t>3.7</w:t>
      </w:r>
      <w:r w:rsidRPr="00202437">
        <w:rPr>
          <w:rFonts w:asciiTheme="minorHAnsi" w:hAnsiTheme="minorHAnsi" w:cstheme="minorHAnsi"/>
          <w:color w:val="000000" w:themeColor="text1"/>
          <w:rtl/>
        </w:rPr>
        <w:t xml:space="preserve"> מיליארד דולר ברבעון השלישי.</w:t>
      </w:r>
    </w:p>
    <w:p w:rsidR="00202437" w:rsidRPr="00202437" w:rsidRDefault="00202437" w:rsidP="00202437">
      <w:pPr>
        <w:bidi/>
        <w:spacing w:line="480" w:lineRule="auto"/>
        <w:ind w:right="-101"/>
        <w:jc w:val="both"/>
        <w:rPr>
          <w:rFonts w:asciiTheme="minorHAnsi" w:hAnsiTheme="minorHAnsi" w:cstheme="minorHAnsi"/>
          <w:color w:val="000000" w:themeColor="text1"/>
          <w:rtl/>
        </w:rPr>
      </w:pPr>
      <w:r w:rsidRPr="00202437">
        <w:rPr>
          <w:rFonts w:asciiTheme="minorHAnsi" w:hAnsiTheme="minorHAnsi" w:cstheme="minorHAnsi"/>
          <w:color w:val="000000" w:themeColor="text1"/>
          <w:rtl/>
        </w:rPr>
        <w:t>המגזר העסקי</w:t>
      </w:r>
      <w:r w:rsidRPr="00202437">
        <w:rPr>
          <w:rFonts w:asciiTheme="minorHAnsi" w:hAnsiTheme="minorHAnsi" w:cstheme="minorHAnsi"/>
          <w:color w:val="000000" w:themeColor="text1"/>
        </w:rPr>
        <w:t xml:space="preserve"> </w:t>
      </w:r>
      <w:r w:rsidRPr="00202437">
        <w:rPr>
          <w:rFonts w:asciiTheme="minorHAnsi" w:hAnsiTheme="minorHAnsi" w:cstheme="minorHAnsi"/>
          <w:color w:val="000000" w:themeColor="text1"/>
          <w:rtl/>
        </w:rPr>
        <w:t>המשיך לרכוש מט"ח נטו, אך בהיקף מתון יותר, כ־</w:t>
      </w:r>
      <w:r w:rsidRPr="00202437">
        <w:rPr>
          <w:rFonts w:asciiTheme="minorHAnsi" w:hAnsiTheme="minorHAnsi" w:cstheme="minorHAnsi"/>
          <w:color w:val="000000" w:themeColor="text1"/>
        </w:rPr>
        <w:t>5.7</w:t>
      </w:r>
      <w:r w:rsidRPr="00202437">
        <w:rPr>
          <w:rFonts w:asciiTheme="minorHAnsi" w:hAnsiTheme="minorHAnsi" w:cstheme="minorHAnsi"/>
          <w:color w:val="000000" w:themeColor="text1"/>
          <w:rtl/>
        </w:rPr>
        <w:t xml:space="preserve"> מיליארד דולר ברבעון הרביעי לעומת כ־</w:t>
      </w:r>
      <w:r w:rsidRPr="00202437">
        <w:rPr>
          <w:rFonts w:asciiTheme="minorHAnsi" w:hAnsiTheme="minorHAnsi" w:cstheme="minorHAnsi"/>
          <w:color w:val="000000" w:themeColor="text1"/>
        </w:rPr>
        <w:t>7.5</w:t>
      </w:r>
      <w:r w:rsidRPr="00202437">
        <w:rPr>
          <w:rFonts w:asciiTheme="minorHAnsi" w:hAnsiTheme="minorHAnsi" w:cstheme="minorHAnsi"/>
          <w:color w:val="000000" w:themeColor="text1"/>
          <w:rtl/>
        </w:rPr>
        <w:t>מיליארד דולר ברבעון השלישי.</w:t>
      </w:r>
    </w:p>
    <w:p w:rsidR="00202437" w:rsidRPr="00202437" w:rsidRDefault="00202437" w:rsidP="00202437">
      <w:pPr>
        <w:bidi/>
        <w:spacing w:line="480" w:lineRule="auto"/>
        <w:ind w:right="-101"/>
        <w:jc w:val="both"/>
        <w:rPr>
          <w:rFonts w:asciiTheme="minorHAnsi" w:hAnsiTheme="minorHAnsi" w:cstheme="minorHAnsi"/>
          <w:color w:val="000000" w:themeColor="text1"/>
        </w:rPr>
      </w:pPr>
      <w:r w:rsidRPr="00202437">
        <w:rPr>
          <w:rFonts w:asciiTheme="minorHAnsi" w:hAnsiTheme="minorHAnsi" w:cstheme="minorHAnsi"/>
          <w:color w:val="000000" w:themeColor="text1"/>
          <w:rtl/>
        </w:rPr>
        <w:t>המגזר הפיננסי (בעיקר בנקים) ביצע רכישות מט"ח נטו של כ־</w:t>
      </w:r>
      <w:r w:rsidRPr="00202437">
        <w:rPr>
          <w:rFonts w:asciiTheme="minorHAnsi" w:hAnsiTheme="minorHAnsi" w:cstheme="minorHAnsi"/>
          <w:color w:val="000000" w:themeColor="text1"/>
        </w:rPr>
        <w:t>0.8</w:t>
      </w:r>
      <w:r w:rsidRPr="00202437">
        <w:rPr>
          <w:rFonts w:asciiTheme="minorHAnsi" w:hAnsiTheme="minorHAnsi" w:cstheme="minorHAnsi"/>
          <w:color w:val="000000" w:themeColor="text1"/>
          <w:rtl/>
        </w:rPr>
        <w:t xml:space="preserve"> מיליארד דולר</w:t>
      </w:r>
      <w:r w:rsidRPr="00202437">
        <w:rPr>
          <w:rFonts w:asciiTheme="minorHAnsi" w:hAnsiTheme="minorHAnsi" w:cstheme="minorHAnsi"/>
          <w:color w:val="000000" w:themeColor="text1"/>
        </w:rPr>
        <w:t xml:space="preserve">, </w:t>
      </w:r>
      <w:r w:rsidRPr="00202437">
        <w:rPr>
          <w:rFonts w:asciiTheme="minorHAnsi" w:hAnsiTheme="minorHAnsi" w:cstheme="minorHAnsi"/>
          <w:color w:val="000000" w:themeColor="text1"/>
          <w:rtl/>
        </w:rPr>
        <w:t>ירידה לעומת רכישות של כ־</w:t>
      </w:r>
      <w:r w:rsidRPr="00202437">
        <w:rPr>
          <w:rFonts w:asciiTheme="minorHAnsi" w:hAnsiTheme="minorHAnsi" w:cstheme="minorHAnsi"/>
          <w:color w:val="000000" w:themeColor="text1"/>
        </w:rPr>
        <w:t xml:space="preserve"> 1.2</w:t>
      </w:r>
      <w:r w:rsidRPr="00202437">
        <w:rPr>
          <w:rFonts w:asciiTheme="minorHAnsi" w:hAnsiTheme="minorHAnsi" w:cstheme="minorHAnsi"/>
          <w:color w:val="000000" w:themeColor="text1"/>
          <w:rtl/>
        </w:rPr>
        <w:t>מיליארד דולר ברבעון השלישי</w:t>
      </w:r>
      <w:r w:rsidRPr="00202437">
        <w:rPr>
          <w:rFonts w:asciiTheme="minorHAnsi" w:hAnsiTheme="minorHAnsi" w:cstheme="minorHAnsi"/>
          <w:color w:val="000000" w:themeColor="text1"/>
        </w:rPr>
        <w:t>.</w:t>
      </w:r>
    </w:p>
    <w:p w:rsidR="00202437" w:rsidRPr="00202437" w:rsidRDefault="00202437" w:rsidP="00202437">
      <w:pPr>
        <w:bidi/>
        <w:spacing w:line="480" w:lineRule="auto"/>
        <w:ind w:right="-101"/>
        <w:jc w:val="both"/>
        <w:rPr>
          <w:rFonts w:asciiTheme="minorHAnsi" w:hAnsiTheme="minorHAnsi" w:cstheme="minorHAnsi"/>
          <w:color w:val="000000" w:themeColor="text1"/>
          <w:rtl/>
        </w:rPr>
      </w:pPr>
    </w:p>
    <w:p w:rsidR="00202437" w:rsidRPr="00202437" w:rsidRDefault="00202437" w:rsidP="00202437">
      <w:pPr>
        <w:bidi/>
        <w:spacing w:line="480" w:lineRule="auto"/>
        <w:ind w:right="-101"/>
        <w:jc w:val="both"/>
        <w:rPr>
          <w:rFonts w:asciiTheme="minorHAnsi" w:hAnsiTheme="minorHAnsi" w:cstheme="minorHAnsi"/>
          <w:color w:val="000000" w:themeColor="text1"/>
        </w:rPr>
      </w:pPr>
      <w:r w:rsidRPr="00202437">
        <w:rPr>
          <w:rFonts w:asciiTheme="minorHAnsi" w:hAnsiTheme="minorHAnsi" w:cstheme="minorHAnsi"/>
          <w:color w:val="000000" w:themeColor="text1"/>
          <w:rtl/>
        </w:rPr>
        <w:t xml:space="preserve"> </w:t>
      </w:r>
    </w:p>
    <w:p w:rsidR="00202437" w:rsidRPr="00202437" w:rsidRDefault="00202437" w:rsidP="00202437">
      <w:pPr>
        <w:bidi/>
        <w:spacing w:line="480" w:lineRule="auto"/>
        <w:jc w:val="center"/>
        <w:rPr>
          <w:rFonts w:asciiTheme="minorHAnsi" w:hAnsiTheme="minorHAnsi" w:cstheme="minorHAnsi"/>
          <w:color w:val="000000" w:themeColor="text1"/>
          <w:rtl/>
        </w:rPr>
      </w:pPr>
      <w:r w:rsidRPr="00202437">
        <w:rPr>
          <w:rFonts w:asciiTheme="minorHAnsi" w:hAnsiTheme="minorHAnsi" w:cstheme="minorHAnsi"/>
          <w:noProof/>
          <w:color w:val="000000" w:themeColor="text1"/>
        </w:rPr>
        <w:drawing>
          <wp:inline distT="0" distB="0" distL="0" distR="0" wp14:anchorId="639005FD" wp14:editId="2742AF6D">
            <wp:extent cx="5442545" cy="2117878"/>
            <wp:effectExtent l="0" t="0" r="635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64638" cy="2126475"/>
                    </a:xfrm>
                    <a:prstGeom prst="rect">
                      <a:avLst/>
                    </a:prstGeom>
                    <a:noFill/>
                  </pic:spPr>
                </pic:pic>
              </a:graphicData>
            </a:graphic>
          </wp:inline>
        </w:drawing>
      </w:r>
    </w:p>
    <w:p w:rsidR="00202437" w:rsidRPr="00202437" w:rsidRDefault="00202437" w:rsidP="00202437">
      <w:pPr>
        <w:bidi/>
        <w:spacing w:line="480" w:lineRule="auto"/>
        <w:jc w:val="both"/>
        <w:rPr>
          <w:rFonts w:asciiTheme="minorHAnsi" w:hAnsiTheme="minorHAnsi" w:cstheme="minorHAnsi"/>
          <w:color w:val="1F497D" w:themeColor="text2"/>
          <w:rtl/>
        </w:rPr>
      </w:pPr>
    </w:p>
    <w:p w:rsidR="00202437" w:rsidRPr="00202437" w:rsidRDefault="00202437" w:rsidP="00193C13">
      <w:pPr>
        <w:bidi/>
        <w:spacing w:line="480" w:lineRule="auto"/>
        <w:jc w:val="both"/>
        <w:rPr>
          <w:rFonts w:asciiTheme="minorHAnsi" w:hAnsiTheme="minorHAnsi" w:cstheme="minorHAnsi"/>
          <w:color w:val="1F497D" w:themeColor="text2"/>
          <w:rtl/>
        </w:rPr>
      </w:pPr>
      <w:r w:rsidRPr="00202437">
        <w:rPr>
          <w:rFonts w:asciiTheme="minorHAnsi" w:hAnsiTheme="minorHAnsi" w:cstheme="minorHAnsi"/>
          <w:noProof/>
          <w:color w:val="1F497D" w:themeColor="text2"/>
        </w:rPr>
        <w:lastRenderedPageBreak/>
        <w:drawing>
          <wp:inline distT="0" distB="0" distL="0" distR="0" wp14:anchorId="4450AD62" wp14:editId="661858B3">
            <wp:extent cx="5517515" cy="3005455"/>
            <wp:effectExtent l="0" t="0" r="6985" b="4445"/>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7515" cy="3005455"/>
                    </a:xfrm>
                    <a:prstGeom prst="rect">
                      <a:avLst/>
                    </a:prstGeom>
                    <a:noFill/>
                  </pic:spPr>
                </pic:pic>
              </a:graphicData>
            </a:graphic>
          </wp:inline>
        </w:drawing>
      </w:r>
    </w:p>
    <w:p w:rsidR="00202437" w:rsidRPr="00202437" w:rsidRDefault="00202437" w:rsidP="00202437">
      <w:pPr>
        <w:bidi/>
        <w:spacing w:line="480" w:lineRule="auto"/>
        <w:jc w:val="both"/>
        <w:rPr>
          <w:rFonts w:asciiTheme="minorHAnsi" w:hAnsiTheme="minorHAnsi" w:cstheme="minorHAnsi"/>
          <w:color w:val="000000" w:themeColor="text1"/>
          <w:rtl/>
        </w:rPr>
      </w:pPr>
      <w:r w:rsidRPr="00202437">
        <w:rPr>
          <w:rFonts w:asciiTheme="minorHAnsi" w:hAnsiTheme="minorHAnsi" w:cstheme="minorHAnsi"/>
          <w:color w:val="1F497D" w:themeColor="text2"/>
          <w:rtl/>
        </w:rPr>
        <w:t>נפחי מסחר – לוחות ותרשימים</w:t>
      </w:r>
    </w:p>
    <w:p w:rsidR="00202437" w:rsidRPr="00202437" w:rsidRDefault="00202437" w:rsidP="00202437">
      <w:pPr>
        <w:pStyle w:val="2"/>
        <w:bidi/>
        <w:rPr>
          <w:rFonts w:asciiTheme="minorHAnsi" w:hAnsiTheme="minorHAnsi" w:cstheme="minorHAnsi"/>
          <w:sz w:val="24"/>
          <w:szCs w:val="24"/>
          <w:rtl/>
        </w:rPr>
      </w:pPr>
      <w:r w:rsidRPr="00202437">
        <w:rPr>
          <w:rFonts w:asciiTheme="minorHAnsi" w:hAnsiTheme="minorHAnsi" w:cstheme="minorHAnsi"/>
          <w:sz w:val="24"/>
          <w:szCs w:val="24"/>
          <w:rtl/>
        </w:rPr>
        <w:t>נפח המסחר מול מערכת הבנקאות המקומית</w:t>
      </w:r>
      <w:r w:rsidRPr="00202437">
        <w:rPr>
          <w:rFonts w:asciiTheme="minorHAnsi" w:hAnsiTheme="minorHAnsi" w:cstheme="minorHAnsi"/>
          <w:sz w:val="24"/>
          <w:szCs w:val="24"/>
          <w:vertAlign w:val="superscript"/>
          <w:rtl/>
        </w:rPr>
        <w:footnoteReference w:id="3"/>
      </w:r>
    </w:p>
    <w:p w:rsidR="00202437" w:rsidRPr="00202437" w:rsidRDefault="00202437" w:rsidP="00202437">
      <w:pPr>
        <w:bidi/>
        <w:rPr>
          <w:rFonts w:asciiTheme="minorHAnsi" w:hAnsiTheme="minorHAnsi" w:cstheme="minorHAnsi"/>
          <w:rtl/>
        </w:rPr>
      </w:pPr>
    </w:p>
    <w:p w:rsidR="00202437" w:rsidRPr="00202437" w:rsidRDefault="00202437" w:rsidP="00202437">
      <w:pPr>
        <w:bidi/>
        <w:spacing w:line="360" w:lineRule="auto"/>
        <w:jc w:val="both"/>
        <w:rPr>
          <w:rFonts w:asciiTheme="minorHAnsi" w:hAnsiTheme="minorHAnsi" w:cstheme="minorHAnsi"/>
          <w:color w:val="000000" w:themeColor="text1"/>
          <w:rtl/>
        </w:rPr>
      </w:pPr>
      <w:r w:rsidRPr="00202437">
        <w:rPr>
          <w:rFonts w:asciiTheme="minorHAnsi" w:hAnsiTheme="minorHAnsi" w:cstheme="minorHAnsi"/>
          <w:b/>
          <w:bCs/>
          <w:color w:val="000000" w:themeColor="text1"/>
          <w:rtl/>
        </w:rPr>
        <w:t>נפח המסחר היומי הממוצע</w:t>
      </w:r>
      <w:r w:rsidRPr="00202437">
        <w:rPr>
          <w:rFonts w:asciiTheme="minorHAnsi" w:hAnsiTheme="minorHAnsi" w:cstheme="minorHAnsi"/>
          <w:color w:val="000000" w:themeColor="text1"/>
          <w:rtl/>
        </w:rPr>
        <w:t xml:space="preserve"> רשם עליה של 21.5% במהלך הרבעון, לרמה של 14.9 מיליארדי דולרים, כאשר עיקר העלייה בנפח המסחר היומי בעסקאות החלף. </w:t>
      </w:r>
      <w:r w:rsidRPr="00202437">
        <w:rPr>
          <w:rFonts w:asciiTheme="minorHAnsi" w:hAnsiTheme="minorHAnsi" w:cstheme="minorHAnsi"/>
          <w:b/>
          <w:bCs/>
          <w:color w:val="000000" w:themeColor="text1"/>
          <w:rtl/>
        </w:rPr>
        <w:t xml:space="preserve">חלקם היחסי של תושבי חוץ בנפח המסחר מול מערכת הבנקאות המקומית </w:t>
      </w:r>
      <w:r w:rsidRPr="00202437">
        <w:rPr>
          <w:rFonts w:asciiTheme="minorHAnsi" w:hAnsiTheme="minorHAnsi" w:cstheme="minorHAnsi"/>
          <w:color w:val="000000" w:themeColor="text1"/>
          <w:rtl/>
        </w:rPr>
        <w:t>(עסקאות המרה, עסקאות באופציות ועסקאות החלף) עלה בכ-3.5 נקודות האחוז ועמד בסוף הרבעון השלישי על 41.5%.</w:t>
      </w:r>
    </w:p>
    <w:p w:rsidR="00202437" w:rsidRPr="00202437" w:rsidRDefault="00202437" w:rsidP="00202437">
      <w:pPr>
        <w:bidi/>
        <w:spacing w:line="360" w:lineRule="auto"/>
        <w:jc w:val="both"/>
        <w:rPr>
          <w:rFonts w:asciiTheme="minorHAnsi" w:hAnsiTheme="minorHAnsi" w:cstheme="minorHAnsi"/>
          <w:color w:val="000000" w:themeColor="text1"/>
          <w:rtl/>
        </w:rPr>
      </w:pPr>
    </w:p>
    <w:p w:rsidR="00202437" w:rsidRPr="00202437" w:rsidRDefault="00193C13" w:rsidP="00202437">
      <w:pPr>
        <w:bidi/>
        <w:spacing w:line="360" w:lineRule="auto"/>
        <w:jc w:val="both"/>
        <w:rPr>
          <w:rFonts w:asciiTheme="minorHAnsi" w:hAnsiTheme="minorHAnsi" w:cstheme="minorHAnsi"/>
          <w:color w:val="000000" w:themeColor="text1"/>
          <w:rtl/>
        </w:rPr>
      </w:pPr>
      <w:bookmarkStart w:id="0" w:name="_GoBack"/>
      <w:r w:rsidRPr="00202437">
        <w:rPr>
          <w:rFonts w:asciiTheme="minorHAnsi" w:hAnsiTheme="minorHAnsi" w:cstheme="minorHAnsi"/>
          <w:noProof/>
          <w:color w:val="000000" w:themeColor="text1"/>
        </w:rPr>
        <w:lastRenderedPageBreak/>
        <w:drawing>
          <wp:inline distT="0" distB="0" distL="0" distR="0" wp14:anchorId="09C39179" wp14:editId="2EB095B1">
            <wp:extent cx="5633200" cy="3335732"/>
            <wp:effectExtent l="0" t="0" r="5715" b="0"/>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40697" cy="3340171"/>
                    </a:xfrm>
                    <a:prstGeom prst="rect">
                      <a:avLst/>
                    </a:prstGeom>
                    <a:noFill/>
                  </pic:spPr>
                </pic:pic>
              </a:graphicData>
            </a:graphic>
          </wp:inline>
        </w:drawing>
      </w:r>
      <w:bookmarkEnd w:id="0"/>
    </w:p>
    <w:p w:rsidR="00202437" w:rsidRPr="00202437" w:rsidRDefault="00202437" w:rsidP="00202437">
      <w:pPr>
        <w:bidi/>
        <w:spacing w:line="360" w:lineRule="auto"/>
        <w:jc w:val="both"/>
        <w:rPr>
          <w:rFonts w:asciiTheme="minorHAnsi" w:hAnsiTheme="minorHAnsi" w:cstheme="minorHAnsi"/>
          <w:color w:val="000000" w:themeColor="text1"/>
          <w:rtl/>
        </w:rPr>
      </w:pPr>
    </w:p>
    <w:p w:rsidR="00202437" w:rsidRPr="00202437" w:rsidRDefault="00202437" w:rsidP="00202437">
      <w:pPr>
        <w:bidi/>
        <w:spacing w:line="360" w:lineRule="auto"/>
        <w:jc w:val="both"/>
        <w:rPr>
          <w:rFonts w:asciiTheme="minorHAnsi" w:hAnsiTheme="minorHAnsi" w:cstheme="minorHAnsi"/>
          <w:color w:val="000000" w:themeColor="text1"/>
          <w:rtl/>
        </w:rPr>
      </w:pPr>
    </w:p>
    <w:tbl>
      <w:tblPr>
        <w:bidiVisual/>
        <w:tblW w:w="9666" w:type="dxa"/>
        <w:tblLook w:val="04A0" w:firstRow="1" w:lastRow="0" w:firstColumn="1" w:lastColumn="0" w:noHBand="0" w:noVBand="1"/>
      </w:tblPr>
      <w:tblGrid>
        <w:gridCol w:w="978"/>
        <w:gridCol w:w="2786"/>
        <w:gridCol w:w="995"/>
        <w:gridCol w:w="927"/>
        <w:gridCol w:w="1353"/>
        <w:gridCol w:w="1065"/>
        <w:gridCol w:w="1562"/>
      </w:tblGrid>
      <w:tr w:rsidR="00202437" w:rsidRPr="00202437" w:rsidTr="00400E0F">
        <w:trPr>
          <w:trHeight w:val="300"/>
        </w:trPr>
        <w:tc>
          <w:tcPr>
            <w:tcW w:w="9666" w:type="dxa"/>
            <w:gridSpan w:val="7"/>
            <w:tcBorders>
              <w:top w:val="nil"/>
              <w:left w:val="nil"/>
              <w:bottom w:val="nil"/>
              <w:right w:val="nil"/>
            </w:tcBorders>
            <w:shd w:val="clear" w:color="auto" w:fill="auto"/>
            <w:noWrap/>
            <w:vAlign w:val="bottom"/>
            <w:hideMark/>
          </w:tcPr>
          <w:p w:rsidR="00202437" w:rsidRPr="00202437" w:rsidRDefault="00202437" w:rsidP="00400E0F">
            <w:pPr>
              <w:spacing w:after="200" w:line="276" w:lineRule="auto"/>
              <w:jc w:val="center"/>
              <w:rPr>
                <w:rFonts w:asciiTheme="minorHAnsi" w:hAnsiTheme="minorHAnsi" w:cstheme="minorHAnsi"/>
                <w:b/>
                <w:bCs/>
                <w:rtl/>
              </w:rPr>
            </w:pPr>
            <w:r w:rsidRPr="00202437">
              <w:rPr>
                <w:rFonts w:asciiTheme="minorHAnsi" w:hAnsiTheme="minorHAnsi" w:cstheme="minorHAnsi"/>
                <w:b/>
                <w:bCs/>
                <w:rtl/>
              </w:rPr>
              <w:t>עסקאות במט"ח עם הבנקים המקומיים לפי מכשירים ומגזרים (במיליוני דולרים)</w:t>
            </w:r>
          </w:p>
          <w:tbl>
            <w:tblPr>
              <w:bidiVisual/>
              <w:tblW w:w="9440" w:type="dxa"/>
              <w:tblLook w:val="04A0" w:firstRow="1" w:lastRow="0" w:firstColumn="1" w:lastColumn="0" w:noHBand="0" w:noVBand="1"/>
            </w:tblPr>
            <w:tblGrid>
              <w:gridCol w:w="904"/>
              <w:gridCol w:w="2546"/>
              <w:gridCol w:w="1008"/>
              <w:gridCol w:w="1008"/>
              <w:gridCol w:w="1185"/>
              <w:gridCol w:w="1129"/>
              <w:gridCol w:w="1660"/>
            </w:tblGrid>
            <w:tr w:rsidR="00202437" w:rsidRPr="00202437" w:rsidTr="00400E0F">
              <w:trPr>
                <w:trHeight w:val="795"/>
              </w:trPr>
              <w:tc>
                <w:tcPr>
                  <w:tcW w:w="9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2437" w:rsidRPr="00202437" w:rsidRDefault="00202437" w:rsidP="00400E0F">
                  <w:pPr>
                    <w:rPr>
                      <w:rFonts w:asciiTheme="minorHAnsi" w:hAnsiTheme="minorHAnsi" w:cstheme="minorHAnsi"/>
                    </w:rPr>
                  </w:pPr>
                  <w:r w:rsidRPr="00202437">
                    <w:rPr>
                      <w:rFonts w:asciiTheme="minorHAnsi" w:hAnsiTheme="minorHAnsi" w:cstheme="minorHAnsi"/>
                    </w:rPr>
                    <w:t> </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2437" w:rsidRPr="00202437" w:rsidRDefault="00202437" w:rsidP="00400E0F">
                  <w:pPr>
                    <w:jc w:val="center"/>
                    <w:rPr>
                      <w:rFonts w:asciiTheme="minorHAnsi" w:hAnsiTheme="minorHAnsi" w:cstheme="minorHAnsi"/>
                      <w:b/>
                      <w:bCs/>
                    </w:rPr>
                  </w:pPr>
                  <w:r w:rsidRPr="00202437">
                    <w:rPr>
                      <w:rFonts w:asciiTheme="minorHAnsi" w:hAnsiTheme="minorHAnsi" w:cstheme="minorHAnsi"/>
                      <w:b/>
                      <w:bCs/>
                    </w:rPr>
                    <w:t> </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bidi/>
                    <w:jc w:val="center"/>
                    <w:rPr>
                      <w:rFonts w:asciiTheme="minorHAnsi" w:hAnsiTheme="minorHAnsi" w:cstheme="minorHAnsi"/>
                      <w:b/>
                      <w:bCs/>
                    </w:rPr>
                  </w:pPr>
                  <w:r w:rsidRPr="00202437">
                    <w:rPr>
                      <w:rFonts w:asciiTheme="minorHAnsi" w:hAnsiTheme="minorHAnsi" w:cstheme="minorHAnsi"/>
                      <w:b/>
                      <w:bCs/>
                      <w:rtl/>
                    </w:rPr>
                    <w:t xml:space="preserve">עסקאות המרה (1) </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bidi/>
                    <w:jc w:val="center"/>
                    <w:rPr>
                      <w:rFonts w:asciiTheme="minorHAnsi" w:hAnsiTheme="minorHAnsi" w:cstheme="minorHAnsi"/>
                      <w:b/>
                      <w:bCs/>
                      <w:rtl/>
                    </w:rPr>
                  </w:pPr>
                  <w:r w:rsidRPr="00202437">
                    <w:rPr>
                      <w:rFonts w:asciiTheme="minorHAnsi" w:hAnsiTheme="minorHAnsi" w:cstheme="minorHAnsi"/>
                      <w:b/>
                      <w:bCs/>
                      <w:rtl/>
                    </w:rPr>
                    <w:t>עסקאות החלף</w:t>
                  </w:r>
                  <w:r w:rsidRPr="00202437">
                    <w:rPr>
                      <w:rFonts w:asciiTheme="minorHAnsi" w:hAnsiTheme="minorHAnsi" w:cstheme="minorHAnsi"/>
                      <w:b/>
                      <w:bCs/>
                      <w:vertAlign w:val="superscript"/>
                      <w:rtl/>
                    </w:rPr>
                    <w:t>1</w:t>
                  </w:r>
                  <w:r w:rsidRPr="00202437">
                    <w:rPr>
                      <w:rFonts w:asciiTheme="minorHAnsi" w:hAnsiTheme="minorHAnsi" w:cstheme="minorHAnsi"/>
                      <w:b/>
                      <w:bCs/>
                      <w:rtl/>
                    </w:rPr>
                    <w:t xml:space="preserve"> (</w:t>
                  </w:r>
                  <w:proofErr w:type="spellStart"/>
                  <w:r w:rsidRPr="00202437">
                    <w:rPr>
                      <w:rFonts w:asciiTheme="minorHAnsi" w:hAnsiTheme="minorHAnsi" w:cstheme="minorHAnsi"/>
                      <w:b/>
                      <w:bCs/>
                      <w:rtl/>
                    </w:rPr>
                    <w:t>סוופ</w:t>
                  </w:r>
                  <w:proofErr w:type="spellEnd"/>
                  <w:r w:rsidRPr="00202437">
                    <w:rPr>
                      <w:rFonts w:asciiTheme="minorHAnsi" w:hAnsiTheme="minorHAnsi" w:cstheme="minorHAnsi"/>
                      <w:b/>
                      <w:bCs/>
                      <w:rtl/>
                    </w:rPr>
                    <w:t>) (2)</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bidi/>
                    <w:jc w:val="center"/>
                    <w:rPr>
                      <w:rFonts w:asciiTheme="minorHAnsi" w:hAnsiTheme="minorHAnsi" w:cstheme="minorHAnsi"/>
                      <w:b/>
                      <w:bCs/>
                      <w:rtl/>
                    </w:rPr>
                  </w:pPr>
                  <w:r w:rsidRPr="00202437">
                    <w:rPr>
                      <w:rFonts w:asciiTheme="minorHAnsi" w:hAnsiTheme="minorHAnsi" w:cstheme="minorHAnsi"/>
                      <w:b/>
                      <w:bCs/>
                      <w:rtl/>
                    </w:rPr>
                    <w:t xml:space="preserve"> עסקאות החלף </w:t>
                  </w:r>
                  <w:r w:rsidRPr="00202437">
                    <w:rPr>
                      <w:rFonts w:asciiTheme="minorHAnsi" w:hAnsiTheme="minorHAnsi" w:cstheme="minorHAnsi"/>
                      <w:b/>
                      <w:bCs/>
                      <w:vertAlign w:val="superscript"/>
                      <w:rtl/>
                    </w:rPr>
                    <w:t>2</w:t>
                  </w:r>
                  <w:r w:rsidRPr="00202437">
                    <w:rPr>
                      <w:rFonts w:asciiTheme="minorHAnsi" w:hAnsiTheme="minorHAnsi" w:cstheme="minorHAnsi"/>
                      <w:b/>
                      <w:bCs/>
                      <w:rtl/>
                    </w:rPr>
                    <w:t xml:space="preserve"> </w:t>
                  </w:r>
                  <w:r w:rsidRPr="00202437">
                    <w:rPr>
                      <w:rFonts w:asciiTheme="minorHAnsi" w:hAnsiTheme="minorHAnsi" w:cstheme="minorHAnsi"/>
                      <w:b/>
                      <w:bCs/>
                    </w:rPr>
                    <w:t>Cross Currency Swap</w:t>
                  </w:r>
                  <w:r w:rsidRPr="00202437">
                    <w:rPr>
                      <w:rFonts w:asciiTheme="minorHAnsi" w:hAnsiTheme="minorHAnsi" w:cstheme="minorHAnsi"/>
                      <w:b/>
                      <w:bCs/>
                      <w:rtl/>
                    </w:rPr>
                    <w:t xml:space="preserve"> (3)</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bidi/>
                    <w:jc w:val="center"/>
                    <w:rPr>
                      <w:rFonts w:asciiTheme="minorHAnsi" w:hAnsiTheme="minorHAnsi" w:cstheme="minorHAnsi"/>
                      <w:b/>
                      <w:bCs/>
                      <w:rtl/>
                    </w:rPr>
                  </w:pPr>
                  <w:r w:rsidRPr="00202437">
                    <w:rPr>
                      <w:rFonts w:asciiTheme="minorHAnsi" w:hAnsiTheme="minorHAnsi" w:cstheme="minorHAnsi"/>
                      <w:b/>
                      <w:bCs/>
                      <w:rtl/>
                    </w:rPr>
                    <w:t>עסקאות באופציות</w:t>
                  </w:r>
                  <w:r w:rsidRPr="00202437">
                    <w:rPr>
                      <w:rFonts w:asciiTheme="minorHAnsi" w:hAnsiTheme="minorHAnsi" w:cstheme="minorHAnsi"/>
                      <w:b/>
                      <w:bCs/>
                      <w:vertAlign w:val="superscript"/>
                      <w:rtl/>
                    </w:rPr>
                    <w:t>3</w:t>
                  </w:r>
                  <w:r w:rsidRPr="00202437">
                    <w:rPr>
                      <w:rFonts w:asciiTheme="minorHAnsi" w:hAnsiTheme="minorHAnsi" w:cstheme="minorHAnsi"/>
                      <w:b/>
                      <w:bCs/>
                      <w:rtl/>
                    </w:rPr>
                    <w:t xml:space="preserve"> (4)</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bidi/>
                    <w:jc w:val="center"/>
                    <w:rPr>
                      <w:rFonts w:asciiTheme="minorHAnsi" w:hAnsiTheme="minorHAnsi" w:cstheme="minorHAnsi"/>
                      <w:b/>
                      <w:bCs/>
                      <w:rtl/>
                    </w:rPr>
                  </w:pPr>
                  <w:r w:rsidRPr="00202437">
                    <w:rPr>
                      <w:rFonts w:asciiTheme="minorHAnsi" w:hAnsiTheme="minorHAnsi" w:cstheme="minorHAnsi"/>
                      <w:b/>
                      <w:bCs/>
                      <w:rtl/>
                    </w:rPr>
                    <w:t>נפח המסחר הכולל (1)+(2)+(3)+(4)</w:t>
                  </w:r>
                </w:p>
              </w:tc>
            </w:tr>
            <w:tr w:rsidR="00202437" w:rsidRPr="00202437" w:rsidTr="00400E0F">
              <w:trPr>
                <w:trHeight w:val="210"/>
              </w:trPr>
              <w:tc>
                <w:tcPr>
                  <w:tcW w:w="962" w:type="dxa"/>
                  <w:vMerge w:val="restart"/>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bidi/>
                    <w:jc w:val="center"/>
                    <w:rPr>
                      <w:rFonts w:asciiTheme="minorHAnsi" w:hAnsiTheme="minorHAnsi" w:cstheme="minorHAnsi"/>
                      <w:b/>
                      <w:bCs/>
                    </w:rPr>
                  </w:pPr>
                  <w:r w:rsidRPr="00202437">
                    <w:rPr>
                      <w:rFonts w:asciiTheme="minorHAnsi" w:hAnsiTheme="minorHAnsi" w:cstheme="minorHAnsi"/>
                      <w:b/>
                      <w:bCs/>
                      <w:rtl/>
                    </w:rPr>
                    <w:t>רבעון רביעי 2025  (נתון ארעי)</w:t>
                  </w:r>
                </w:p>
              </w:tc>
              <w:tc>
                <w:tcPr>
                  <w:tcW w:w="3298" w:type="dxa"/>
                  <w:tcBorders>
                    <w:top w:val="nil"/>
                    <w:left w:val="single" w:sz="4" w:space="0" w:color="auto"/>
                    <w:bottom w:val="single" w:sz="4" w:space="0" w:color="auto"/>
                    <w:right w:val="single" w:sz="4" w:space="0" w:color="auto"/>
                  </w:tcBorders>
                  <w:shd w:val="clear" w:color="000000" w:fill="D9D9D9"/>
                  <w:vAlign w:val="center"/>
                  <w:hideMark/>
                </w:tcPr>
                <w:p w:rsidR="00202437" w:rsidRPr="00202437" w:rsidRDefault="00202437" w:rsidP="00400E0F">
                  <w:pPr>
                    <w:bidi/>
                    <w:rPr>
                      <w:rFonts w:asciiTheme="minorHAnsi" w:hAnsiTheme="minorHAnsi" w:cstheme="minorHAnsi"/>
                      <w:b/>
                      <w:bCs/>
                      <w:rtl/>
                    </w:rPr>
                  </w:pPr>
                  <w:r w:rsidRPr="00202437">
                    <w:rPr>
                      <w:rFonts w:asciiTheme="minorHAnsi" w:hAnsiTheme="minorHAnsi" w:cstheme="minorHAnsi"/>
                      <w:b/>
                      <w:bCs/>
                      <w:rtl/>
                    </w:rPr>
                    <w:t>סה"כ</w:t>
                  </w:r>
                </w:p>
              </w:tc>
              <w:tc>
                <w:tcPr>
                  <w:tcW w:w="895" w:type="dxa"/>
                  <w:tcBorders>
                    <w:top w:val="nil"/>
                    <w:left w:val="single" w:sz="4" w:space="0" w:color="auto"/>
                    <w:bottom w:val="single" w:sz="4" w:space="0" w:color="auto"/>
                    <w:right w:val="single" w:sz="4" w:space="0" w:color="auto"/>
                  </w:tcBorders>
                  <w:shd w:val="clear" w:color="000000" w:fill="D9D9D9"/>
                  <w:vAlign w:val="center"/>
                  <w:hideMark/>
                </w:tcPr>
                <w:p w:rsidR="00202437" w:rsidRPr="00202437" w:rsidRDefault="00202437" w:rsidP="00400E0F">
                  <w:pPr>
                    <w:jc w:val="center"/>
                    <w:rPr>
                      <w:rFonts w:asciiTheme="minorHAnsi" w:hAnsiTheme="minorHAnsi" w:cstheme="minorHAnsi"/>
                      <w:b/>
                      <w:bCs/>
                    </w:rPr>
                  </w:pPr>
                  <w:r w:rsidRPr="00202437">
                    <w:rPr>
                      <w:rFonts w:asciiTheme="minorHAnsi" w:hAnsiTheme="minorHAnsi" w:cstheme="minorHAnsi"/>
                      <w:b/>
                      <w:bCs/>
                    </w:rPr>
                    <w:t xml:space="preserve">235,850 </w:t>
                  </w:r>
                </w:p>
              </w:tc>
              <w:tc>
                <w:tcPr>
                  <w:tcW w:w="866" w:type="dxa"/>
                  <w:tcBorders>
                    <w:top w:val="nil"/>
                    <w:left w:val="single" w:sz="4" w:space="0" w:color="auto"/>
                    <w:bottom w:val="single" w:sz="4" w:space="0" w:color="auto"/>
                    <w:right w:val="single" w:sz="4" w:space="0" w:color="auto"/>
                  </w:tcBorders>
                  <w:shd w:val="clear" w:color="000000" w:fill="D9D9D9"/>
                  <w:vAlign w:val="center"/>
                  <w:hideMark/>
                </w:tcPr>
                <w:p w:rsidR="00202437" w:rsidRPr="00202437" w:rsidRDefault="00202437" w:rsidP="00400E0F">
                  <w:pPr>
                    <w:jc w:val="center"/>
                    <w:rPr>
                      <w:rFonts w:asciiTheme="minorHAnsi" w:hAnsiTheme="minorHAnsi" w:cstheme="minorHAnsi"/>
                      <w:b/>
                      <w:bCs/>
                    </w:rPr>
                  </w:pPr>
                  <w:r w:rsidRPr="00202437">
                    <w:rPr>
                      <w:rFonts w:asciiTheme="minorHAnsi" w:hAnsiTheme="minorHAnsi" w:cstheme="minorHAnsi"/>
                      <w:b/>
                      <w:bCs/>
                    </w:rPr>
                    <w:t xml:space="preserve">633,218 </w:t>
                  </w:r>
                </w:p>
              </w:tc>
              <w:tc>
                <w:tcPr>
                  <w:tcW w:w="1224" w:type="dxa"/>
                  <w:tcBorders>
                    <w:top w:val="nil"/>
                    <w:left w:val="single" w:sz="4" w:space="0" w:color="auto"/>
                    <w:bottom w:val="single" w:sz="4" w:space="0" w:color="auto"/>
                    <w:right w:val="single" w:sz="4" w:space="0" w:color="auto"/>
                  </w:tcBorders>
                  <w:shd w:val="clear" w:color="000000" w:fill="D9D9D9"/>
                  <w:vAlign w:val="center"/>
                  <w:hideMark/>
                </w:tcPr>
                <w:p w:rsidR="00202437" w:rsidRPr="00202437" w:rsidRDefault="00202437" w:rsidP="00400E0F">
                  <w:pPr>
                    <w:jc w:val="center"/>
                    <w:rPr>
                      <w:rFonts w:asciiTheme="minorHAnsi" w:hAnsiTheme="minorHAnsi" w:cstheme="minorHAnsi"/>
                      <w:b/>
                      <w:bCs/>
                    </w:rPr>
                  </w:pPr>
                  <w:r w:rsidRPr="00202437">
                    <w:rPr>
                      <w:rFonts w:asciiTheme="minorHAnsi" w:hAnsiTheme="minorHAnsi" w:cstheme="minorHAnsi"/>
                      <w:b/>
                      <w:bCs/>
                    </w:rPr>
                    <w:t xml:space="preserve">3,883 </w:t>
                  </w:r>
                </w:p>
              </w:tc>
              <w:tc>
                <w:tcPr>
                  <w:tcW w:w="892" w:type="dxa"/>
                  <w:tcBorders>
                    <w:top w:val="nil"/>
                    <w:left w:val="single" w:sz="4" w:space="0" w:color="auto"/>
                    <w:bottom w:val="single" w:sz="4" w:space="0" w:color="auto"/>
                    <w:right w:val="single" w:sz="4" w:space="0" w:color="auto"/>
                  </w:tcBorders>
                  <w:shd w:val="clear" w:color="000000" w:fill="D9D9D9"/>
                  <w:vAlign w:val="center"/>
                  <w:hideMark/>
                </w:tcPr>
                <w:p w:rsidR="00202437" w:rsidRPr="00202437" w:rsidRDefault="00202437" w:rsidP="00400E0F">
                  <w:pPr>
                    <w:jc w:val="center"/>
                    <w:rPr>
                      <w:rFonts w:asciiTheme="minorHAnsi" w:hAnsiTheme="minorHAnsi" w:cstheme="minorHAnsi"/>
                      <w:b/>
                      <w:bCs/>
                    </w:rPr>
                  </w:pPr>
                  <w:r w:rsidRPr="00202437">
                    <w:rPr>
                      <w:rFonts w:asciiTheme="minorHAnsi" w:hAnsiTheme="minorHAnsi" w:cstheme="minorHAnsi"/>
                      <w:b/>
                      <w:bCs/>
                    </w:rPr>
                    <w:t xml:space="preserve">21,512 </w:t>
                  </w:r>
                </w:p>
              </w:tc>
              <w:tc>
                <w:tcPr>
                  <w:tcW w:w="1303" w:type="dxa"/>
                  <w:tcBorders>
                    <w:top w:val="nil"/>
                    <w:left w:val="single" w:sz="4" w:space="0" w:color="auto"/>
                    <w:bottom w:val="single" w:sz="4" w:space="0" w:color="auto"/>
                    <w:right w:val="single" w:sz="4" w:space="0" w:color="auto"/>
                  </w:tcBorders>
                  <w:shd w:val="clear" w:color="000000" w:fill="D9D9D9"/>
                  <w:vAlign w:val="center"/>
                  <w:hideMark/>
                </w:tcPr>
                <w:p w:rsidR="00202437" w:rsidRPr="00202437" w:rsidRDefault="00202437" w:rsidP="00400E0F">
                  <w:pPr>
                    <w:jc w:val="center"/>
                    <w:rPr>
                      <w:rFonts w:asciiTheme="minorHAnsi" w:hAnsiTheme="minorHAnsi" w:cstheme="minorHAnsi"/>
                      <w:b/>
                      <w:bCs/>
                    </w:rPr>
                  </w:pPr>
                  <w:r w:rsidRPr="00202437">
                    <w:rPr>
                      <w:rFonts w:asciiTheme="minorHAnsi" w:hAnsiTheme="minorHAnsi" w:cstheme="minorHAnsi"/>
                      <w:b/>
                      <w:bCs/>
                    </w:rPr>
                    <w:t xml:space="preserve">894,462 </w:t>
                  </w:r>
                </w:p>
              </w:tc>
            </w:tr>
            <w:tr w:rsidR="00202437" w:rsidRPr="00202437" w:rsidTr="00400E0F">
              <w:trPr>
                <w:trHeight w:val="210"/>
              </w:trPr>
              <w:tc>
                <w:tcPr>
                  <w:tcW w:w="962" w:type="dxa"/>
                  <w:vMerge/>
                  <w:tcBorders>
                    <w:top w:val="nil"/>
                    <w:left w:val="single" w:sz="4" w:space="0" w:color="auto"/>
                    <w:bottom w:val="single" w:sz="4" w:space="0" w:color="auto"/>
                    <w:right w:val="single" w:sz="4" w:space="0" w:color="auto"/>
                  </w:tcBorders>
                  <w:vAlign w:val="center"/>
                  <w:hideMark/>
                </w:tcPr>
                <w:p w:rsidR="00202437" w:rsidRPr="00202437" w:rsidRDefault="00202437" w:rsidP="00400E0F">
                  <w:pPr>
                    <w:bidi/>
                    <w:rPr>
                      <w:rFonts w:asciiTheme="minorHAnsi" w:hAnsiTheme="minorHAnsi" w:cstheme="minorHAnsi"/>
                      <w:b/>
                      <w:bCs/>
                    </w:rPr>
                  </w:pPr>
                </w:p>
              </w:tc>
              <w:tc>
                <w:tcPr>
                  <w:tcW w:w="3298" w:type="dxa"/>
                  <w:tcBorders>
                    <w:top w:val="nil"/>
                    <w:left w:val="single" w:sz="4" w:space="0" w:color="auto"/>
                    <w:bottom w:val="single" w:sz="4" w:space="0" w:color="auto"/>
                    <w:right w:val="single" w:sz="4" w:space="0" w:color="auto"/>
                  </w:tcBorders>
                  <w:shd w:val="clear" w:color="000000" w:fill="D9D9D9"/>
                  <w:vAlign w:val="center"/>
                  <w:hideMark/>
                </w:tcPr>
                <w:p w:rsidR="00202437" w:rsidRPr="00202437" w:rsidRDefault="00202437" w:rsidP="00400E0F">
                  <w:pPr>
                    <w:bidi/>
                    <w:rPr>
                      <w:rFonts w:asciiTheme="minorHAnsi" w:hAnsiTheme="minorHAnsi" w:cstheme="minorHAnsi"/>
                      <w:b/>
                      <w:bCs/>
                      <w:rtl/>
                    </w:rPr>
                  </w:pPr>
                  <w:r w:rsidRPr="00202437">
                    <w:rPr>
                      <w:rFonts w:asciiTheme="minorHAnsi" w:hAnsiTheme="minorHAnsi" w:cstheme="minorHAnsi"/>
                      <w:b/>
                      <w:bCs/>
                      <w:rtl/>
                    </w:rPr>
                    <w:t>סה"כ (ממוצע יומי לפי 60 ימי מסחר)</w:t>
                  </w:r>
                </w:p>
              </w:tc>
              <w:tc>
                <w:tcPr>
                  <w:tcW w:w="895" w:type="dxa"/>
                  <w:tcBorders>
                    <w:top w:val="nil"/>
                    <w:left w:val="single" w:sz="4" w:space="0" w:color="auto"/>
                    <w:bottom w:val="single" w:sz="4" w:space="0" w:color="auto"/>
                    <w:right w:val="single" w:sz="4" w:space="0" w:color="auto"/>
                  </w:tcBorders>
                  <w:shd w:val="clear" w:color="000000" w:fill="D9D9D9"/>
                  <w:vAlign w:val="center"/>
                  <w:hideMark/>
                </w:tcPr>
                <w:p w:rsidR="00202437" w:rsidRPr="00202437" w:rsidRDefault="00202437" w:rsidP="00400E0F">
                  <w:pPr>
                    <w:jc w:val="center"/>
                    <w:rPr>
                      <w:rFonts w:asciiTheme="minorHAnsi" w:hAnsiTheme="minorHAnsi" w:cstheme="minorHAnsi"/>
                      <w:b/>
                      <w:bCs/>
                    </w:rPr>
                  </w:pPr>
                  <w:r w:rsidRPr="00202437">
                    <w:rPr>
                      <w:rFonts w:asciiTheme="minorHAnsi" w:hAnsiTheme="minorHAnsi" w:cstheme="minorHAnsi"/>
                      <w:b/>
                      <w:bCs/>
                    </w:rPr>
                    <w:t xml:space="preserve">3,931 </w:t>
                  </w:r>
                </w:p>
              </w:tc>
              <w:tc>
                <w:tcPr>
                  <w:tcW w:w="866" w:type="dxa"/>
                  <w:tcBorders>
                    <w:top w:val="nil"/>
                    <w:left w:val="single" w:sz="4" w:space="0" w:color="auto"/>
                    <w:bottom w:val="single" w:sz="4" w:space="0" w:color="auto"/>
                    <w:right w:val="single" w:sz="4" w:space="0" w:color="auto"/>
                  </w:tcBorders>
                  <w:shd w:val="clear" w:color="000000" w:fill="D9D9D9"/>
                  <w:vAlign w:val="center"/>
                  <w:hideMark/>
                </w:tcPr>
                <w:p w:rsidR="00202437" w:rsidRPr="00202437" w:rsidRDefault="00202437" w:rsidP="00400E0F">
                  <w:pPr>
                    <w:jc w:val="center"/>
                    <w:rPr>
                      <w:rFonts w:asciiTheme="minorHAnsi" w:hAnsiTheme="minorHAnsi" w:cstheme="minorHAnsi"/>
                      <w:b/>
                      <w:bCs/>
                    </w:rPr>
                  </w:pPr>
                  <w:r w:rsidRPr="00202437">
                    <w:rPr>
                      <w:rFonts w:asciiTheme="minorHAnsi" w:hAnsiTheme="minorHAnsi" w:cstheme="minorHAnsi"/>
                      <w:b/>
                      <w:bCs/>
                    </w:rPr>
                    <w:t xml:space="preserve">10,554 </w:t>
                  </w:r>
                </w:p>
              </w:tc>
              <w:tc>
                <w:tcPr>
                  <w:tcW w:w="1224" w:type="dxa"/>
                  <w:tcBorders>
                    <w:top w:val="nil"/>
                    <w:left w:val="single" w:sz="4" w:space="0" w:color="auto"/>
                    <w:bottom w:val="single" w:sz="4" w:space="0" w:color="auto"/>
                    <w:right w:val="single" w:sz="4" w:space="0" w:color="auto"/>
                  </w:tcBorders>
                  <w:shd w:val="clear" w:color="000000" w:fill="D9D9D9"/>
                  <w:vAlign w:val="center"/>
                  <w:hideMark/>
                </w:tcPr>
                <w:p w:rsidR="00202437" w:rsidRPr="00202437" w:rsidRDefault="00202437" w:rsidP="00400E0F">
                  <w:pPr>
                    <w:jc w:val="center"/>
                    <w:rPr>
                      <w:rFonts w:asciiTheme="minorHAnsi" w:hAnsiTheme="minorHAnsi" w:cstheme="minorHAnsi"/>
                      <w:b/>
                      <w:bCs/>
                    </w:rPr>
                  </w:pPr>
                  <w:r w:rsidRPr="00202437">
                    <w:rPr>
                      <w:rFonts w:asciiTheme="minorHAnsi" w:hAnsiTheme="minorHAnsi" w:cstheme="minorHAnsi"/>
                      <w:b/>
                      <w:bCs/>
                    </w:rPr>
                    <w:t xml:space="preserve">65 </w:t>
                  </w:r>
                </w:p>
              </w:tc>
              <w:tc>
                <w:tcPr>
                  <w:tcW w:w="892" w:type="dxa"/>
                  <w:tcBorders>
                    <w:top w:val="nil"/>
                    <w:left w:val="single" w:sz="4" w:space="0" w:color="auto"/>
                    <w:bottom w:val="single" w:sz="4" w:space="0" w:color="auto"/>
                    <w:right w:val="single" w:sz="4" w:space="0" w:color="auto"/>
                  </w:tcBorders>
                  <w:shd w:val="clear" w:color="000000" w:fill="D9D9D9"/>
                  <w:vAlign w:val="center"/>
                  <w:hideMark/>
                </w:tcPr>
                <w:p w:rsidR="00202437" w:rsidRPr="00202437" w:rsidRDefault="00202437" w:rsidP="00400E0F">
                  <w:pPr>
                    <w:jc w:val="center"/>
                    <w:rPr>
                      <w:rFonts w:asciiTheme="minorHAnsi" w:hAnsiTheme="minorHAnsi" w:cstheme="minorHAnsi"/>
                      <w:b/>
                      <w:bCs/>
                    </w:rPr>
                  </w:pPr>
                  <w:bookmarkStart w:id="1" w:name="RANGE!F7"/>
                  <w:r w:rsidRPr="00202437">
                    <w:rPr>
                      <w:rFonts w:asciiTheme="minorHAnsi" w:hAnsiTheme="minorHAnsi" w:cstheme="minorHAnsi"/>
                      <w:b/>
                      <w:bCs/>
                    </w:rPr>
                    <w:t xml:space="preserve">359 </w:t>
                  </w:r>
                  <w:bookmarkEnd w:id="1"/>
                </w:p>
              </w:tc>
              <w:tc>
                <w:tcPr>
                  <w:tcW w:w="1303" w:type="dxa"/>
                  <w:tcBorders>
                    <w:top w:val="nil"/>
                    <w:left w:val="single" w:sz="4" w:space="0" w:color="auto"/>
                    <w:bottom w:val="single" w:sz="4" w:space="0" w:color="auto"/>
                    <w:right w:val="single" w:sz="4" w:space="0" w:color="auto"/>
                  </w:tcBorders>
                  <w:shd w:val="clear" w:color="000000" w:fill="D9D9D9"/>
                  <w:vAlign w:val="center"/>
                  <w:hideMark/>
                </w:tcPr>
                <w:p w:rsidR="00202437" w:rsidRPr="00202437" w:rsidRDefault="00202437" w:rsidP="00400E0F">
                  <w:pPr>
                    <w:jc w:val="center"/>
                    <w:rPr>
                      <w:rFonts w:asciiTheme="minorHAnsi" w:hAnsiTheme="minorHAnsi" w:cstheme="minorHAnsi"/>
                      <w:b/>
                      <w:bCs/>
                    </w:rPr>
                  </w:pPr>
                  <w:r w:rsidRPr="00202437">
                    <w:rPr>
                      <w:rFonts w:asciiTheme="minorHAnsi" w:hAnsiTheme="minorHAnsi" w:cstheme="minorHAnsi"/>
                      <w:b/>
                      <w:bCs/>
                    </w:rPr>
                    <w:t xml:space="preserve">14,908 </w:t>
                  </w:r>
                </w:p>
              </w:tc>
            </w:tr>
            <w:tr w:rsidR="00202437" w:rsidRPr="00202437" w:rsidTr="00400E0F">
              <w:trPr>
                <w:trHeight w:val="210"/>
              </w:trPr>
              <w:tc>
                <w:tcPr>
                  <w:tcW w:w="962" w:type="dxa"/>
                  <w:vMerge/>
                  <w:tcBorders>
                    <w:top w:val="nil"/>
                    <w:left w:val="single" w:sz="4" w:space="0" w:color="auto"/>
                    <w:bottom w:val="single" w:sz="4" w:space="0" w:color="auto"/>
                    <w:right w:val="single" w:sz="4" w:space="0" w:color="auto"/>
                  </w:tcBorders>
                  <w:vAlign w:val="center"/>
                  <w:hideMark/>
                </w:tcPr>
                <w:p w:rsidR="00202437" w:rsidRPr="00202437" w:rsidRDefault="00202437" w:rsidP="00400E0F">
                  <w:pPr>
                    <w:bidi/>
                    <w:rPr>
                      <w:rFonts w:asciiTheme="minorHAnsi" w:hAnsiTheme="minorHAnsi" w:cstheme="minorHAnsi"/>
                      <w:b/>
                      <w:bCs/>
                    </w:rPr>
                  </w:pPr>
                </w:p>
              </w:tc>
              <w:tc>
                <w:tcPr>
                  <w:tcW w:w="3298"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bidi/>
                    <w:rPr>
                      <w:rFonts w:asciiTheme="minorHAnsi" w:hAnsiTheme="minorHAnsi" w:cstheme="minorHAnsi"/>
                      <w:b/>
                      <w:bCs/>
                    </w:rPr>
                  </w:pPr>
                  <w:r w:rsidRPr="00202437">
                    <w:rPr>
                      <w:rFonts w:asciiTheme="minorHAnsi" w:hAnsiTheme="minorHAnsi" w:cstheme="minorHAnsi"/>
                      <w:b/>
                      <w:bCs/>
                      <w:rtl/>
                    </w:rPr>
                    <w:t>תושבי חוץ</w:t>
                  </w:r>
                </w:p>
              </w:tc>
              <w:tc>
                <w:tcPr>
                  <w:tcW w:w="895"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71,723 </w:t>
                  </w:r>
                </w:p>
              </w:tc>
              <w:tc>
                <w:tcPr>
                  <w:tcW w:w="866"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291,710 </w:t>
                  </w:r>
                </w:p>
              </w:tc>
              <w:tc>
                <w:tcPr>
                  <w:tcW w:w="1224"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1,199 </w:t>
                  </w:r>
                </w:p>
              </w:tc>
              <w:tc>
                <w:tcPr>
                  <w:tcW w:w="892"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7,220 </w:t>
                  </w:r>
                </w:p>
              </w:tc>
              <w:tc>
                <w:tcPr>
                  <w:tcW w:w="1303"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371,852 </w:t>
                  </w:r>
                </w:p>
              </w:tc>
            </w:tr>
            <w:tr w:rsidR="00202437" w:rsidRPr="00202437" w:rsidTr="00400E0F">
              <w:trPr>
                <w:trHeight w:val="210"/>
              </w:trPr>
              <w:tc>
                <w:tcPr>
                  <w:tcW w:w="962" w:type="dxa"/>
                  <w:vMerge/>
                  <w:tcBorders>
                    <w:top w:val="nil"/>
                    <w:left w:val="single" w:sz="4" w:space="0" w:color="auto"/>
                    <w:bottom w:val="single" w:sz="4" w:space="0" w:color="auto"/>
                    <w:right w:val="single" w:sz="4" w:space="0" w:color="auto"/>
                  </w:tcBorders>
                  <w:vAlign w:val="center"/>
                  <w:hideMark/>
                </w:tcPr>
                <w:p w:rsidR="00202437" w:rsidRPr="00202437" w:rsidRDefault="00202437" w:rsidP="00400E0F">
                  <w:pPr>
                    <w:bidi/>
                    <w:rPr>
                      <w:rFonts w:asciiTheme="minorHAnsi" w:hAnsiTheme="minorHAnsi" w:cstheme="minorHAnsi"/>
                      <w:b/>
                      <w:bCs/>
                    </w:rPr>
                  </w:pPr>
                </w:p>
              </w:tc>
              <w:tc>
                <w:tcPr>
                  <w:tcW w:w="3298"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bidi/>
                    <w:rPr>
                      <w:rFonts w:asciiTheme="minorHAnsi" w:hAnsiTheme="minorHAnsi" w:cstheme="minorHAnsi"/>
                      <w:b/>
                      <w:bCs/>
                    </w:rPr>
                  </w:pPr>
                  <w:r w:rsidRPr="00202437">
                    <w:rPr>
                      <w:rFonts w:asciiTheme="minorHAnsi" w:hAnsiTheme="minorHAnsi" w:cstheme="minorHAnsi"/>
                      <w:b/>
                      <w:bCs/>
                      <w:rtl/>
                    </w:rPr>
                    <w:t>מזה: מוסדות פיננסיים זרים</w:t>
                  </w:r>
                </w:p>
              </w:tc>
              <w:tc>
                <w:tcPr>
                  <w:tcW w:w="895"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70,972 </w:t>
                  </w:r>
                </w:p>
              </w:tc>
              <w:tc>
                <w:tcPr>
                  <w:tcW w:w="866"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291,710 </w:t>
                  </w:r>
                </w:p>
              </w:tc>
              <w:tc>
                <w:tcPr>
                  <w:tcW w:w="1224"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1,199 </w:t>
                  </w:r>
                </w:p>
              </w:tc>
              <w:tc>
                <w:tcPr>
                  <w:tcW w:w="892"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7,220 </w:t>
                  </w:r>
                </w:p>
              </w:tc>
              <w:tc>
                <w:tcPr>
                  <w:tcW w:w="1303"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371,100 </w:t>
                  </w:r>
                </w:p>
              </w:tc>
            </w:tr>
            <w:tr w:rsidR="00202437" w:rsidRPr="00202437" w:rsidTr="00400E0F">
              <w:trPr>
                <w:trHeight w:val="210"/>
              </w:trPr>
              <w:tc>
                <w:tcPr>
                  <w:tcW w:w="962" w:type="dxa"/>
                  <w:vMerge/>
                  <w:tcBorders>
                    <w:top w:val="nil"/>
                    <w:left w:val="single" w:sz="4" w:space="0" w:color="auto"/>
                    <w:bottom w:val="single" w:sz="4" w:space="0" w:color="auto"/>
                    <w:right w:val="single" w:sz="4" w:space="0" w:color="auto"/>
                  </w:tcBorders>
                  <w:vAlign w:val="center"/>
                  <w:hideMark/>
                </w:tcPr>
                <w:p w:rsidR="00202437" w:rsidRPr="00202437" w:rsidRDefault="00202437" w:rsidP="00400E0F">
                  <w:pPr>
                    <w:bidi/>
                    <w:rPr>
                      <w:rFonts w:asciiTheme="minorHAnsi" w:hAnsiTheme="minorHAnsi" w:cstheme="minorHAnsi"/>
                      <w:b/>
                      <w:bCs/>
                    </w:rPr>
                  </w:pPr>
                </w:p>
              </w:tc>
              <w:tc>
                <w:tcPr>
                  <w:tcW w:w="3298"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bidi/>
                    <w:rPr>
                      <w:rFonts w:asciiTheme="minorHAnsi" w:hAnsiTheme="minorHAnsi" w:cstheme="minorHAnsi"/>
                      <w:b/>
                      <w:bCs/>
                    </w:rPr>
                  </w:pPr>
                  <w:r w:rsidRPr="00202437">
                    <w:rPr>
                      <w:rFonts w:asciiTheme="minorHAnsi" w:hAnsiTheme="minorHAnsi" w:cstheme="minorHAnsi"/>
                      <w:b/>
                      <w:bCs/>
                      <w:rtl/>
                    </w:rPr>
                    <w:t>תושבי ישראל</w:t>
                  </w:r>
                </w:p>
              </w:tc>
              <w:tc>
                <w:tcPr>
                  <w:tcW w:w="895"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164,126 </w:t>
                  </w:r>
                </w:p>
              </w:tc>
              <w:tc>
                <w:tcPr>
                  <w:tcW w:w="866"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341,507 </w:t>
                  </w:r>
                </w:p>
              </w:tc>
              <w:tc>
                <w:tcPr>
                  <w:tcW w:w="1224"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2,685 </w:t>
                  </w:r>
                </w:p>
              </w:tc>
              <w:tc>
                <w:tcPr>
                  <w:tcW w:w="892"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14,292 </w:t>
                  </w:r>
                </w:p>
              </w:tc>
              <w:tc>
                <w:tcPr>
                  <w:tcW w:w="1303"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522,610 </w:t>
                  </w:r>
                </w:p>
              </w:tc>
            </w:tr>
            <w:tr w:rsidR="00202437" w:rsidRPr="00202437" w:rsidTr="00400E0F">
              <w:trPr>
                <w:trHeight w:val="210"/>
              </w:trPr>
              <w:tc>
                <w:tcPr>
                  <w:tcW w:w="962" w:type="dxa"/>
                  <w:vMerge/>
                  <w:tcBorders>
                    <w:top w:val="nil"/>
                    <w:left w:val="single" w:sz="4" w:space="0" w:color="auto"/>
                    <w:bottom w:val="single" w:sz="4" w:space="0" w:color="auto"/>
                    <w:right w:val="single" w:sz="4" w:space="0" w:color="auto"/>
                  </w:tcBorders>
                  <w:vAlign w:val="center"/>
                  <w:hideMark/>
                </w:tcPr>
                <w:p w:rsidR="00202437" w:rsidRPr="00202437" w:rsidRDefault="00202437" w:rsidP="00400E0F">
                  <w:pPr>
                    <w:bidi/>
                    <w:rPr>
                      <w:rFonts w:asciiTheme="minorHAnsi" w:hAnsiTheme="minorHAnsi" w:cstheme="minorHAnsi"/>
                      <w:b/>
                      <w:bCs/>
                    </w:rPr>
                  </w:pPr>
                </w:p>
              </w:tc>
              <w:tc>
                <w:tcPr>
                  <w:tcW w:w="3298"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bidi/>
                    <w:rPr>
                      <w:rFonts w:asciiTheme="minorHAnsi" w:hAnsiTheme="minorHAnsi" w:cstheme="minorHAnsi"/>
                      <w:b/>
                      <w:bCs/>
                    </w:rPr>
                  </w:pPr>
                  <w:r w:rsidRPr="00202437">
                    <w:rPr>
                      <w:rFonts w:asciiTheme="minorHAnsi" w:hAnsiTheme="minorHAnsi" w:cstheme="minorHAnsi"/>
                      <w:b/>
                      <w:bCs/>
                      <w:rtl/>
                    </w:rPr>
                    <w:t>מזה: סקטור ריאלי</w:t>
                  </w:r>
                </w:p>
              </w:tc>
              <w:tc>
                <w:tcPr>
                  <w:tcW w:w="895"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45,082 </w:t>
                  </w:r>
                </w:p>
              </w:tc>
              <w:tc>
                <w:tcPr>
                  <w:tcW w:w="866"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41,740 </w:t>
                  </w:r>
                </w:p>
              </w:tc>
              <w:tc>
                <w:tcPr>
                  <w:tcW w:w="1224"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242 </w:t>
                  </w:r>
                </w:p>
              </w:tc>
              <w:tc>
                <w:tcPr>
                  <w:tcW w:w="892"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7,940 </w:t>
                  </w:r>
                </w:p>
              </w:tc>
              <w:tc>
                <w:tcPr>
                  <w:tcW w:w="1303"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95,004 </w:t>
                  </w:r>
                </w:p>
              </w:tc>
            </w:tr>
            <w:tr w:rsidR="00202437" w:rsidRPr="00202437" w:rsidTr="00400E0F">
              <w:trPr>
                <w:trHeight w:val="210"/>
              </w:trPr>
              <w:tc>
                <w:tcPr>
                  <w:tcW w:w="962" w:type="dxa"/>
                  <w:vMerge/>
                  <w:tcBorders>
                    <w:top w:val="nil"/>
                    <w:left w:val="single" w:sz="4" w:space="0" w:color="auto"/>
                    <w:bottom w:val="single" w:sz="4" w:space="0" w:color="auto"/>
                    <w:right w:val="single" w:sz="4" w:space="0" w:color="auto"/>
                  </w:tcBorders>
                  <w:vAlign w:val="center"/>
                  <w:hideMark/>
                </w:tcPr>
                <w:p w:rsidR="00202437" w:rsidRPr="00202437" w:rsidRDefault="00202437" w:rsidP="00400E0F">
                  <w:pPr>
                    <w:bidi/>
                    <w:rPr>
                      <w:rFonts w:asciiTheme="minorHAnsi" w:hAnsiTheme="minorHAnsi" w:cstheme="minorHAnsi"/>
                      <w:b/>
                      <w:bCs/>
                    </w:rPr>
                  </w:pPr>
                </w:p>
              </w:tc>
              <w:tc>
                <w:tcPr>
                  <w:tcW w:w="3298"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bidi/>
                    <w:rPr>
                      <w:rFonts w:asciiTheme="minorHAnsi" w:hAnsiTheme="minorHAnsi" w:cstheme="minorHAnsi"/>
                      <w:b/>
                      <w:bCs/>
                    </w:rPr>
                  </w:pPr>
                  <w:r w:rsidRPr="00202437">
                    <w:rPr>
                      <w:rFonts w:asciiTheme="minorHAnsi" w:hAnsiTheme="minorHAnsi" w:cstheme="minorHAnsi"/>
                      <w:b/>
                      <w:bCs/>
                      <w:rtl/>
                    </w:rPr>
                    <w:t xml:space="preserve">         סקטור פיננסי</w:t>
                  </w:r>
                </w:p>
              </w:tc>
              <w:tc>
                <w:tcPr>
                  <w:tcW w:w="895"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35,955 </w:t>
                  </w:r>
                </w:p>
              </w:tc>
              <w:tc>
                <w:tcPr>
                  <w:tcW w:w="866"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134,075 </w:t>
                  </w:r>
                </w:p>
              </w:tc>
              <w:tc>
                <w:tcPr>
                  <w:tcW w:w="1224"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1,974 </w:t>
                  </w:r>
                </w:p>
              </w:tc>
              <w:tc>
                <w:tcPr>
                  <w:tcW w:w="892"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1,114 </w:t>
                  </w:r>
                </w:p>
              </w:tc>
              <w:tc>
                <w:tcPr>
                  <w:tcW w:w="1303"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173,118 </w:t>
                  </w:r>
                </w:p>
              </w:tc>
            </w:tr>
            <w:tr w:rsidR="00202437" w:rsidRPr="00202437" w:rsidTr="00400E0F">
              <w:trPr>
                <w:trHeight w:val="210"/>
              </w:trPr>
              <w:tc>
                <w:tcPr>
                  <w:tcW w:w="962" w:type="dxa"/>
                  <w:vMerge/>
                  <w:tcBorders>
                    <w:top w:val="nil"/>
                    <w:left w:val="single" w:sz="4" w:space="0" w:color="auto"/>
                    <w:bottom w:val="single" w:sz="4" w:space="0" w:color="auto"/>
                    <w:right w:val="single" w:sz="4" w:space="0" w:color="auto"/>
                  </w:tcBorders>
                  <w:vAlign w:val="center"/>
                  <w:hideMark/>
                </w:tcPr>
                <w:p w:rsidR="00202437" w:rsidRPr="00202437" w:rsidRDefault="00202437" w:rsidP="00400E0F">
                  <w:pPr>
                    <w:bidi/>
                    <w:rPr>
                      <w:rFonts w:asciiTheme="minorHAnsi" w:hAnsiTheme="minorHAnsi" w:cstheme="minorHAnsi"/>
                      <w:b/>
                      <w:bCs/>
                    </w:rPr>
                  </w:pPr>
                </w:p>
              </w:tc>
              <w:tc>
                <w:tcPr>
                  <w:tcW w:w="3298"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bidi/>
                    <w:rPr>
                      <w:rFonts w:asciiTheme="minorHAnsi" w:hAnsiTheme="minorHAnsi" w:cstheme="minorHAnsi"/>
                      <w:b/>
                      <w:bCs/>
                    </w:rPr>
                  </w:pPr>
                  <w:r w:rsidRPr="00202437">
                    <w:rPr>
                      <w:rFonts w:asciiTheme="minorHAnsi" w:hAnsiTheme="minorHAnsi" w:cstheme="minorHAnsi"/>
                      <w:b/>
                      <w:bCs/>
                      <w:rtl/>
                    </w:rPr>
                    <w:t xml:space="preserve">         מוסדיים (כולל חברות ביטוח)</w:t>
                  </w:r>
                </w:p>
              </w:tc>
              <w:tc>
                <w:tcPr>
                  <w:tcW w:w="895"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59,083 </w:t>
                  </w:r>
                </w:p>
              </w:tc>
              <w:tc>
                <w:tcPr>
                  <w:tcW w:w="866"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127,715 </w:t>
                  </w:r>
                </w:p>
              </w:tc>
              <w:tc>
                <w:tcPr>
                  <w:tcW w:w="1224"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0 </w:t>
                  </w:r>
                </w:p>
              </w:tc>
              <w:tc>
                <w:tcPr>
                  <w:tcW w:w="892"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3,148 </w:t>
                  </w:r>
                </w:p>
              </w:tc>
              <w:tc>
                <w:tcPr>
                  <w:tcW w:w="1303"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189,947 </w:t>
                  </w:r>
                </w:p>
              </w:tc>
            </w:tr>
            <w:tr w:rsidR="00202437" w:rsidRPr="00202437" w:rsidTr="00400E0F">
              <w:trPr>
                <w:trHeight w:val="210"/>
              </w:trPr>
              <w:tc>
                <w:tcPr>
                  <w:tcW w:w="962" w:type="dxa"/>
                  <w:vMerge/>
                  <w:tcBorders>
                    <w:top w:val="nil"/>
                    <w:left w:val="single" w:sz="4" w:space="0" w:color="auto"/>
                    <w:bottom w:val="single" w:sz="4" w:space="0" w:color="auto"/>
                    <w:right w:val="single" w:sz="4" w:space="0" w:color="auto"/>
                  </w:tcBorders>
                  <w:vAlign w:val="center"/>
                  <w:hideMark/>
                </w:tcPr>
                <w:p w:rsidR="00202437" w:rsidRPr="00202437" w:rsidRDefault="00202437" w:rsidP="00400E0F">
                  <w:pPr>
                    <w:bidi/>
                    <w:rPr>
                      <w:rFonts w:asciiTheme="minorHAnsi" w:hAnsiTheme="minorHAnsi" w:cstheme="minorHAnsi"/>
                      <w:b/>
                      <w:bCs/>
                    </w:rPr>
                  </w:pPr>
                </w:p>
              </w:tc>
              <w:tc>
                <w:tcPr>
                  <w:tcW w:w="3298"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bidi/>
                    <w:rPr>
                      <w:rFonts w:asciiTheme="minorHAnsi" w:hAnsiTheme="minorHAnsi" w:cstheme="minorHAnsi"/>
                      <w:b/>
                      <w:bCs/>
                    </w:rPr>
                  </w:pPr>
                  <w:r w:rsidRPr="00202437">
                    <w:rPr>
                      <w:rFonts w:asciiTheme="minorHAnsi" w:hAnsiTheme="minorHAnsi" w:cstheme="minorHAnsi"/>
                      <w:b/>
                      <w:bCs/>
                      <w:rtl/>
                    </w:rPr>
                    <w:t xml:space="preserve">         יחידים</w:t>
                  </w:r>
                </w:p>
              </w:tc>
              <w:tc>
                <w:tcPr>
                  <w:tcW w:w="895"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5,993 </w:t>
                  </w:r>
                </w:p>
              </w:tc>
              <w:tc>
                <w:tcPr>
                  <w:tcW w:w="866"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479 </w:t>
                  </w:r>
                </w:p>
              </w:tc>
              <w:tc>
                <w:tcPr>
                  <w:tcW w:w="1224"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0 </w:t>
                  </w:r>
                </w:p>
              </w:tc>
              <w:tc>
                <w:tcPr>
                  <w:tcW w:w="892"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52 </w:t>
                  </w:r>
                </w:p>
              </w:tc>
              <w:tc>
                <w:tcPr>
                  <w:tcW w:w="1303"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6,523 </w:t>
                  </w:r>
                </w:p>
              </w:tc>
            </w:tr>
            <w:tr w:rsidR="00202437" w:rsidRPr="00202437" w:rsidTr="00400E0F">
              <w:trPr>
                <w:trHeight w:val="210"/>
              </w:trPr>
              <w:tc>
                <w:tcPr>
                  <w:tcW w:w="962" w:type="dxa"/>
                  <w:vMerge/>
                  <w:tcBorders>
                    <w:top w:val="nil"/>
                    <w:left w:val="single" w:sz="4" w:space="0" w:color="auto"/>
                    <w:bottom w:val="single" w:sz="4" w:space="0" w:color="auto"/>
                    <w:right w:val="single" w:sz="4" w:space="0" w:color="auto"/>
                  </w:tcBorders>
                  <w:vAlign w:val="center"/>
                  <w:hideMark/>
                </w:tcPr>
                <w:p w:rsidR="00202437" w:rsidRPr="00202437" w:rsidRDefault="00202437" w:rsidP="00400E0F">
                  <w:pPr>
                    <w:bidi/>
                    <w:rPr>
                      <w:rFonts w:asciiTheme="minorHAnsi" w:hAnsiTheme="minorHAnsi" w:cstheme="minorHAnsi"/>
                      <w:b/>
                      <w:bCs/>
                    </w:rPr>
                  </w:pPr>
                </w:p>
              </w:tc>
              <w:tc>
                <w:tcPr>
                  <w:tcW w:w="3298"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bidi/>
                    <w:rPr>
                      <w:rFonts w:asciiTheme="minorHAnsi" w:hAnsiTheme="minorHAnsi" w:cstheme="minorHAnsi"/>
                      <w:b/>
                      <w:bCs/>
                    </w:rPr>
                  </w:pPr>
                  <w:r w:rsidRPr="00202437">
                    <w:rPr>
                      <w:rFonts w:asciiTheme="minorHAnsi" w:hAnsiTheme="minorHAnsi" w:cstheme="minorHAnsi"/>
                      <w:b/>
                      <w:bCs/>
                      <w:rtl/>
                    </w:rPr>
                    <w:t xml:space="preserve">         אחרים</w:t>
                  </w:r>
                  <w:r w:rsidRPr="00202437">
                    <w:rPr>
                      <w:rFonts w:asciiTheme="minorHAnsi" w:hAnsiTheme="minorHAnsi" w:cstheme="minorHAnsi"/>
                      <w:b/>
                      <w:bCs/>
                      <w:vertAlign w:val="superscript"/>
                      <w:rtl/>
                    </w:rPr>
                    <w:t>4</w:t>
                  </w:r>
                </w:p>
              </w:tc>
              <w:tc>
                <w:tcPr>
                  <w:tcW w:w="895"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752 </w:t>
                  </w:r>
                </w:p>
              </w:tc>
              <w:tc>
                <w:tcPr>
                  <w:tcW w:w="866"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0 </w:t>
                  </w:r>
                </w:p>
              </w:tc>
              <w:tc>
                <w:tcPr>
                  <w:tcW w:w="1224"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0 </w:t>
                  </w:r>
                </w:p>
              </w:tc>
              <w:tc>
                <w:tcPr>
                  <w:tcW w:w="892"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0 </w:t>
                  </w:r>
                </w:p>
              </w:tc>
              <w:tc>
                <w:tcPr>
                  <w:tcW w:w="1303"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752 </w:t>
                  </w:r>
                </w:p>
              </w:tc>
            </w:tr>
            <w:tr w:rsidR="00202437" w:rsidRPr="00202437" w:rsidTr="00400E0F">
              <w:trPr>
                <w:trHeight w:val="210"/>
              </w:trPr>
              <w:tc>
                <w:tcPr>
                  <w:tcW w:w="962" w:type="dxa"/>
                  <w:vMerge/>
                  <w:tcBorders>
                    <w:top w:val="nil"/>
                    <w:left w:val="single" w:sz="4" w:space="0" w:color="auto"/>
                    <w:bottom w:val="single" w:sz="4" w:space="0" w:color="auto"/>
                    <w:right w:val="single" w:sz="4" w:space="0" w:color="auto"/>
                  </w:tcBorders>
                  <w:vAlign w:val="center"/>
                  <w:hideMark/>
                </w:tcPr>
                <w:p w:rsidR="00202437" w:rsidRPr="00202437" w:rsidRDefault="00202437" w:rsidP="00400E0F">
                  <w:pPr>
                    <w:bidi/>
                    <w:rPr>
                      <w:rFonts w:asciiTheme="minorHAnsi" w:hAnsiTheme="minorHAnsi" w:cstheme="minorHAnsi"/>
                      <w:b/>
                      <w:bCs/>
                    </w:rPr>
                  </w:pPr>
                </w:p>
              </w:tc>
              <w:tc>
                <w:tcPr>
                  <w:tcW w:w="3298"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bidi/>
                    <w:rPr>
                      <w:rFonts w:asciiTheme="minorHAnsi" w:hAnsiTheme="minorHAnsi" w:cstheme="minorHAnsi"/>
                      <w:b/>
                      <w:bCs/>
                    </w:rPr>
                  </w:pPr>
                  <w:r w:rsidRPr="00202437">
                    <w:rPr>
                      <w:rFonts w:asciiTheme="minorHAnsi" w:hAnsiTheme="minorHAnsi" w:cstheme="minorHAnsi"/>
                      <w:b/>
                      <w:bCs/>
                      <w:rtl/>
                    </w:rPr>
                    <w:t xml:space="preserve">         בנקים מקומיים</w:t>
                  </w:r>
                  <w:r w:rsidRPr="00202437">
                    <w:rPr>
                      <w:rFonts w:asciiTheme="minorHAnsi" w:hAnsiTheme="minorHAnsi" w:cstheme="minorHAnsi"/>
                      <w:b/>
                      <w:bCs/>
                      <w:vertAlign w:val="superscript"/>
                      <w:rtl/>
                    </w:rPr>
                    <w:t>5</w:t>
                  </w:r>
                </w:p>
              </w:tc>
              <w:tc>
                <w:tcPr>
                  <w:tcW w:w="895"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8,857 </w:t>
                  </w:r>
                </w:p>
              </w:tc>
              <w:tc>
                <w:tcPr>
                  <w:tcW w:w="866"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17,111 </w:t>
                  </w:r>
                </w:p>
              </w:tc>
              <w:tc>
                <w:tcPr>
                  <w:tcW w:w="1224"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285 </w:t>
                  </w:r>
                </w:p>
              </w:tc>
              <w:tc>
                <w:tcPr>
                  <w:tcW w:w="892"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1,544 </w:t>
                  </w:r>
                </w:p>
              </w:tc>
              <w:tc>
                <w:tcPr>
                  <w:tcW w:w="1303"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27,796 </w:t>
                  </w:r>
                </w:p>
              </w:tc>
            </w:tr>
            <w:tr w:rsidR="00202437" w:rsidRPr="00202437" w:rsidTr="00400E0F">
              <w:trPr>
                <w:trHeight w:val="210"/>
              </w:trPr>
              <w:tc>
                <w:tcPr>
                  <w:tcW w:w="962" w:type="dxa"/>
                  <w:vMerge w:val="restart"/>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bidi/>
                    <w:jc w:val="center"/>
                    <w:rPr>
                      <w:rFonts w:asciiTheme="minorHAnsi" w:hAnsiTheme="minorHAnsi" w:cstheme="minorHAnsi"/>
                      <w:b/>
                      <w:bCs/>
                    </w:rPr>
                  </w:pPr>
                  <w:r w:rsidRPr="00202437">
                    <w:rPr>
                      <w:rFonts w:asciiTheme="minorHAnsi" w:hAnsiTheme="minorHAnsi" w:cstheme="minorHAnsi"/>
                      <w:b/>
                      <w:bCs/>
                      <w:rtl/>
                    </w:rPr>
                    <w:t>רבעון שלישי 2025</w:t>
                  </w:r>
                </w:p>
              </w:tc>
              <w:tc>
                <w:tcPr>
                  <w:tcW w:w="3298" w:type="dxa"/>
                  <w:tcBorders>
                    <w:top w:val="nil"/>
                    <w:left w:val="single" w:sz="4" w:space="0" w:color="auto"/>
                    <w:bottom w:val="single" w:sz="4" w:space="0" w:color="auto"/>
                    <w:right w:val="single" w:sz="4" w:space="0" w:color="auto"/>
                  </w:tcBorders>
                  <w:shd w:val="clear" w:color="000000" w:fill="D9D9D9"/>
                  <w:vAlign w:val="center"/>
                  <w:hideMark/>
                </w:tcPr>
                <w:p w:rsidR="00202437" w:rsidRPr="00202437" w:rsidRDefault="00202437" w:rsidP="00400E0F">
                  <w:pPr>
                    <w:bidi/>
                    <w:rPr>
                      <w:rFonts w:asciiTheme="minorHAnsi" w:hAnsiTheme="minorHAnsi" w:cstheme="minorHAnsi"/>
                      <w:b/>
                      <w:bCs/>
                    </w:rPr>
                  </w:pPr>
                  <w:r w:rsidRPr="00202437">
                    <w:rPr>
                      <w:rFonts w:asciiTheme="minorHAnsi" w:hAnsiTheme="minorHAnsi" w:cstheme="minorHAnsi"/>
                      <w:b/>
                      <w:bCs/>
                      <w:rtl/>
                    </w:rPr>
                    <w:t>סה"כ</w:t>
                  </w:r>
                </w:p>
              </w:tc>
              <w:tc>
                <w:tcPr>
                  <w:tcW w:w="895" w:type="dxa"/>
                  <w:tcBorders>
                    <w:top w:val="nil"/>
                    <w:left w:val="single" w:sz="4" w:space="0" w:color="auto"/>
                    <w:bottom w:val="single" w:sz="4" w:space="0" w:color="auto"/>
                    <w:right w:val="single" w:sz="4" w:space="0" w:color="auto"/>
                  </w:tcBorders>
                  <w:shd w:val="clear" w:color="000000" w:fill="D9D9D9"/>
                  <w:vAlign w:val="center"/>
                  <w:hideMark/>
                </w:tcPr>
                <w:p w:rsidR="00202437" w:rsidRPr="00202437" w:rsidRDefault="00202437" w:rsidP="00400E0F">
                  <w:pPr>
                    <w:jc w:val="center"/>
                    <w:rPr>
                      <w:rFonts w:asciiTheme="minorHAnsi" w:hAnsiTheme="minorHAnsi" w:cstheme="minorHAnsi"/>
                      <w:b/>
                      <w:bCs/>
                    </w:rPr>
                  </w:pPr>
                  <w:bookmarkStart w:id="2" w:name="RANGE!C17"/>
                  <w:r w:rsidRPr="00202437">
                    <w:rPr>
                      <w:rFonts w:asciiTheme="minorHAnsi" w:hAnsiTheme="minorHAnsi" w:cstheme="minorHAnsi"/>
                      <w:b/>
                      <w:bCs/>
                    </w:rPr>
                    <w:t xml:space="preserve">208,483 </w:t>
                  </w:r>
                  <w:bookmarkEnd w:id="2"/>
                </w:p>
              </w:tc>
              <w:tc>
                <w:tcPr>
                  <w:tcW w:w="866" w:type="dxa"/>
                  <w:tcBorders>
                    <w:top w:val="nil"/>
                    <w:left w:val="single" w:sz="4" w:space="0" w:color="auto"/>
                    <w:bottom w:val="single" w:sz="4" w:space="0" w:color="auto"/>
                    <w:right w:val="single" w:sz="4" w:space="0" w:color="auto"/>
                  </w:tcBorders>
                  <w:shd w:val="clear" w:color="000000" w:fill="D9D9D9"/>
                  <w:vAlign w:val="center"/>
                  <w:hideMark/>
                </w:tcPr>
                <w:p w:rsidR="00202437" w:rsidRPr="00202437" w:rsidRDefault="00202437" w:rsidP="00400E0F">
                  <w:pPr>
                    <w:jc w:val="center"/>
                    <w:rPr>
                      <w:rFonts w:asciiTheme="minorHAnsi" w:hAnsiTheme="minorHAnsi" w:cstheme="minorHAnsi"/>
                      <w:b/>
                      <w:bCs/>
                    </w:rPr>
                  </w:pPr>
                  <w:r w:rsidRPr="00202437">
                    <w:rPr>
                      <w:rFonts w:asciiTheme="minorHAnsi" w:hAnsiTheme="minorHAnsi" w:cstheme="minorHAnsi"/>
                      <w:b/>
                      <w:bCs/>
                    </w:rPr>
                    <w:t xml:space="preserve">537,265 </w:t>
                  </w:r>
                </w:p>
              </w:tc>
              <w:tc>
                <w:tcPr>
                  <w:tcW w:w="1224" w:type="dxa"/>
                  <w:tcBorders>
                    <w:top w:val="nil"/>
                    <w:left w:val="single" w:sz="4" w:space="0" w:color="auto"/>
                    <w:bottom w:val="single" w:sz="4" w:space="0" w:color="auto"/>
                    <w:right w:val="single" w:sz="4" w:space="0" w:color="auto"/>
                  </w:tcBorders>
                  <w:shd w:val="clear" w:color="000000" w:fill="D9D9D9"/>
                  <w:vAlign w:val="center"/>
                  <w:hideMark/>
                </w:tcPr>
                <w:p w:rsidR="00202437" w:rsidRPr="00202437" w:rsidRDefault="00202437" w:rsidP="00400E0F">
                  <w:pPr>
                    <w:jc w:val="center"/>
                    <w:rPr>
                      <w:rFonts w:asciiTheme="minorHAnsi" w:hAnsiTheme="minorHAnsi" w:cstheme="minorHAnsi"/>
                      <w:b/>
                      <w:bCs/>
                    </w:rPr>
                  </w:pPr>
                  <w:r w:rsidRPr="00202437">
                    <w:rPr>
                      <w:rFonts w:asciiTheme="minorHAnsi" w:hAnsiTheme="minorHAnsi" w:cstheme="minorHAnsi"/>
                      <w:b/>
                      <w:bCs/>
                    </w:rPr>
                    <w:t xml:space="preserve">2,983 </w:t>
                  </w:r>
                </w:p>
              </w:tc>
              <w:tc>
                <w:tcPr>
                  <w:tcW w:w="892" w:type="dxa"/>
                  <w:tcBorders>
                    <w:top w:val="nil"/>
                    <w:left w:val="single" w:sz="4" w:space="0" w:color="auto"/>
                    <w:bottom w:val="single" w:sz="4" w:space="0" w:color="auto"/>
                    <w:right w:val="single" w:sz="4" w:space="0" w:color="auto"/>
                  </w:tcBorders>
                  <w:shd w:val="clear" w:color="000000" w:fill="D9D9D9"/>
                  <w:vAlign w:val="center"/>
                  <w:hideMark/>
                </w:tcPr>
                <w:p w:rsidR="00202437" w:rsidRPr="00202437" w:rsidRDefault="00202437" w:rsidP="00400E0F">
                  <w:pPr>
                    <w:jc w:val="center"/>
                    <w:rPr>
                      <w:rFonts w:asciiTheme="minorHAnsi" w:hAnsiTheme="minorHAnsi" w:cstheme="minorHAnsi"/>
                      <w:b/>
                      <w:bCs/>
                    </w:rPr>
                  </w:pPr>
                  <w:r w:rsidRPr="00202437">
                    <w:rPr>
                      <w:rFonts w:asciiTheme="minorHAnsi" w:hAnsiTheme="minorHAnsi" w:cstheme="minorHAnsi"/>
                      <w:b/>
                      <w:bCs/>
                    </w:rPr>
                    <w:t xml:space="preserve">23,990 </w:t>
                  </w:r>
                </w:p>
              </w:tc>
              <w:tc>
                <w:tcPr>
                  <w:tcW w:w="1303" w:type="dxa"/>
                  <w:tcBorders>
                    <w:top w:val="nil"/>
                    <w:left w:val="single" w:sz="4" w:space="0" w:color="auto"/>
                    <w:bottom w:val="single" w:sz="4" w:space="0" w:color="auto"/>
                    <w:right w:val="single" w:sz="4" w:space="0" w:color="auto"/>
                  </w:tcBorders>
                  <w:shd w:val="clear" w:color="000000" w:fill="D9D9D9"/>
                  <w:vAlign w:val="center"/>
                  <w:hideMark/>
                </w:tcPr>
                <w:p w:rsidR="00202437" w:rsidRPr="00202437" w:rsidRDefault="00202437" w:rsidP="00400E0F">
                  <w:pPr>
                    <w:jc w:val="center"/>
                    <w:rPr>
                      <w:rFonts w:asciiTheme="minorHAnsi" w:hAnsiTheme="minorHAnsi" w:cstheme="minorHAnsi"/>
                      <w:b/>
                      <w:bCs/>
                    </w:rPr>
                  </w:pPr>
                  <w:r w:rsidRPr="00202437">
                    <w:rPr>
                      <w:rFonts w:asciiTheme="minorHAnsi" w:hAnsiTheme="minorHAnsi" w:cstheme="minorHAnsi"/>
                      <w:b/>
                      <w:bCs/>
                    </w:rPr>
                    <w:t xml:space="preserve">772,722 </w:t>
                  </w:r>
                </w:p>
              </w:tc>
            </w:tr>
            <w:tr w:rsidR="00202437" w:rsidRPr="00202437" w:rsidTr="00400E0F">
              <w:trPr>
                <w:trHeight w:val="210"/>
              </w:trPr>
              <w:tc>
                <w:tcPr>
                  <w:tcW w:w="962" w:type="dxa"/>
                  <w:vMerge/>
                  <w:tcBorders>
                    <w:top w:val="nil"/>
                    <w:left w:val="single" w:sz="4" w:space="0" w:color="auto"/>
                    <w:bottom w:val="single" w:sz="4" w:space="0" w:color="auto"/>
                    <w:right w:val="single" w:sz="4" w:space="0" w:color="auto"/>
                  </w:tcBorders>
                  <w:vAlign w:val="center"/>
                  <w:hideMark/>
                </w:tcPr>
                <w:p w:rsidR="00202437" w:rsidRPr="00202437" w:rsidRDefault="00202437" w:rsidP="00400E0F">
                  <w:pPr>
                    <w:bidi/>
                    <w:rPr>
                      <w:rFonts w:asciiTheme="minorHAnsi" w:hAnsiTheme="minorHAnsi" w:cstheme="minorHAnsi"/>
                      <w:b/>
                      <w:bCs/>
                    </w:rPr>
                  </w:pPr>
                </w:p>
              </w:tc>
              <w:tc>
                <w:tcPr>
                  <w:tcW w:w="3298" w:type="dxa"/>
                  <w:tcBorders>
                    <w:top w:val="nil"/>
                    <w:left w:val="single" w:sz="4" w:space="0" w:color="auto"/>
                    <w:bottom w:val="single" w:sz="4" w:space="0" w:color="auto"/>
                    <w:right w:val="single" w:sz="4" w:space="0" w:color="auto"/>
                  </w:tcBorders>
                  <w:shd w:val="clear" w:color="000000" w:fill="D9D9D9"/>
                  <w:vAlign w:val="center"/>
                  <w:hideMark/>
                </w:tcPr>
                <w:p w:rsidR="00202437" w:rsidRPr="00202437" w:rsidRDefault="00202437" w:rsidP="00400E0F">
                  <w:pPr>
                    <w:bidi/>
                    <w:rPr>
                      <w:rFonts w:asciiTheme="minorHAnsi" w:hAnsiTheme="minorHAnsi" w:cstheme="minorHAnsi"/>
                      <w:b/>
                      <w:bCs/>
                    </w:rPr>
                  </w:pPr>
                  <w:r w:rsidRPr="00202437">
                    <w:rPr>
                      <w:rFonts w:asciiTheme="minorHAnsi" w:hAnsiTheme="minorHAnsi" w:cstheme="minorHAnsi"/>
                      <w:b/>
                      <w:bCs/>
                      <w:rtl/>
                    </w:rPr>
                    <w:t>סה"כ (ממוצע יומי לפי 63 ימי מסחר)</w:t>
                  </w:r>
                </w:p>
              </w:tc>
              <w:tc>
                <w:tcPr>
                  <w:tcW w:w="895" w:type="dxa"/>
                  <w:tcBorders>
                    <w:top w:val="nil"/>
                    <w:left w:val="single" w:sz="4" w:space="0" w:color="auto"/>
                    <w:bottom w:val="single" w:sz="4" w:space="0" w:color="auto"/>
                    <w:right w:val="single" w:sz="4" w:space="0" w:color="auto"/>
                  </w:tcBorders>
                  <w:shd w:val="clear" w:color="000000" w:fill="D9D9D9"/>
                  <w:vAlign w:val="center"/>
                  <w:hideMark/>
                </w:tcPr>
                <w:p w:rsidR="00202437" w:rsidRPr="00202437" w:rsidRDefault="00202437" w:rsidP="00400E0F">
                  <w:pPr>
                    <w:jc w:val="center"/>
                    <w:rPr>
                      <w:rFonts w:asciiTheme="minorHAnsi" w:hAnsiTheme="minorHAnsi" w:cstheme="minorHAnsi"/>
                      <w:b/>
                      <w:bCs/>
                    </w:rPr>
                  </w:pPr>
                  <w:bookmarkStart w:id="3" w:name="RANGE!C18"/>
                  <w:r w:rsidRPr="00202437">
                    <w:rPr>
                      <w:rFonts w:asciiTheme="minorHAnsi" w:hAnsiTheme="minorHAnsi" w:cstheme="minorHAnsi"/>
                      <w:b/>
                      <w:bCs/>
                    </w:rPr>
                    <w:t xml:space="preserve">3,309 </w:t>
                  </w:r>
                  <w:bookmarkEnd w:id="3"/>
                </w:p>
              </w:tc>
              <w:tc>
                <w:tcPr>
                  <w:tcW w:w="866" w:type="dxa"/>
                  <w:tcBorders>
                    <w:top w:val="nil"/>
                    <w:left w:val="single" w:sz="4" w:space="0" w:color="auto"/>
                    <w:bottom w:val="single" w:sz="4" w:space="0" w:color="auto"/>
                    <w:right w:val="single" w:sz="4" w:space="0" w:color="auto"/>
                  </w:tcBorders>
                  <w:shd w:val="clear" w:color="000000" w:fill="D9D9D9"/>
                  <w:vAlign w:val="center"/>
                  <w:hideMark/>
                </w:tcPr>
                <w:p w:rsidR="00202437" w:rsidRPr="00202437" w:rsidRDefault="00202437" w:rsidP="00400E0F">
                  <w:pPr>
                    <w:jc w:val="center"/>
                    <w:rPr>
                      <w:rFonts w:asciiTheme="minorHAnsi" w:hAnsiTheme="minorHAnsi" w:cstheme="minorHAnsi"/>
                      <w:b/>
                      <w:bCs/>
                    </w:rPr>
                  </w:pPr>
                  <w:r w:rsidRPr="00202437">
                    <w:rPr>
                      <w:rFonts w:asciiTheme="minorHAnsi" w:hAnsiTheme="minorHAnsi" w:cstheme="minorHAnsi"/>
                      <w:b/>
                      <w:bCs/>
                    </w:rPr>
                    <w:t xml:space="preserve">8,528 </w:t>
                  </w:r>
                </w:p>
              </w:tc>
              <w:tc>
                <w:tcPr>
                  <w:tcW w:w="1224" w:type="dxa"/>
                  <w:tcBorders>
                    <w:top w:val="nil"/>
                    <w:left w:val="single" w:sz="4" w:space="0" w:color="auto"/>
                    <w:bottom w:val="single" w:sz="4" w:space="0" w:color="auto"/>
                    <w:right w:val="single" w:sz="4" w:space="0" w:color="auto"/>
                  </w:tcBorders>
                  <w:shd w:val="clear" w:color="000000" w:fill="D9D9D9"/>
                  <w:vAlign w:val="center"/>
                  <w:hideMark/>
                </w:tcPr>
                <w:p w:rsidR="00202437" w:rsidRPr="00202437" w:rsidRDefault="00202437" w:rsidP="00400E0F">
                  <w:pPr>
                    <w:jc w:val="center"/>
                    <w:rPr>
                      <w:rFonts w:asciiTheme="minorHAnsi" w:hAnsiTheme="minorHAnsi" w:cstheme="minorHAnsi"/>
                      <w:b/>
                      <w:bCs/>
                    </w:rPr>
                  </w:pPr>
                  <w:r w:rsidRPr="00202437">
                    <w:rPr>
                      <w:rFonts w:asciiTheme="minorHAnsi" w:hAnsiTheme="minorHAnsi" w:cstheme="minorHAnsi"/>
                      <w:b/>
                      <w:bCs/>
                    </w:rPr>
                    <w:t xml:space="preserve">47 </w:t>
                  </w:r>
                </w:p>
              </w:tc>
              <w:tc>
                <w:tcPr>
                  <w:tcW w:w="892" w:type="dxa"/>
                  <w:tcBorders>
                    <w:top w:val="nil"/>
                    <w:left w:val="single" w:sz="4" w:space="0" w:color="auto"/>
                    <w:bottom w:val="single" w:sz="4" w:space="0" w:color="auto"/>
                    <w:right w:val="single" w:sz="4" w:space="0" w:color="auto"/>
                  </w:tcBorders>
                  <w:shd w:val="clear" w:color="000000" w:fill="D9D9D9"/>
                  <w:vAlign w:val="center"/>
                  <w:hideMark/>
                </w:tcPr>
                <w:p w:rsidR="00202437" w:rsidRPr="00202437" w:rsidRDefault="00202437" w:rsidP="00400E0F">
                  <w:pPr>
                    <w:jc w:val="center"/>
                    <w:rPr>
                      <w:rFonts w:asciiTheme="minorHAnsi" w:hAnsiTheme="minorHAnsi" w:cstheme="minorHAnsi"/>
                      <w:b/>
                      <w:bCs/>
                    </w:rPr>
                  </w:pPr>
                  <w:r w:rsidRPr="00202437">
                    <w:rPr>
                      <w:rFonts w:asciiTheme="minorHAnsi" w:hAnsiTheme="minorHAnsi" w:cstheme="minorHAnsi"/>
                      <w:b/>
                      <w:bCs/>
                    </w:rPr>
                    <w:t xml:space="preserve">381 </w:t>
                  </w:r>
                </w:p>
              </w:tc>
              <w:tc>
                <w:tcPr>
                  <w:tcW w:w="1303" w:type="dxa"/>
                  <w:tcBorders>
                    <w:top w:val="nil"/>
                    <w:left w:val="single" w:sz="4" w:space="0" w:color="auto"/>
                    <w:bottom w:val="single" w:sz="4" w:space="0" w:color="auto"/>
                    <w:right w:val="single" w:sz="4" w:space="0" w:color="auto"/>
                  </w:tcBorders>
                  <w:shd w:val="clear" w:color="000000" w:fill="D9D9D9"/>
                  <w:vAlign w:val="center"/>
                  <w:hideMark/>
                </w:tcPr>
                <w:p w:rsidR="00202437" w:rsidRPr="00202437" w:rsidRDefault="00202437" w:rsidP="00400E0F">
                  <w:pPr>
                    <w:jc w:val="center"/>
                    <w:rPr>
                      <w:rFonts w:asciiTheme="minorHAnsi" w:hAnsiTheme="minorHAnsi" w:cstheme="minorHAnsi"/>
                      <w:b/>
                      <w:bCs/>
                    </w:rPr>
                  </w:pPr>
                  <w:r w:rsidRPr="00202437">
                    <w:rPr>
                      <w:rFonts w:asciiTheme="minorHAnsi" w:hAnsiTheme="minorHAnsi" w:cstheme="minorHAnsi"/>
                      <w:b/>
                      <w:bCs/>
                    </w:rPr>
                    <w:t xml:space="preserve">12,265 </w:t>
                  </w:r>
                </w:p>
              </w:tc>
            </w:tr>
            <w:tr w:rsidR="00202437" w:rsidRPr="00202437" w:rsidTr="00400E0F">
              <w:trPr>
                <w:trHeight w:val="210"/>
              </w:trPr>
              <w:tc>
                <w:tcPr>
                  <w:tcW w:w="962" w:type="dxa"/>
                  <w:vMerge/>
                  <w:tcBorders>
                    <w:top w:val="nil"/>
                    <w:left w:val="single" w:sz="4" w:space="0" w:color="auto"/>
                    <w:bottom w:val="single" w:sz="4" w:space="0" w:color="auto"/>
                    <w:right w:val="single" w:sz="4" w:space="0" w:color="auto"/>
                  </w:tcBorders>
                  <w:vAlign w:val="center"/>
                  <w:hideMark/>
                </w:tcPr>
                <w:p w:rsidR="00202437" w:rsidRPr="00202437" w:rsidRDefault="00202437" w:rsidP="00400E0F">
                  <w:pPr>
                    <w:bidi/>
                    <w:rPr>
                      <w:rFonts w:asciiTheme="minorHAnsi" w:hAnsiTheme="minorHAnsi" w:cstheme="minorHAnsi"/>
                      <w:b/>
                      <w:bCs/>
                    </w:rPr>
                  </w:pPr>
                </w:p>
              </w:tc>
              <w:tc>
                <w:tcPr>
                  <w:tcW w:w="3298"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bidi/>
                    <w:rPr>
                      <w:rFonts w:asciiTheme="minorHAnsi" w:hAnsiTheme="minorHAnsi" w:cstheme="minorHAnsi"/>
                      <w:b/>
                      <w:bCs/>
                    </w:rPr>
                  </w:pPr>
                  <w:r w:rsidRPr="00202437">
                    <w:rPr>
                      <w:rFonts w:asciiTheme="minorHAnsi" w:hAnsiTheme="minorHAnsi" w:cstheme="minorHAnsi"/>
                      <w:b/>
                      <w:bCs/>
                      <w:rtl/>
                    </w:rPr>
                    <w:t>תושבי חוץ</w:t>
                  </w:r>
                </w:p>
              </w:tc>
              <w:tc>
                <w:tcPr>
                  <w:tcW w:w="895"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70,118 </w:t>
                  </w:r>
                </w:p>
              </w:tc>
              <w:tc>
                <w:tcPr>
                  <w:tcW w:w="866"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212,365 </w:t>
                  </w:r>
                </w:p>
              </w:tc>
              <w:tc>
                <w:tcPr>
                  <w:tcW w:w="1224"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2,165 </w:t>
                  </w:r>
                </w:p>
              </w:tc>
              <w:tc>
                <w:tcPr>
                  <w:tcW w:w="892"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9,636 </w:t>
                  </w:r>
                </w:p>
              </w:tc>
              <w:tc>
                <w:tcPr>
                  <w:tcW w:w="1303"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294,283 </w:t>
                  </w:r>
                </w:p>
              </w:tc>
            </w:tr>
            <w:tr w:rsidR="00202437" w:rsidRPr="00202437" w:rsidTr="00400E0F">
              <w:trPr>
                <w:trHeight w:val="210"/>
              </w:trPr>
              <w:tc>
                <w:tcPr>
                  <w:tcW w:w="962" w:type="dxa"/>
                  <w:vMerge/>
                  <w:tcBorders>
                    <w:top w:val="nil"/>
                    <w:left w:val="single" w:sz="4" w:space="0" w:color="auto"/>
                    <w:bottom w:val="single" w:sz="4" w:space="0" w:color="auto"/>
                    <w:right w:val="single" w:sz="4" w:space="0" w:color="auto"/>
                  </w:tcBorders>
                  <w:vAlign w:val="center"/>
                  <w:hideMark/>
                </w:tcPr>
                <w:p w:rsidR="00202437" w:rsidRPr="00202437" w:rsidRDefault="00202437" w:rsidP="00400E0F">
                  <w:pPr>
                    <w:bidi/>
                    <w:rPr>
                      <w:rFonts w:asciiTheme="minorHAnsi" w:hAnsiTheme="minorHAnsi" w:cstheme="minorHAnsi"/>
                      <w:b/>
                      <w:bCs/>
                    </w:rPr>
                  </w:pPr>
                </w:p>
              </w:tc>
              <w:tc>
                <w:tcPr>
                  <w:tcW w:w="3298"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bidi/>
                    <w:rPr>
                      <w:rFonts w:asciiTheme="minorHAnsi" w:hAnsiTheme="minorHAnsi" w:cstheme="minorHAnsi"/>
                      <w:b/>
                      <w:bCs/>
                    </w:rPr>
                  </w:pPr>
                  <w:r w:rsidRPr="00202437">
                    <w:rPr>
                      <w:rFonts w:asciiTheme="minorHAnsi" w:hAnsiTheme="minorHAnsi" w:cstheme="minorHAnsi"/>
                      <w:b/>
                      <w:bCs/>
                      <w:rtl/>
                    </w:rPr>
                    <w:t>מזה: מוסדות פיננסיים זרים</w:t>
                  </w:r>
                </w:p>
              </w:tc>
              <w:tc>
                <w:tcPr>
                  <w:tcW w:w="895"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69,175 </w:t>
                  </w:r>
                </w:p>
              </w:tc>
              <w:tc>
                <w:tcPr>
                  <w:tcW w:w="866"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212,365 </w:t>
                  </w:r>
                </w:p>
              </w:tc>
              <w:tc>
                <w:tcPr>
                  <w:tcW w:w="1224"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2,165 </w:t>
                  </w:r>
                </w:p>
              </w:tc>
              <w:tc>
                <w:tcPr>
                  <w:tcW w:w="892"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9,601 </w:t>
                  </w:r>
                </w:p>
              </w:tc>
              <w:tc>
                <w:tcPr>
                  <w:tcW w:w="1303"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293,305 </w:t>
                  </w:r>
                </w:p>
              </w:tc>
            </w:tr>
            <w:tr w:rsidR="00202437" w:rsidRPr="00202437" w:rsidTr="00400E0F">
              <w:trPr>
                <w:trHeight w:val="210"/>
              </w:trPr>
              <w:tc>
                <w:tcPr>
                  <w:tcW w:w="962" w:type="dxa"/>
                  <w:vMerge/>
                  <w:tcBorders>
                    <w:top w:val="nil"/>
                    <w:left w:val="single" w:sz="4" w:space="0" w:color="auto"/>
                    <w:bottom w:val="single" w:sz="4" w:space="0" w:color="auto"/>
                    <w:right w:val="single" w:sz="4" w:space="0" w:color="auto"/>
                  </w:tcBorders>
                  <w:vAlign w:val="center"/>
                  <w:hideMark/>
                </w:tcPr>
                <w:p w:rsidR="00202437" w:rsidRPr="00202437" w:rsidRDefault="00202437" w:rsidP="00400E0F">
                  <w:pPr>
                    <w:bidi/>
                    <w:rPr>
                      <w:rFonts w:asciiTheme="minorHAnsi" w:hAnsiTheme="minorHAnsi" w:cstheme="minorHAnsi"/>
                      <w:b/>
                      <w:bCs/>
                    </w:rPr>
                  </w:pPr>
                </w:p>
              </w:tc>
              <w:tc>
                <w:tcPr>
                  <w:tcW w:w="3298"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bidi/>
                    <w:rPr>
                      <w:rFonts w:asciiTheme="minorHAnsi" w:hAnsiTheme="minorHAnsi" w:cstheme="minorHAnsi"/>
                      <w:b/>
                      <w:bCs/>
                    </w:rPr>
                  </w:pPr>
                  <w:r w:rsidRPr="00202437">
                    <w:rPr>
                      <w:rFonts w:asciiTheme="minorHAnsi" w:hAnsiTheme="minorHAnsi" w:cstheme="minorHAnsi"/>
                      <w:b/>
                      <w:bCs/>
                      <w:rtl/>
                    </w:rPr>
                    <w:t>תושבי ישראל</w:t>
                  </w:r>
                </w:p>
              </w:tc>
              <w:tc>
                <w:tcPr>
                  <w:tcW w:w="895"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138,366 </w:t>
                  </w:r>
                </w:p>
              </w:tc>
              <w:tc>
                <w:tcPr>
                  <w:tcW w:w="866"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324,900 </w:t>
                  </w:r>
                </w:p>
              </w:tc>
              <w:tc>
                <w:tcPr>
                  <w:tcW w:w="1224"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819 </w:t>
                  </w:r>
                </w:p>
              </w:tc>
              <w:tc>
                <w:tcPr>
                  <w:tcW w:w="892"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14,354 </w:t>
                  </w:r>
                </w:p>
              </w:tc>
              <w:tc>
                <w:tcPr>
                  <w:tcW w:w="1303"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478,439 </w:t>
                  </w:r>
                </w:p>
              </w:tc>
            </w:tr>
            <w:tr w:rsidR="00202437" w:rsidRPr="00202437" w:rsidTr="00400E0F">
              <w:trPr>
                <w:trHeight w:val="210"/>
              </w:trPr>
              <w:tc>
                <w:tcPr>
                  <w:tcW w:w="962" w:type="dxa"/>
                  <w:vMerge/>
                  <w:tcBorders>
                    <w:top w:val="nil"/>
                    <w:left w:val="single" w:sz="4" w:space="0" w:color="auto"/>
                    <w:bottom w:val="single" w:sz="4" w:space="0" w:color="auto"/>
                    <w:right w:val="single" w:sz="4" w:space="0" w:color="auto"/>
                  </w:tcBorders>
                  <w:vAlign w:val="center"/>
                  <w:hideMark/>
                </w:tcPr>
                <w:p w:rsidR="00202437" w:rsidRPr="00202437" w:rsidRDefault="00202437" w:rsidP="00400E0F">
                  <w:pPr>
                    <w:bidi/>
                    <w:rPr>
                      <w:rFonts w:asciiTheme="minorHAnsi" w:hAnsiTheme="minorHAnsi" w:cstheme="minorHAnsi"/>
                      <w:b/>
                      <w:bCs/>
                    </w:rPr>
                  </w:pPr>
                </w:p>
              </w:tc>
              <w:tc>
                <w:tcPr>
                  <w:tcW w:w="3298"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bidi/>
                    <w:rPr>
                      <w:rFonts w:asciiTheme="minorHAnsi" w:hAnsiTheme="minorHAnsi" w:cstheme="minorHAnsi"/>
                      <w:b/>
                      <w:bCs/>
                    </w:rPr>
                  </w:pPr>
                  <w:r w:rsidRPr="00202437">
                    <w:rPr>
                      <w:rFonts w:asciiTheme="minorHAnsi" w:hAnsiTheme="minorHAnsi" w:cstheme="minorHAnsi"/>
                      <w:b/>
                      <w:bCs/>
                      <w:rtl/>
                    </w:rPr>
                    <w:t>מזה: סקטור ריאלי</w:t>
                  </w:r>
                </w:p>
              </w:tc>
              <w:tc>
                <w:tcPr>
                  <w:tcW w:w="895"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43,596 </w:t>
                  </w:r>
                </w:p>
              </w:tc>
              <w:tc>
                <w:tcPr>
                  <w:tcW w:w="866"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29,418 </w:t>
                  </w:r>
                </w:p>
              </w:tc>
              <w:tc>
                <w:tcPr>
                  <w:tcW w:w="1224"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300 </w:t>
                  </w:r>
                </w:p>
              </w:tc>
              <w:tc>
                <w:tcPr>
                  <w:tcW w:w="892"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6,642 </w:t>
                  </w:r>
                </w:p>
              </w:tc>
              <w:tc>
                <w:tcPr>
                  <w:tcW w:w="1303"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79,957 </w:t>
                  </w:r>
                </w:p>
              </w:tc>
            </w:tr>
            <w:tr w:rsidR="00202437" w:rsidRPr="00202437" w:rsidTr="00400E0F">
              <w:trPr>
                <w:trHeight w:val="210"/>
              </w:trPr>
              <w:tc>
                <w:tcPr>
                  <w:tcW w:w="962" w:type="dxa"/>
                  <w:vMerge/>
                  <w:tcBorders>
                    <w:top w:val="nil"/>
                    <w:left w:val="single" w:sz="4" w:space="0" w:color="auto"/>
                    <w:bottom w:val="single" w:sz="4" w:space="0" w:color="auto"/>
                    <w:right w:val="single" w:sz="4" w:space="0" w:color="auto"/>
                  </w:tcBorders>
                  <w:vAlign w:val="center"/>
                  <w:hideMark/>
                </w:tcPr>
                <w:p w:rsidR="00202437" w:rsidRPr="00202437" w:rsidRDefault="00202437" w:rsidP="00400E0F">
                  <w:pPr>
                    <w:bidi/>
                    <w:rPr>
                      <w:rFonts w:asciiTheme="minorHAnsi" w:hAnsiTheme="minorHAnsi" w:cstheme="minorHAnsi"/>
                      <w:b/>
                      <w:bCs/>
                    </w:rPr>
                  </w:pPr>
                </w:p>
              </w:tc>
              <w:tc>
                <w:tcPr>
                  <w:tcW w:w="3298"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bidi/>
                    <w:rPr>
                      <w:rFonts w:asciiTheme="minorHAnsi" w:hAnsiTheme="minorHAnsi" w:cstheme="minorHAnsi"/>
                      <w:b/>
                      <w:bCs/>
                    </w:rPr>
                  </w:pPr>
                  <w:r w:rsidRPr="00202437">
                    <w:rPr>
                      <w:rFonts w:asciiTheme="minorHAnsi" w:hAnsiTheme="minorHAnsi" w:cstheme="minorHAnsi"/>
                      <w:b/>
                      <w:bCs/>
                      <w:rtl/>
                    </w:rPr>
                    <w:t xml:space="preserve">         סקטור פיננסי</w:t>
                  </w:r>
                </w:p>
              </w:tc>
              <w:tc>
                <w:tcPr>
                  <w:tcW w:w="895"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32,177 </w:t>
                  </w:r>
                </w:p>
              </w:tc>
              <w:tc>
                <w:tcPr>
                  <w:tcW w:w="866"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136,158 </w:t>
                  </w:r>
                </w:p>
              </w:tc>
              <w:tc>
                <w:tcPr>
                  <w:tcW w:w="1224"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17 </w:t>
                  </w:r>
                </w:p>
              </w:tc>
              <w:tc>
                <w:tcPr>
                  <w:tcW w:w="892"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337 </w:t>
                  </w:r>
                </w:p>
              </w:tc>
              <w:tc>
                <w:tcPr>
                  <w:tcW w:w="1303"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168,689 </w:t>
                  </w:r>
                </w:p>
              </w:tc>
            </w:tr>
            <w:tr w:rsidR="00202437" w:rsidRPr="00202437" w:rsidTr="00400E0F">
              <w:trPr>
                <w:trHeight w:val="210"/>
              </w:trPr>
              <w:tc>
                <w:tcPr>
                  <w:tcW w:w="962" w:type="dxa"/>
                  <w:vMerge/>
                  <w:tcBorders>
                    <w:top w:val="nil"/>
                    <w:left w:val="single" w:sz="4" w:space="0" w:color="auto"/>
                    <w:bottom w:val="single" w:sz="4" w:space="0" w:color="auto"/>
                    <w:right w:val="single" w:sz="4" w:space="0" w:color="auto"/>
                  </w:tcBorders>
                  <w:vAlign w:val="center"/>
                  <w:hideMark/>
                </w:tcPr>
                <w:p w:rsidR="00202437" w:rsidRPr="00202437" w:rsidRDefault="00202437" w:rsidP="00400E0F">
                  <w:pPr>
                    <w:bidi/>
                    <w:rPr>
                      <w:rFonts w:asciiTheme="minorHAnsi" w:hAnsiTheme="minorHAnsi" w:cstheme="minorHAnsi"/>
                      <w:b/>
                      <w:bCs/>
                    </w:rPr>
                  </w:pPr>
                </w:p>
              </w:tc>
              <w:tc>
                <w:tcPr>
                  <w:tcW w:w="3298"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bidi/>
                    <w:rPr>
                      <w:rFonts w:asciiTheme="minorHAnsi" w:hAnsiTheme="minorHAnsi" w:cstheme="minorHAnsi"/>
                      <w:b/>
                      <w:bCs/>
                    </w:rPr>
                  </w:pPr>
                  <w:r w:rsidRPr="00202437">
                    <w:rPr>
                      <w:rFonts w:asciiTheme="minorHAnsi" w:hAnsiTheme="minorHAnsi" w:cstheme="minorHAnsi"/>
                      <w:b/>
                      <w:bCs/>
                      <w:rtl/>
                    </w:rPr>
                    <w:t xml:space="preserve">         מוסדיים (כולל חברות ביטוח)</w:t>
                  </w:r>
                </w:p>
              </w:tc>
              <w:tc>
                <w:tcPr>
                  <w:tcW w:w="895"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34,714 </w:t>
                  </w:r>
                </w:p>
              </w:tc>
              <w:tc>
                <w:tcPr>
                  <w:tcW w:w="866"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118,332 </w:t>
                  </w:r>
                </w:p>
              </w:tc>
              <w:tc>
                <w:tcPr>
                  <w:tcW w:w="1224"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300 </w:t>
                  </w:r>
                </w:p>
              </w:tc>
              <w:tc>
                <w:tcPr>
                  <w:tcW w:w="892"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5,544 </w:t>
                  </w:r>
                </w:p>
              </w:tc>
              <w:tc>
                <w:tcPr>
                  <w:tcW w:w="1303"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158,890 </w:t>
                  </w:r>
                </w:p>
              </w:tc>
            </w:tr>
            <w:tr w:rsidR="00202437" w:rsidRPr="00202437" w:rsidTr="00400E0F">
              <w:trPr>
                <w:trHeight w:val="210"/>
              </w:trPr>
              <w:tc>
                <w:tcPr>
                  <w:tcW w:w="962" w:type="dxa"/>
                  <w:vMerge/>
                  <w:tcBorders>
                    <w:top w:val="nil"/>
                    <w:left w:val="single" w:sz="4" w:space="0" w:color="auto"/>
                    <w:bottom w:val="single" w:sz="4" w:space="0" w:color="auto"/>
                    <w:right w:val="single" w:sz="4" w:space="0" w:color="auto"/>
                  </w:tcBorders>
                  <w:vAlign w:val="center"/>
                  <w:hideMark/>
                </w:tcPr>
                <w:p w:rsidR="00202437" w:rsidRPr="00202437" w:rsidRDefault="00202437" w:rsidP="00400E0F">
                  <w:pPr>
                    <w:bidi/>
                    <w:rPr>
                      <w:rFonts w:asciiTheme="minorHAnsi" w:hAnsiTheme="minorHAnsi" w:cstheme="minorHAnsi"/>
                      <w:b/>
                      <w:bCs/>
                    </w:rPr>
                  </w:pPr>
                </w:p>
              </w:tc>
              <w:tc>
                <w:tcPr>
                  <w:tcW w:w="3298"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bidi/>
                    <w:rPr>
                      <w:rFonts w:asciiTheme="minorHAnsi" w:hAnsiTheme="minorHAnsi" w:cstheme="minorHAnsi"/>
                      <w:b/>
                      <w:bCs/>
                    </w:rPr>
                  </w:pPr>
                  <w:r w:rsidRPr="00202437">
                    <w:rPr>
                      <w:rFonts w:asciiTheme="minorHAnsi" w:hAnsiTheme="minorHAnsi" w:cstheme="minorHAnsi"/>
                      <w:b/>
                      <w:bCs/>
                      <w:rtl/>
                    </w:rPr>
                    <w:t xml:space="preserve">         יחידים</w:t>
                  </w:r>
                </w:p>
              </w:tc>
              <w:tc>
                <w:tcPr>
                  <w:tcW w:w="895"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6,398 </w:t>
                  </w:r>
                </w:p>
              </w:tc>
              <w:tc>
                <w:tcPr>
                  <w:tcW w:w="866"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340 </w:t>
                  </w:r>
                </w:p>
              </w:tc>
              <w:tc>
                <w:tcPr>
                  <w:tcW w:w="1224"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0 </w:t>
                  </w:r>
                </w:p>
              </w:tc>
              <w:tc>
                <w:tcPr>
                  <w:tcW w:w="892"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54 </w:t>
                  </w:r>
                </w:p>
              </w:tc>
              <w:tc>
                <w:tcPr>
                  <w:tcW w:w="1303"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6,793 </w:t>
                  </w:r>
                </w:p>
              </w:tc>
            </w:tr>
            <w:tr w:rsidR="00202437" w:rsidRPr="00202437" w:rsidTr="00400E0F">
              <w:trPr>
                <w:trHeight w:val="210"/>
              </w:trPr>
              <w:tc>
                <w:tcPr>
                  <w:tcW w:w="962" w:type="dxa"/>
                  <w:vMerge/>
                  <w:tcBorders>
                    <w:top w:val="nil"/>
                    <w:left w:val="single" w:sz="4" w:space="0" w:color="auto"/>
                    <w:bottom w:val="single" w:sz="4" w:space="0" w:color="auto"/>
                    <w:right w:val="single" w:sz="4" w:space="0" w:color="auto"/>
                  </w:tcBorders>
                  <w:vAlign w:val="center"/>
                  <w:hideMark/>
                </w:tcPr>
                <w:p w:rsidR="00202437" w:rsidRPr="00202437" w:rsidRDefault="00202437" w:rsidP="00400E0F">
                  <w:pPr>
                    <w:bidi/>
                    <w:rPr>
                      <w:rFonts w:asciiTheme="minorHAnsi" w:hAnsiTheme="minorHAnsi" w:cstheme="minorHAnsi"/>
                      <w:b/>
                      <w:bCs/>
                    </w:rPr>
                  </w:pPr>
                </w:p>
              </w:tc>
              <w:tc>
                <w:tcPr>
                  <w:tcW w:w="3298"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bidi/>
                    <w:rPr>
                      <w:rFonts w:asciiTheme="minorHAnsi" w:hAnsiTheme="minorHAnsi" w:cstheme="minorHAnsi"/>
                      <w:b/>
                      <w:bCs/>
                    </w:rPr>
                  </w:pPr>
                  <w:r w:rsidRPr="00202437">
                    <w:rPr>
                      <w:rFonts w:asciiTheme="minorHAnsi" w:hAnsiTheme="minorHAnsi" w:cstheme="minorHAnsi"/>
                      <w:b/>
                      <w:bCs/>
                      <w:rtl/>
                    </w:rPr>
                    <w:t xml:space="preserve">         אחרים</w:t>
                  </w:r>
                  <w:r w:rsidRPr="00202437">
                    <w:rPr>
                      <w:rFonts w:asciiTheme="minorHAnsi" w:hAnsiTheme="minorHAnsi" w:cstheme="minorHAnsi"/>
                      <w:b/>
                      <w:bCs/>
                      <w:vertAlign w:val="superscript"/>
                      <w:rtl/>
                    </w:rPr>
                    <w:t>4</w:t>
                  </w:r>
                </w:p>
              </w:tc>
              <w:tc>
                <w:tcPr>
                  <w:tcW w:w="895"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943 </w:t>
                  </w:r>
                </w:p>
              </w:tc>
              <w:tc>
                <w:tcPr>
                  <w:tcW w:w="866"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0 </w:t>
                  </w:r>
                </w:p>
              </w:tc>
              <w:tc>
                <w:tcPr>
                  <w:tcW w:w="1224"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0 </w:t>
                  </w:r>
                </w:p>
              </w:tc>
              <w:tc>
                <w:tcPr>
                  <w:tcW w:w="892"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35 </w:t>
                  </w:r>
                </w:p>
              </w:tc>
              <w:tc>
                <w:tcPr>
                  <w:tcW w:w="1303"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978 </w:t>
                  </w:r>
                </w:p>
              </w:tc>
            </w:tr>
            <w:tr w:rsidR="00202437" w:rsidRPr="00202437" w:rsidTr="00400E0F">
              <w:trPr>
                <w:trHeight w:val="210"/>
              </w:trPr>
              <w:tc>
                <w:tcPr>
                  <w:tcW w:w="962" w:type="dxa"/>
                  <w:vMerge/>
                  <w:tcBorders>
                    <w:top w:val="nil"/>
                    <w:left w:val="single" w:sz="4" w:space="0" w:color="auto"/>
                    <w:bottom w:val="single" w:sz="4" w:space="0" w:color="auto"/>
                    <w:right w:val="single" w:sz="4" w:space="0" w:color="auto"/>
                  </w:tcBorders>
                  <w:vAlign w:val="center"/>
                  <w:hideMark/>
                </w:tcPr>
                <w:p w:rsidR="00202437" w:rsidRPr="00202437" w:rsidRDefault="00202437" w:rsidP="00400E0F">
                  <w:pPr>
                    <w:bidi/>
                    <w:rPr>
                      <w:rFonts w:asciiTheme="minorHAnsi" w:hAnsiTheme="minorHAnsi" w:cstheme="minorHAnsi"/>
                      <w:b/>
                      <w:bCs/>
                    </w:rPr>
                  </w:pPr>
                </w:p>
              </w:tc>
              <w:tc>
                <w:tcPr>
                  <w:tcW w:w="3298"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bidi/>
                    <w:rPr>
                      <w:rFonts w:asciiTheme="minorHAnsi" w:hAnsiTheme="minorHAnsi" w:cstheme="minorHAnsi"/>
                      <w:b/>
                      <w:bCs/>
                    </w:rPr>
                  </w:pPr>
                  <w:r w:rsidRPr="00202437">
                    <w:rPr>
                      <w:rFonts w:asciiTheme="minorHAnsi" w:hAnsiTheme="minorHAnsi" w:cstheme="minorHAnsi"/>
                      <w:b/>
                      <w:bCs/>
                      <w:rtl/>
                    </w:rPr>
                    <w:t xml:space="preserve">         בנקים מקומיים</w:t>
                  </w:r>
                  <w:r w:rsidRPr="00202437">
                    <w:rPr>
                      <w:rFonts w:asciiTheme="minorHAnsi" w:hAnsiTheme="minorHAnsi" w:cstheme="minorHAnsi"/>
                      <w:b/>
                      <w:bCs/>
                      <w:vertAlign w:val="superscript"/>
                      <w:rtl/>
                    </w:rPr>
                    <w:t>5</w:t>
                  </w:r>
                </w:p>
              </w:tc>
              <w:tc>
                <w:tcPr>
                  <w:tcW w:w="895"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8,783 </w:t>
                  </w:r>
                </w:p>
              </w:tc>
              <w:tc>
                <w:tcPr>
                  <w:tcW w:w="866"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22,259 </w:t>
                  </w:r>
                </w:p>
              </w:tc>
              <w:tc>
                <w:tcPr>
                  <w:tcW w:w="1224"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80 </w:t>
                  </w:r>
                </w:p>
              </w:tc>
              <w:tc>
                <w:tcPr>
                  <w:tcW w:w="892"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1,071 </w:t>
                  </w:r>
                </w:p>
              </w:tc>
              <w:tc>
                <w:tcPr>
                  <w:tcW w:w="1303" w:type="dxa"/>
                  <w:tcBorders>
                    <w:top w:val="nil"/>
                    <w:left w:val="single" w:sz="4" w:space="0" w:color="auto"/>
                    <w:bottom w:val="single" w:sz="4" w:space="0" w:color="auto"/>
                    <w:right w:val="single" w:sz="4" w:space="0" w:color="auto"/>
                  </w:tcBorders>
                  <w:shd w:val="clear" w:color="auto" w:fill="auto"/>
                  <w:vAlign w:val="center"/>
                  <w:hideMark/>
                </w:tcPr>
                <w:p w:rsidR="00202437" w:rsidRPr="00202437" w:rsidRDefault="00202437" w:rsidP="00400E0F">
                  <w:pPr>
                    <w:jc w:val="center"/>
                    <w:rPr>
                      <w:rFonts w:asciiTheme="minorHAnsi" w:hAnsiTheme="minorHAnsi" w:cstheme="minorHAnsi"/>
                    </w:rPr>
                  </w:pPr>
                  <w:r w:rsidRPr="00202437">
                    <w:rPr>
                      <w:rFonts w:asciiTheme="minorHAnsi" w:hAnsiTheme="minorHAnsi" w:cstheme="minorHAnsi"/>
                    </w:rPr>
                    <w:t xml:space="preserve">32,193 </w:t>
                  </w:r>
                </w:p>
              </w:tc>
            </w:tr>
          </w:tbl>
          <w:p w:rsidR="00202437" w:rsidRPr="00202437" w:rsidRDefault="00202437" w:rsidP="00400E0F">
            <w:pPr>
              <w:bidi/>
              <w:jc w:val="center"/>
              <w:rPr>
                <w:rFonts w:asciiTheme="minorHAnsi" w:hAnsiTheme="minorHAnsi" w:cstheme="minorHAnsi"/>
                <w:b/>
                <w:bCs/>
              </w:rPr>
            </w:pPr>
          </w:p>
        </w:tc>
      </w:tr>
      <w:tr w:rsidR="00202437" w:rsidRPr="00202437" w:rsidTr="00400E0F">
        <w:trPr>
          <w:trHeight w:val="45"/>
        </w:trPr>
        <w:tc>
          <w:tcPr>
            <w:tcW w:w="978" w:type="dxa"/>
            <w:tcBorders>
              <w:top w:val="nil"/>
              <w:left w:val="nil"/>
              <w:bottom w:val="nil"/>
              <w:right w:val="nil"/>
            </w:tcBorders>
            <w:shd w:val="clear" w:color="auto" w:fill="auto"/>
            <w:noWrap/>
            <w:vAlign w:val="bottom"/>
            <w:hideMark/>
          </w:tcPr>
          <w:p w:rsidR="00202437" w:rsidRPr="00202437" w:rsidRDefault="00202437" w:rsidP="00400E0F">
            <w:pPr>
              <w:bidi/>
              <w:jc w:val="center"/>
              <w:rPr>
                <w:rFonts w:asciiTheme="minorHAnsi" w:hAnsiTheme="minorHAnsi" w:cstheme="minorHAnsi"/>
                <w:b/>
                <w:bCs/>
                <w:rtl/>
              </w:rPr>
            </w:pPr>
          </w:p>
        </w:tc>
        <w:tc>
          <w:tcPr>
            <w:tcW w:w="2786" w:type="dxa"/>
            <w:tcBorders>
              <w:top w:val="nil"/>
              <w:left w:val="nil"/>
              <w:bottom w:val="nil"/>
              <w:right w:val="nil"/>
            </w:tcBorders>
            <w:shd w:val="clear" w:color="auto" w:fill="auto"/>
            <w:noWrap/>
            <w:vAlign w:val="bottom"/>
            <w:hideMark/>
          </w:tcPr>
          <w:p w:rsidR="00202437" w:rsidRPr="00202437" w:rsidRDefault="00202437" w:rsidP="00400E0F">
            <w:pPr>
              <w:jc w:val="center"/>
              <w:rPr>
                <w:rFonts w:asciiTheme="minorHAnsi" w:hAnsiTheme="minorHAnsi" w:cstheme="minorHAnsi"/>
              </w:rPr>
            </w:pPr>
          </w:p>
        </w:tc>
        <w:tc>
          <w:tcPr>
            <w:tcW w:w="995" w:type="dxa"/>
            <w:tcBorders>
              <w:top w:val="nil"/>
              <w:left w:val="nil"/>
              <w:bottom w:val="nil"/>
              <w:right w:val="nil"/>
            </w:tcBorders>
            <w:shd w:val="clear" w:color="auto" w:fill="auto"/>
            <w:noWrap/>
            <w:vAlign w:val="bottom"/>
            <w:hideMark/>
          </w:tcPr>
          <w:p w:rsidR="00202437" w:rsidRPr="00202437" w:rsidRDefault="00202437" w:rsidP="00400E0F">
            <w:pPr>
              <w:jc w:val="center"/>
              <w:rPr>
                <w:rFonts w:asciiTheme="minorHAnsi" w:hAnsiTheme="minorHAnsi" w:cstheme="minorHAnsi"/>
              </w:rPr>
            </w:pPr>
          </w:p>
        </w:tc>
        <w:tc>
          <w:tcPr>
            <w:tcW w:w="927" w:type="dxa"/>
            <w:tcBorders>
              <w:top w:val="nil"/>
              <w:left w:val="nil"/>
              <w:bottom w:val="nil"/>
              <w:right w:val="nil"/>
            </w:tcBorders>
            <w:shd w:val="clear" w:color="auto" w:fill="auto"/>
            <w:noWrap/>
            <w:vAlign w:val="bottom"/>
            <w:hideMark/>
          </w:tcPr>
          <w:p w:rsidR="00202437" w:rsidRPr="00202437" w:rsidRDefault="00202437" w:rsidP="00400E0F">
            <w:pPr>
              <w:jc w:val="center"/>
              <w:rPr>
                <w:rFonts w:asciiTheme="minorHAnsi" w:hAnsiTheme="minorHAnsi" w:cstheme="minorHAnsi"/>
              </w:rPr>
            </w:pPr>
          </w:p>
        </w:tc>
        <w:tc>
          <w:tcPr>
            <w:tcW w:w="1353" w:type="dxa"/>
            <w:tcBorders>
              <w:top w:val="nil"/>
              <w:left w:val="nil"/>
              <w:bottom w:val="nil"/>
              <w:right w:val="nil"/>
            </w:tcBorders>
            <w:shd w:val="clear" w:color="auto" w:fill="auto"/>
            <w:noWrap/>
            <w:vAlign w:val="bottom"/>
            <w:hideMark/>
          </w:tcPr>
          <w:p w:rsidR="00202437" w:rsidRPr="00202437" w:rsidRDefault="00202437" w:rsidP="00400E0F">
            <w:pPr>
              <w:jc w:val="center"/>
              <w:rPr>
                <w:rFonts w:asciiTheme="minorHAnsi" w:hAnsiTheme="minorHAnsi" w:cstheme="minorHAnsi"/>
              </w:rPr>
            </w:pPr>
          </w:p>
        </w:tc>
        <w:tc>
          <w:tcPr>
            <w:tcW w:w="1065" w:type="dxa"/>
            <w:tcBorders>
              <w:top w:val="nil"/>
              <w:left w:val="nil"/>
              <w:bottom w:val="nil"/>
              <w:right w:val="nil"/>
            </w:tcBorders>
            <w:shd w:val="clear" w:color="auto" w:fill="auto"/>
            <w:noWrap/>
            <w:vAlign w:val="bottom"/>
            <w:hideMark/>
          </w:tcPr>
          <w:p w:rsidR="00202437" w:rsidRPr="00202437" w:rsidRDefault="00202437" w:rsidP="00400E0F">
            <w:pPr>
              <w:jc w:val="center"/>
              <w:rPr>
                <w:rFonts w:asciiTheme="minorHAnsi" w:hAnsiTheme="minorHAnsi" w:cstheme="minorHAnsi"/>
              </w:rPr>
            </w:pPr>
          </w:p>
        </w:tc>
        <w:tc>
          <w:tcPr>
            <w:tcW w:w="1562" w:type="dxa"/>
            <w:tcBorders>
              <w:top w:val="nil"/>
              <w:left w:val="nil"/>
              <w:bottom w:val="nil"/>
              <w:right w:val="nil"/>
            </w:tcBorders>
            <w:shd w:val="clear" w:color="auto" w:fill="auto"/>
            <w:noWrap/>
            <w:vAlign w:val="bottom"/>
            <w:hideMark/>
          </w:tcPr>
          <w:p w:rsidR="00202437" w:rsidRPr="00202437" w:rsidRDefault="00202437" w:rsidP="00400E0F">
            <w:pPr>
              <w:jc w:val="center"/>
              <w:rPr>
                <w:rFonts w:asciiTheme="minorHAnsi" w:hAnsiTheme="minorHAnsi" w:cstheme="minorHAnsi"/>
              </w:rPr>
            </w:pPr>
          </w:p>
        </w:tc>
      </w:tr>
      <w:tr w:rsidR="00202437" w:rsidRPr="00202437" w:rsidTr="00400E0F">
        <w:trPr>
          <w:trHeight w:val="45"/>
        </w:trPr>
        <w:tc>
          <w:tcPr>
            <w:tcW w:w="978" w:type="dxa"/>
            <w:tcBorders>
              <w:top w:val="nil"/>
              <w:left w:val="nil"/>
              <w:bottom w:val="nil"/>
              <w:right w:val="nil"/>
            </w:tcBorders>
            <w:shd w:val="clear" w:color="auto" w:fill="auto"/>
            <w:vAlign w:val="center"/>
          </w:tcPr>
          <w:p w:rsidR="00202437" w:rsidRPr="00202437" w:rsidRDefault="00202437" w:rsidP="00400E0F">
            <w:pPr>
              <w:jc w:val="center"/>
              <w:rPr>
                <w:rFonts w:asciiTheme="minorHAnsi" w:hAnsiTheme="minorHAnsi" w:cstheme="minorHAnsi"/>
              </w:rPr>
            </w:pPr>
          </w:p>
        </w:tc>
        <w:tc>
          <w:tcPr>
            <w:tcW w:w="2786" w:type="dxa"/>
            <w:tcBorders>
              <w:top w:val="nil"/>
              <w:left w:val="nil"/>
              <w:bottom w:val="nil"/>
              <w:right w:val="nil"/>
            </w:tcBorders>
            <w:shd w:val="clear" w:color="auto" w:fill="auto"/>
            <w:noWrap/>
            <w:vAlign w:val="bottom"/>
          </w:tcPr>
          <w:p w:rsidR="00202437" w:rsidRPr="00202437" w:rsidRDefault="00202437" w:rsidP="00400E0F">
            <w:pPr>
              <w:rPr>
                <w:rFonts w:asciiTheme="minorHAnsi" w:hAnsiTheme="minorHAnsi" w:cstheme="minorHAnsi"/>
              </w:rPr>
            </w:pPr>
          </w:p>
        </w:tc>
        <w:tc>
          <w:tcPr>
            <w:tcW w:w="995" w:type="dxa"/>
            <w:tcBorders>
              <w:top w:val="nil"/>
              <w:left w:val="nil"/>
              <w:bottom w:val="nil"/>
              <w:right w:val="nil"/>
            </w:tcBorders>
            <w:shd w:val="clear" w:color="auto" w:fill="auto"/>
            <w:noWrap/>
            <w:vAlign w:val="bottom"/>
          </w:tcPr>
          <w:p w:rsidR="00202437" w:rsidRPr="00202437" w:rsidRDefault="00202437" w:rsidP="00400E0F">
            <w:pPr>
              <w:rPr>
                <w:rFonts w:asciiTheme="minorHAnsi" w:hAnsiTheme="minorHAnsi" w:cstheme="minorHAnsi"/>
              </w:rPr>
            </w:pPr>
          </w:p>
        </w:tc>
        <w:tc>
          <w:tcPr>
            <w:tcW w:w="927" w:type="dxa"/>
            <w:tcBorders>
              <w:top w:val="nil"/>
              <w:left w:val="nil"/>
              <w:bottom w:val="nil"/>
              <w:right w:val="nil"/>
            </w:tcBorders>
            <w:shd w:val="clear" w:color="auto" w:fill="auto"/>
            <w:noWrap/>
            <w:vAlign w:val="bottom"/>
          </w:tcPr>
          <w:p w:rsidR="00202437" w:rsidRPr="00202437" w:rsidRDefault="00202437" w:rsidP="00400E0F">
            <w:pPr>
              <w:rPr>
                <w:rFonts w:asciiTheme="minorHAnsi" w:hAnsiTheme="minorHAnsi" w:cstheme="minorHAnsi"/>
              </w:rPr>
            </w:pPr>
          </w:p>
        </w:tc>
        <w:tc>
          <w:tcPr>
            <w:tcW w:w="1353" w:type="dxa"/>
            <w:tcBorders>
              <w:top w:val="nil"/>
              <w:left w:val="nil"/>
              <w:bottom w:val="nil"/>
              <w:right w:val="nil"/>
            </w:tcBorders>
            <w:shd w:val="clear" w:color="auto" w:fill="auto"/>
            <w:noWrap/>
            <w:vAlign w:val="bottom"/>
          </w:tcPr>
          <w:p w:rsidR="00202437" w:rsidRPr="00202437" w:rsidRDefault="00202437" w:rsidP="00400E0F">
            <w:pPr>
              <w:rPr>
                <w:rFonts w:asciiTheme="minorHAnsi" w:hAnsiTheme="minorHAnsi" w:cstheme="minorHAnsi"/>
              </w:rPr>
            </w:pPr>
          </w:p>
        </w:tc>
        <w:tc>
          <w:tcPr>
            <w:tcW w:w="1065" w:type="dxa"/>
            <w:tcBorders>
              <w:top w:val="nil"/>
              <w:left w:val="nil"/>
              <w:bottom w:val="nil"/>
              <w:right w:val="nil"/>
            </w:tcBorders>
            <w:shd w:val="clear" w:color="auto" w:fill="auto"/>
            <w:noWrap/>
            <w:vAlign w:val="bottom"/>
          </w:tcPr>
          <w:p w:rsidR="00202437" w:rsidRPr="00202437" w:rsidRDefault="00202437" w:rsidP="00400E0F">
            <w:pPr>
              <w:rPr>
                <w:rFonts w:asciiTheme="minorHAnsi" w:hAnsiTheme="minorHAnsi" w:cstheme="minorHAnsi"/>
              </w:rPr>
            </w:pPr>
          </w:p>
        </w:tc>
        <w:tc>
          <w:tcPr>
            <w:tcW w:w="1562" w:type="dxa"/>
            <w:tcBorders>
              <w:top w:val="nil"/>
              <w:left w:val="nil"/>
              <w:bottom w:val="nil"/>
              <w:right w:val="nil"/>
            </w:tcBorders>
            <w:shd w:val="clear" w:color="auto" w:fill="auto"/>
            <w:noWrap/>
            <w:vAlign w:val="bottom"/>
          </w:tcPr>
          <w:p w:rsidR="00202437" w:rsidRPr="00202437" w:rsidRDefault="00202437" w:rsidP="00400E0F">
            <w:pPr>
              <w:rPr>
                <w:rFonts w:asciiTheme="minorHAnsi" w:hAnsiTheme="minorHAnsi" w:cstheme="minorHAnsi"/>
              </w:rPr>
            </w:pPr>
          </w:p>
        </w:tc>
      </w:tr>
      <w:tr w:rsidR="00202437" w:rsidRPr="00202437" w:rsidTr="00400E0F">
        <w:trPr>
          <w:trHeight w:val="180"/>
        </w:trPr>
        <w:tc>
          <w:tcPr>
            <w:tcW w:w="978" w:type="dxa"/>
            <w:tcBorders>
              <w:top w:val="nil"/>
              <w:left w:val="nil"/>
              <w:bottom w:val="nil"/>
              <w:right w:val="nil"/>
            </w:tcBorders>
            <w:shd w:val="clear" w:color="auto" w:fill="auto"/>
            <w:noWrap/>
            <w:vAlign w:val="bottom"/>
            <w:hideMark/>
          </w:tcPr>
          <w:p w:rsidR="00202437" w:rsidRPr="00202437" w:rsidRDefault="00202437" w:rsidP="00400E0F">
            <w:pPr>
              <w:rPr>
                <w:rFonts w:asciiTheme="minorHAnsi" w:hAnsiTheme="minorHAnsi" w:cstheme="minorHAnsi"/>
              </w:rPr>
            </w:pPr>
          </w:p>
        </w:tc>
        <w:tc>
          <w:tcPr>
            <w:tcW w:w="8688" w:type="dxa"/>
            <w:gridSpan w:val="6"/>
            <w:tcBorders>
              <w:top w:val="nil"/>
              <w:left w:val="nil"/>
              <w:bottom w:val="nil"/>
              <w:right w:val="nil"/>
            </w:tcBorders>
            <w:shd w:val="clear" w:color="auto" w:fill="auto"/>
            <w:noWrap/>
            <w:vAlign w:val="bottom"/>
            <w:hideMark/>
          </w:tcPr>
          <w:p w:rsidR="00202437" w:rsidRPr="00202437" w:rsidRDefault="00202437" w:rsidP="00400E0F">
            <w:pPr>
              <w:bidi/>
              <w:rPr>
                <w:rFonts w:asciiTheme="minorHAnsi" w:hAnsiTheme="minorHAnsi" w:cstheme="minorHAnsi"/>
                <w:rtl/>
              </w:rPr>
            </w:pPr>
            <w:r w:rsidRPr="00202437">
              <w:rPr>
                <w:rFonts w:asciiTheme="minorHAnsi" w:hAnsiTheme="minorHAnsi" w:cstheme="minorHAnsi"/>
                <w:vertAlign w:val="superscript"/>
                <w:rtl/>
              </w:rPr>
              <w:t>1</w:t>
            </w:r>
            <w:r w:rsidRPr="00202437">
              <w:rPr>
                <w:rFonts w:asciiTheme="minorHAnsi" w:hAnsiTheme="minorHAnsi" w:cstheme="minorHAnsi"/>
                <w:rtl/>
              </w:rPr>
              <w:t xml:space="preserve"> רגל אחת בלבד של עסקת החלף, כלומר הערך הנומינאלי של העסקה (בהתאם להגדרות ה- </w:t>
            </w:r>
            <w:r w:rsidRPr="00202437">
              <w:rPr>
                <w:rFonts w:asciiTheme="minorHAnsi" w:hAnsiTheme="minorHAnsi" w:cstheme="minorHAnsi"/>
              </w:rPr>
              <w:t>BIS</w:t>
            </w:r>
            <w:r w:rsidRPr="00202437">
              <w:rPr>
                <w:rFonts w:asciiTheme="minorHAnsi" w:hAnsiTheme="minorHAnsi" w:cstheme="minorHAnsi"/>
                <w:rtl/>
              </w:rPr>
              <w:t>).</w:t>
            </w:r>
          </w:p>
        </w:tc>
      </w:tr>
      <w:tr w:rsidR="00202437" w:rsidRPr="00202437" w:rsidTr="00400E0F">
        <w:trPr>
          <w:trHeight w:val="180"/>
        </w:trPr>
        <w:tc>
          <w:tcPr>
            <w:tcW w:w="978" w:type="dxa"/>
            <w:tcBorders>
              <w:top w:val="nil"/>
              <w:left w:val="nil"/>
              <w:bottom w:val="nil"/>
              <w:right w:val="nil"/>
            </w:tcBorders>
            <w:shd w:val="clear" w:color="auto" w:fill="auto"/>
            <w:noWrap/>
            <w:vAlign w:val="bottom"/>
            <w:hideMark/>
          </w:tcPr>
          <w:p w:rsidR="00202437" w:rsidRPr="00202437" w:rsidRDefault="00202437" w:rsidP="00400E0F">
            <w:pPr>
              <w:bidi/>
              <w:rPr>
                <w:rFonts w:asciiTheme="minorHAnsi" w:hAnsiTheme="minorHAnsi" w:cstheme="minorHAnsi"/>
                <w:rtl/>
              </w:rPr>
            </w:pPr>
          </w:p>
        </w:tc>
        <w:tc>
          <w:tcPr>
            <w:tcW w:w="8688" w:type="dxa"/>
            <w:gridSpan w:val="6"/>
            <w:tcBorders>
              <w:top w:val="nil"/>
              <w:left w:val="nil"/>
              <w:bottom w:val="nil"/>
              <w:right w:val="nil"/>
            </w:tcBorders>
            <w:shd w:val="clear" w:color="auto" w:fill="auto"/>
            <w:noWrap/>
            <w:vAlign w:val="bottom"/>
            <w:hideMark/>
          </w:tcPr>
          <w:p w:rsidR="00202437" w:rsidRPr="00202437" w:rsidRDefault="00202437" w:rsidP="00400E0F">
            <w:pPr>
              <w:bidi/>
              <w:rPr>
                <w:rFonts w:asciiTheme="minorHAnsi" w:hAnsiTheme="minorHAnsi" w:cstheme="minorHAnsi"/>
              </w:rPr>
            </w:pPr>
            <w:r w:rsidRPr="00202437">
              <w:rPr>
                <w:rFonts w:asciiTheme="minorHAnsi" w:hAnsiTheme="minorHAnsi" w:cstheme="minorHAnsi"/>
                <w:vertAlign w:val="superscript"/>
                <w:rtl/>
              </w:rPr>
              <w:t>2</w:t>
            </w:r>
            <w:r w:rsidRPr="00202437">
              <w:rPr>
                <w:rFonts w:asciiTheme="minorHAnsi" w:hAnsiTheme="minorHAnsi" w:cstheme="minorHAnsi"/>
                <w:rtl/>
              </w:rPr>
              <w:t xml:space="preserve">הקרנות המוחלפות בעסקות </w:t>
            </w:r>
            <w:r w:rsidRPr="00202437">
              <w:rPr>
                <w:rFonts w:asciiTheme="minorHAnsi" w:hAnsiTheme="minorHAnsi" w:cstheme="minorHAnsi"/>
              </w:rPr>
              <w:t>Cross Currency Swap</w:t>
            </w:r>
            <w:r w:rsidRPr="00202437">
              <w:rPr>
                <w:rFonts w:asciiTheme="minorHAnsi" w:hAnsiTheme="minorHAnsi" w:cstheme="minorHAnsi"/>
                <w:rtl/>
              </w:rPr>
              <w:t xml:space="preserve"> יחושבו לצורך הנפח כרגל אחת בלבד, במקרים בהם הרגליים מקזזות זו את זו.</w:t>
            </w:r>
          </w:p>
        </w:tc>
      </w:tr>
      <w:tr w:rsidR="00202437" w:rsidRPr="00202437" w:rsidTr="00400E0F">
        <w:trPr>
          <w:trHeight w:val="180"/>
        </w:trPr>
        <w:tc>
          <w:tcPr>
            <w:tcW w:w="978" w:type="dxa"/>
            <w:tcBorders>
              <w:top w:val="nil"/>
              <w:left w:val="nil"/>
              <w:bottom w:val="nil"/>
              <w:right w:val="nil"/>
            </w:tcBorders>
            <w:shd w:val="clear" w:color="auto" w:fill="auto"/>
            <w:noWrap/>
            <w:vAlign w:val="bottom"/>
            <w:hideMark/>
          </w:tcPr>
          <w:p w:rsidR="00202437" w:rsidRPr="00202437" w:rsidRDefault="00202437" w:rsidP="00400E0F">
            <w:pPr>
              <w:bidi/>
              <w:rPr>
                <w:rFonts w:asciiTheme="minorHAnsi" w:hAnsiTheme="minorHAnsi" w:cstheme="minorHAnsi"/>
                <w:rtl/>
              </w:rPr>
            </w:pPr>
          </w:p>
        </w:tc>
        <w:tc>
          <w:tcPr>
            <w:tcW w:w="8688" w:type="dxa"/>
            <w:gridSpan w:val="6"/>
            <w:tcBorders>
              <w:top w:val="nil"/>
              <w:left w:val="nil"/>
              <w:bottom w:val="nil"/>
              <w:right w:val="nil"/>
            </w:tcBorders>
            <w:shd w:val="clear" w:color="auto" w:fill="auto"/>
            <w:noWrap/>
            <w:vAlign w:val="bottom"/>
            <w:hideMark/>
          </w:tcPr>
          <w:p w:rsidR="00202437" w:rsidRPr="00202437" w:rsidRDefault="00202437" w:rsidP="00400E0F">
            <w:pPr>
              <w:bidi/>
              <w:rPr>
                <w:rFonts w:asciiTheme="minorHAnsi" w:hAnsiTheme="minorHAnsi" w:cstheme="minorHAnsi"/>
              </w:rPr>
            </w:pPr>
            <w:bookmarkStart w:id="4" w:name="RANGE!B31"/>
            <w:r w:rsidRPr="00202437">
              <w:rPr>
                <w:rFonts w:asciiTheme="minorHAnsi" w:hAnsiTheme="minorHAnsi" w:cstheme="minorHAnsi"/>
                <w:vertAlign w:val="superscript"/>
                <w:rtl/>
              </w:rPr>
              <w:t>3</w:t>
            </w:r>
            <w:r w:rsidRPr="00202437">
              <w:rPr>
                <w:rFonts w:asciiTheme="minorHAnsi" w:hAnsiTheme="minorHAnsi" w:cstheme="minorHAnsi"/>
                <w:rtl/>
              </w:rPr>
              <w:t xml:space="preserve"> ה- </w:t>
            </w:r>
            <w:r w:rsidRPr="00202437">
              <w:rPr>
                <w:rFonts w:asciiTheme="minorHAnsi" w:hAnsiTheme="minorHAnsi" w:cstheme="minorHAnsi"/>
              </w:rPr>
              <w:t>National value</w:t>
            </w:r>
            <w:r w:rsidRPr="00202437">
              <w:rPr>
                <w:rFonts w:asciiTheme="minorHAnsi" w:hAnsiTheme="minorHAnsi" w:cstheme="minorHAnsi"/>
                <w:rtl/>
              </w:rPr>
              <w:t xml:space="preserve"> הכולל של עסקות קנייה ומכירה של </w:t>
            </w:r>
            <w:r w:rsidRPr="00202437">
              <w:rPr>
                <w:rFonts w:asciiTheme="minorHAnsi" w:hAnsiTheme="minorHAnsi" w:cstheme="minorHAnsi"/>
              </w:rPr>
              <w:t>Call</w:t>
            </w:r>
            <w:r w:rsidRPr="00202437">
              <w:rPr>
                <w:rFonts w:asciiTheme="minorHAnsi" w:hAnsiTheme="minorHAnsi" w:cstheme="minorHAnsi"/>
                <w:rtl/>
              </w:rPr>
              <w:t xml:space="preserve"> ו- </w:t>
            </w:r>
            <w:r w:rsidRPr="00202437">
              <w:rPr>
                <w:rFonts w:asciiTheme="minorHAnsi" w:hAnsiTheme="minorHAnsi" w:cstheme="minorHAnsi"/>
              </w:rPr>
              <w:t>Put</w:t>
            </w:r>
            <w:r w:rsidRPr="00202437">
              <w:rPr>
                <w:rFonts w:asciiTheme="minorHAnsi" w:hAnsiTheme="minorHAnsi" w:cstheme="minorHAnsi"/>
                <w:rtl/>
              </w:rPr>
              <w:t>.</w:t>
            </w:r>
            <w:bookmarkEnd w:id="4"/>
          </w:p>
        </w:tc>
      </w:tr>
      <w:tr w:rsidR="00202437" w:rsidRPr="00202437" w:rsidTr="00400E0F">
        <w:trPr>
          <w:trHeight w:val="180"/>
        </w:trPr>
        <w:tc>
          <w:tcPr>
            <w:tcW w:w="978" w:type="dxa"/>
            <w:tcBorders>
              <w:top w:val="nil"/>
              <w:left w:val="nil"/>
              <w:bottom w:val="nil"/>
              <w:right w:val="nil"/>
            </w:tcBorders>
            <w:shd w:val="clear" w:color="auto" w:fill="auto"/>
            <w:noWrap/>
            <w:vAlign w:val="bottom"/>
            <w:hideMark/>
          </w:tcPr>
          <w:p w:rsidR="00202437" w:rsidRPr="00202437" w:rsidRDefault="00202437" w:rsidP="00400E0F">
            <w:pPr>
              <w:bidi/>
              <w:rPr>
                <w:rFonts w:asciiTheme="minorHAnsi" w:hAnsiTheme="minorHAnsi" w:cstheme="minorHAnsi"/>
                <w:rtl/>
              </w:rPr>
            </w:pPr>
          </w:p>
        </w:tc>
        <w:tc>
          <w:tcPr>
            <w:tcW w:w="8688" w:type="dxa"/>
            <w:gridSpan w:val="6"/>
            <w:tcBorders>
              <w:top w:val="nil"/>
              <w:left w:val="nil"/>
              <w:bottom w:val="nil"/>
              <w:right w:val="nil"/>
            </w:tcBorders>
            <w:shd w:val="clear" w:color="auto" w:fill="auto"/>
            <w:noWrap/>
            <w:vAlign w:val="bottom"/>
            <w:hideMark/>
          </w:tcPr>
          <w:p w:rsidR="00202437" w:rsidRPr="00202437" w:rsidRDefault="00202437" w:rsidP="00400E0F">
            <w:pPr>
              <w:bidi/>
              <w:rPr>
                <w:rFonts w:asciiTheme="minorHAnsi" w:hAnsiTheme="minorHAnsi" w:cstheme="minorHAnsi"/>
              </w:rPr>
            </w:pPr>
            <w:bookmarkStart w:id="5" w:name="RANGE!B32"/>
            <w:r w:rsidRPr="00202437">
              <w:rPr>
                <w:rFonts w:asciiTheme="minorHAnsi" w:hAnsiTheme="minorHAnsi" w:cstheme="minorHAnsi"/>
                <w:vertAlign w:val="superscript"/>
                <w:rtl/>
              </w:rPr>
              <w:t xml:space="preserve">4 </w:t>
            </w:r>
            <w:r w:rsidRPr="00202437">
              <w:rPr>
                <w:rFonts w:asciiTheme="minorHAnsi" w:hAnsiTheme="minorHAnsi" w:cstheme="minorHAnsi"/>
                <w:rtl/>
              </w:rPr>
              <w:t>כולל גופים כמו מנהלי תיקים, מלכ"רים, מוסדות לאומיים וכאלו שלא נכללים ביתר הסעיפים.</w:t>
            </w:r>
            <w:bookmarkEnd w:id="5"/>
          </w:p>
        </w:tc>
      </w:tr>
      <w:tr w:rsidR="00202437" w:rsidRPr="00202437" w:rsidTr="00400E0F">
        <w:trPr>
          <w:trHeight w:val="180"/>
        </w:trPr>
        <w:tc>
          <w:tcPr>
            <w:tcW w:w="978" w:type="dxa"/>
            <w:tcBorders>
              <w:top w:val="nil"/>
              <w:left w:val="nil"/>
              <w:bottom w:val="nil"/>
              <w:right w:val="nil"/>
            </w:tcBorders>
            <w:shd w:val="clear" w:color="auto" w:fill="auto"/>
            <w:noWrap/>
            <w:vAlign w:val="bottom"/>
            <w:hideMark/>
          </w:tcPr>
          <w:p w:rsidR="00202437" w:rsidRPr="00202437" w:rsidRDefault="00202437" w:rsidP="00400E0F">
            <w:pPr>
              <w:bidi/>
              <w:rPr>
                <w:rFonts w:asciiTheme="minorHAnsi" w:hAnsiTheme="minorHAnsi" w:cstheme="minorHAnsi"/>
                <w:rtl/>
              </w:rPr>
            </w:pPr>
          </w:p>
        </w:tc>
        <w:tc>
          <w:tcPr>
            <w:tcW w:w="8688" w:type="dxa"/>
            <w:gridSpan w:val="6"/>
            <w:tcBorders>
              <w:top w:val="nil"/>
              <w:left w:val="nil"/>
              <w:bottom w:val="nil"/>
              <w:right w:val="nil"/>
            </w:tcBorders>
            <w:shd w:val="clear" w:color="auto" w:fill="auto"/>
            <w:noWrap/>
            <w:vAlign w:val="bottom"/>
            <w:hideMark/>
          </w:tcPr>
          <w:p w:rsidR="00202437" w:rsidRPr="00202437" w:rsidRDefault="00202437" w:rsidP="00400E0F">
            <w:pPr>
              <w:bidi/>
              <w:rPr>
                <w:rFonts w:asciiTheme="minorHAnsi" w:hAnsiTheme="minorHAnsi" w:cstheme="minorHAnsi"/>
              </w:rPr>
            </w:pPr>
            <w:bookmarkStart w:id="6" w:name="RANGE!B33"/>
            <w:r w:rsidRPr="00202437">
              <w:rPr>
                <w:rFonts w:asciiTheme="minorHAnsi" w:hAnsiTheme="minorHAnsi" w:cstheme="minorHAnsi"/>
                <w:b/>
                <w:bCs/>
                <w:vertAlign w:val="superscript"/>
                <w:rtl/>
              </w:rPr>
              <w:t>5</w:t>
            </w:r>
            <w:r w:rsidRPr="00202437">
              <w:rPr>
                <w:rFonts w:asciiTheme="minorHAnsi" w:hAnsiTheme="minorHAnsi" w:cstheme="minorHAnsi"/>
                <w:rtl/>
              </w:rPr>
              <w:t xml:space="preserve"> סך המסחר הבין בנקאי מחולק בשניים.</w:t>
            </w:r>
            <w:bookmarkEnd w:id="6"/>
          </w:p>
        </w:tc>
      </w:tr>
    </w:tbl>
    <w:p w:rsidR="00202437" w:rsidRPr="00202437" w:rsidRDefault="00202437" w:rsidP="00202437">
      <w:pPr>
        <w:pStyle w:val="2"/>
        <w:bidi/>
        <w:rPr>
          <w:rFonts w:asciiTheme="minorHAnsi" w:hAnsiTheme="minorHAnsi" w:cstheme="minorHAnsi"/>
          <w:sz w:val="24"/>
          <w:szCs w:val="24"/>
          <w:rtl/>
        </w:rPr>
      </w:pPr>
    </w:p>
    <w:p w:rsidR="00202437" w:rsidRPr="00202437" w:rsidRDefault="00202437" w:rsidP="00202437">
      <w:pPr>
        <w:bidi/>
        <w:rPr>
          <w:rFonts w:asciiTheme="minorHAnsi" w:hAnsiTheme="minorHAnsi" w:cstheme="minorHAnsi"/>
          <w:rtl/>
        </w:rPr>
      </w:pPr>
    </w:p>
    <w:p w:rsidR="00202437" w:rsidRPr="00202437" w:rsidRDefault="00202437" w:rsidP="00202437">
      <w:pPr>
        <w:pStyle w:val="2"/>
        <w:bidi/>
        <w:rPr>
          <w:rFonts w:asciiTheme="minorHAnsi" w:eastAsia="Times New Roman" w:hAnsiTheme="minorHAnsi" w:cstheme="minorHAnsi"/>
          <w:b w:val="0"/>
          <w:bCs w:val="0"/>
          <w:color w:val="auto"/>
          <w:sz w:val="24"/>
          <w:szCs w:val="24"/>
          <w:rtl/>
        </w:rPr>
      </w:pPr>
    </w:p>
    <w:p w:rsidR="00202437" w:rsidRPr="00202437" w:rsidRDefault="00202437" w:rsidP="00202437">
      <w:pPr>
        <w:bidi/>
        <w:rPr>
          <w:rFonts w:asciiTheme="minorHAnsi" w:hAnsiTheme="minorHAnsi" w:cstheme="minorHAnsi"/>
          <w:rtl/>
        </w:rPr>
      </w:pPr>
    </w:p>
    <w:p w:rsidR="00202437" w:rsidRPr="00202437" w:rsidRDefault="00202437" w:rsidP="00202437">
      <w:pPr>
        <w:pStyle w:val="2"/>
        <w:bidi/>
        <w:rPr>
          <w:rFonts w:asciiTheme="minorHAnsi" w:hAnsiTheme="minorHAnsi" w:cstheme="minorHAnsi"/>
          <w:sz w:val="24"/>
          <w:szCs w:val="24"/>
          <w:rtl/>
        </w:rPr>
      </w:pPr>
      <w:r w:rsidRPr="00202437">
        <w:rPr>
          <w:rFonts w:asciiTheme="minorHAnsi" w:hAnsiTheme="minorHAnsi" w:cstheme="minorHAnsi"/>
          <w:sz w:val="24"/>
          <w:szCs w:val="24"/>
          <w:rtl/>
        </w:rPr>
        <w:lastRenderedPageBreak/>
        <w:t>אומדן של נפח המסחר הכולל</w:t>
      </w:r>
      <w:r w:rsidRPr="00202437">
        <w:rPr>
          <w:rStyle w:val="af2"/>
          <w:rFonts w:asciiTheme="minorHAnsi" w:hAnsiTheme="minorHAnsi" w:cstheme="minorHAnsi"/>
          <w:sz w:val="24"/>
          <w:szCs w:val="24"/>
          <w:rtl/>
        </w:rPr>
        <w:footnoteReference w:id="4"/>
      </w:r>
      <w:r w:rsidRPr="00202437">
        <w:rPr>
          <w:rFonts w:asciiTheme="minorHAnsi" w:hAnsiTheme="minorHAnsi" w:cstheme="minorHAnsi"/>
          <w:sz w:val="24"/>
          <w:szCs w:val="24"/>
          <w:rtl/>
        </w:rPr>
        <w:t xml:space="preserve"> - מערכת הבנקאות המקומית ומדווחים זרים</w:t>
      </w:r>
    </w:p>
    <w:p w:rsidR="00202437" w:rsidRPr="00202437" w:rsidRDefault="00202437" w:rsidP="00202437">
      <w:pPr>
        <w:bidi/>
        <w:spacing w:line="360" w:lineRule="auto"/>
        <w:jc w:val="both"/>
        <w:rPr>
          <w:rFonts w:asciiTheme="minorHAnsi" w:hAnsiTheme="minorHAnsi" w:cstheme="minorHAnsi"/>
          <w:rtl/>
        </w:rPr>
      </w:pPr>
    </w:p>
    <w:p w:rsidR="00202437" w:rsidRPr="00202437" w:rsidRDefault="00202437" w:rsidP="00202437">
      <w:pPr>
        <w:bidi/>
        <w:spacing w:line="360" w:lineRule="auto"/>
        <w:jc w:val="both"/>
        <w:rPr>
          <w:rFonts w:asciiTheme="minorHAnsi" w:hAnsiTheme="minorHAnsi" w:cstheme="minorHAnsi"/>
          <w:color w:val="000000" w:themeColor="text1"/>
          <w:rtl/>
        </w:rPr>
      </w:pPr>
      <w:r w:rsidRPr="00202437">
        <w:rPr>
          <w:rFonts w:asciiTheme="minorHAnsi" w:hAnsiTheme="minorHAnsi" w:cstheme="minorHAnsi"/>
          <w:color w:val="000000" w:themeColor="text1"/>
          <w:rtl/>
        </w:rPr>
        <w:t>מאמידת הפעילות הכוללת בעסקאות מול השקל המשתקפת בדיווחי מערכת הבנקאות המקומית ומדווחים זרים עולה כי חלקם היחסי של תושבי חוץ בנפח המסחר בעסקאות המרה  (ללא עסקאות החלף ואופציות) עמד ברבעון הרביעי על כ-85%,</w:t>
      </w:r>
      <w:r w:rsidRPr="00202437">
        <w:rPr>
          <w:rFonts w:asciiTheme="minorHAnsi" w:hAnsiTheme="minorHAnsi" w:cstheme="minorHAnsi"/>
          <w:b/>
          <w:bCs/>
          <w:color w:val="000000" w:themeColor="text1"/>
          <w:rtl/>
        </w:rPr>
        <w:t xml:space="preserve"> </w:t>
      </w:r>
      <w:r w:rsidRPr="00202437">
        <w:rPr>
          <w:rFonts w:asciiTheme="minorHAnsi" w:hAnsiTheme="minorHAnsi" w:cstheme="minorHAnsi"/>
          <w:color w:val="000000" w:themeColor="text1"/>
          <w:rtl/>
        </w:rPr>
        <w:t xml:space="preserve">כאשר המסחר בין זרים מהווה כ-77% מהנפח, שעמד על ממוצע יומי של </w:t>
      </w:r>
      <w:r w:rsidRPr="00202437">
        <w:rPr>
          <w:rFonts w:asciiTheme="minorHAnsi" w:hAnsiTheme="minorHAnsi" w:cstheme="minorHAnsi"/>
          <w:color w:val="000000" w:themeColor="text1"/>
        </w:rPr>
        <w:t xml:space="preserve"> </w:t>
      </w:r>
      <w:r w:rsidRPr="00202437">
        <w:rPr>
          <w:rFonts w:asciiTheme="minorHAnsi" w:hAnsiTheme="minorHAnsi" w:cstheme="minorHAnsi"/>
          <w:color w:val="000000" w:themeColor="text1"/>
          <w:rtl/>
        </w:rPr>
        <w:t xml:space="preserve">כ-17.9 מיליארדי דולרים. </w:t>
      </w:r>
    </w:p>
    <w:p w:rsidR="00202437" w:rsidRPr="00202437" w:rsidRDefault="00202437" w:rsidP="00202437">
      <w:pPr>
        <w:bidi/>
        <w:spacing w:line="360" w:lineRule="auto"/>
        <w:jc w:val="both"/>
        <w:rPr>
          <w:rFonts w:asciiTheme="minorHAnsi" w:hAnsiTheme="minorHAnsi" w:cstheme="minorHAnsi"/>
          <w:rtl/>
        </w:rPr>
      </w:pPr>
    </w:p>
    <w:tbl>
      <w:tblPr>
        <w:bidiVisual/>
        <w:tblW w:w="10160" w:type="dxa"/>
        <w:tblLook w:val="04A0" w:firstRow="1" w:lastRow="0" w:firstColumn="1" w:lastColumn="0" w:noHBand="0" w:noVBand="1"/>
      </w:tblPr>
      <w:tblGrid>
        <w:gridCol w:w="3366"/>
        <w:gridCol w:w="1055"/>
        <w:gridCol w:w="991"/>
        <w:gridCol w:w="994"/>
        <w:gridCol w:w="1060"/>
        <w:gridCol w:w="1407"/>
        <w:gridCol w:w="1287"/>
      </w:tblGrid>
      <w:tr w:rsidR="00202437" w:rsidRPr="00202437" w:rsidTr="00400E0F">
        <w:trPr>
          <w:trHeight w:val="315"/>
        </w:trPr>
        <w:tc>
          <w:tcPr>
            <w:tcW w:w="3428" w:type="dxa"/>
            <w:tcBorders>
              <w:top w:val="single" w:sz="8" w:space="0" w:color="4F81BD"/>
              <w:left w:val="single" w:sz="8" w:space="0" w:color="4F81BD"/>
              <w:bottom w:val="single" w:sz="8" w:space="0" w:color="4F81BD"/>
              <w:right w:val="single" w:sz="8" w:space="0" w:color="4F81BD"/>
            </w:tcBorders>
            <w:shd w:val="clear" w:color="000000" w:fill="5B9BD5"/>
            <w:vAlign w:val="center"/>
            <w:hideMark/>
          </w:tcPr>
          <w:p w:rsidR="00202437" w:rsidRPr="00202437" w:rsidRDefault="00202437" w:rsidP="00400E0F">
            <w:pPr>
              <w:bidi/>
              <w:jc w:val="center"/>
              <w:rPr>
                <w:rFonts w:asciiTheme="minorHAnsi" w:hAnsiTheme="minorHAnsi" w:cstheme="minorHAnsi"/>
                <w:b/>
                <w:bCs/>
                <w:color w:val="FFFFFF"/>
              </w:rPr>
            </w:pPr>
            <w:r w:rsidRPr="00202437">
              <w:rPr>
                <w:rFonts w:asciiTheme="minorHAnsi" w:hAnsiTheme="minorHAnsi" w:cstheme="minorHAnsi"/>
                <w:b/>
                <w:bCs/>
                <w:color w:val="FFFFFF"/>
                <w:rtl/>
              </w:rPr>
              <w:t> </w:t>
            </w:r>
          </w:p>
        </w:tc>
        <w:tc>
          <w:tcPr>
            <w:tcW w:w="996" w:type="dxa"/>
            <w:tcBorders>
              <w:top w:val="single" w:sz="8" w:space="0" w:color="4F81BD"/>
              <w:left w:val="single" w:sz="8" w:space="0" w:color="4F81BD"/>
              <w:bottom w:val="single" w:sz="8" w:space="0" w:color="4F81BD"/>
              <w:right w:val="nil"/>
            </w:tcBorders>
            <w:shd w:val="clear" w:color="000000" w:fill="5B9BD5"/>
            <w:vAlign w:val="center"/>
            <w:hideMark/>
          </w:tcPr>
          <w:p w:rsidR="00202437" w:rsidRPr="00202437" w:rsidRDefault="00202437" w:rsidP="00400E0F">
            <w:pPr>
              <w:bidi/>
              <w:jc w:val="center"/>
              <w:rPr>
                <w:rFonts w:asciiTheme="minorHAnsi" w:hAnsiTheme="minorHAnsi" w:cstheme="minorHAnsi"/>
                <w:b/>
                <w:bCs/>
                <w:color w:val="FFFFFF"/>
                <w:rtl/>
              </w:rPr>
            </w:pPr>
            <w:r w:rsidRPr="00202437">
              <w:rPr>
                <w:rFonts w:asciiTheme="minorHAnsi" w:hAnsiTheme="minorHAnsi" w:cstheme="minorHAnsi"/>
                <w:b/>
                <w:bCs/>
                <w:color w:val="FFFFFF"/>
                <w:rtl/>
              </w:rPr>
              <w:t> </w:t>
            </w:r>
          </w:p>
        </w:tc>
        <w:tc>
          <w:tcPr>
            <w:tcW w:w="3030" w:type="dxa"/>
            <w:gridSpan w:val="3"/>
            <w:tcBorders>
              <w:top w:val="single" w:sz="8" w:space="0" w:color="4F81BD"/>
              <w:left w:val="single" w:sz="8" w:space="0" w:color="4F81BD"/>
              <w:bottom w:val="single" w:sz="8" w:space="0" w:color="4F81BD"/>
              <w:right w:val="single" w:sz="8" w:space="0" w:color="4F81BD"/>
            </w:tcBorders>
            <w:shd w:val="clear" w:color="000000" w:fill="5B9BD5"/>
            <w:vAlign w:val="center"/>
            <w:hideMark/>
          </w:tcPr>
          <w:p w:rsidR="00202437" w:rsidRPr="00202437" w:rsidRDefault="00202437" w:rsidP="00400E0F">
            <w:pPr>
              <w:bidi/>
              <w:jc w:val="center"/>
              <w:rPr>
                <w:rFonts w:asciiTheme="minorHAnsi" w:hAnsiTheme="minorHAnsi" w:cstheme="minorHAnsi"/>
                <w:b/>
                <w:bCs/>
                <w:color w:val="FFFFFF"/>
                <w:rtl/>
              </w:rPr>
            </w:pPr>
            <w:bookmarkStart w:id="7" w:name="RANGE!C1"/>
            <w:r w:rsidRPr="00202437">
              <w:rPr>
                <w:rFonts w:asciiTheme="minorHAnsi" w:hAnsiTheme="minorHAnsi" w:cstheme="minorHAnsi"/>
                <w:b/>
                <w:bCs/>
                <w:color w:val="FFFFFF"/>
                <w:rtl/>
              </w:rPr>
              <w:t>החלק היחסי בנפח המסחר הכולל</w:t>
            </w:r>
            <w:bookmarkEnd w:id="7"/>
          </w:p>
        </w:tc>
        <w:tc>
          <w:tcPr>
            <w:tcW w:w="1412" w:type="dxa"/>
            <w:vMerge w:val="restart"/>
            <w:tcBorders>
              <w:top w:val="single" w:sz="8" w:space="0" w:color="4F81BD"/>
              <w:left w:val="single" w:sz="8" w:space="0" w:color="4F81BD"/>
              <w:bottom w:val="single" w:sz="8" w:space="0" w:color="4F81BD"/>
              <w:right w:val="single" w:sz="8" w:space="0" w:color="4F81BD"/>
            </w:tcBorders>
            <w:shd w:val="clear" w:color="000000" w:fill="5B9BD5"/>
            <w:vAlign w:val="center"/>
            <w:hideMark/>
          </w:tcPr>
          <w:p w:rsidR="00202437" w:rsidRPr="00202437" w:rsidRDefault="00202437" w:rsidP="00400E0F">
            <w:pPr>
              <w:bidi/>
              <w:jc w:val="center"/>
              <w:rPr>
                <w:rFonts w:asciiTheme="minorHAnsi" w:hAnsiTheme="minorHAnsi" w:cstheme="minorHAnsi"/>
                <w:b/>
                <w:bCs/>
                <w:color w:val="FFFFFF"/>
                <w:rtl/>
              </w:rPr>
            </w:pPr>
            <w:r w:rsidRPr="00202437">
              <w:rPr>
                <w:rFonts w:asciiTheme="minorHAnsi" w:hAnsiTheme="minorHAnsi" w:cstheme="minorHAnsi"/>
                <w:b/>
                <w:bCs/>
                <w:color w:val="FFFFFF"/>
                <w:rtl/>
              </w:rPr>
              <w:t>סך הנפח (במיליוני $)</w:t>
            </w:r>
          </w:p>
        </w:tc>
        <w:tc>
          <w:tcPr>
            <w:tcW w:w="1294" w:type="dxa"/>
            <w:vMerge w:val="restart"/>
            <w:tcBorders>
              <w:top w:val="single" w:sz="8" w:space="0" w:color="4F81BD"/>
              <w:left w:val="single" w:sz="8" w:space="0" w:color="4F81BD"/>
              <w:bottom w:val="single" w:sz="8" w:space="0" w:color="4F81BD"/>
              <w:right w:val="nil"/>
            </w:tcBorders>
            <w:shd w:val="clear" w:color="000000" w:fill="5B9BD5"/>
            <w:vAlign w:val="center"/>
            <w:hideMark/>
          </w:tcPr>
          <w:p w:rsidR="00202437" w:rsidRPr="00202437" w:rsidRDefault="00202437" w:rsidP="00400E0F">
            <w:pPr>
              <w:bidi/>
              <w:jc w:val="center"/>
              <w:rPr>
                <w:rFonts w:asciiTheme="minorHAnsi" w:hAnsiTheme="minorHAnsi" w:cstheme="minorHAnsi"/>
                <w:b/>
                <w:bCs/>
                <w:color w:val="FFFFFF"/>
                <w:rtl/>
              </w:rPr>
            </w:pPr>
            <w:r w:rsidRPr="00202437">
              <w:rPr>
                <w:rFonts w:asciiTheme="minorHAnsi" w:hAnsiTheme="minorHAnsi" w:cstheme="minorHAnsi"/>
                <w:b/>
                <w:bCs/>
                <w:color w:val="FFFFFF"/>
                <w:rtl/>
              </w:rPr>
              <w:t>ממוצע יומי (במיליוני $)</w:t>
            </w:r>
          </w:p>
        </w:tc>
      </w:tr>
      <w:tr w:rsidR="00202437" w:rsidRPr="00202437" w:rsidTr="00400E0F">
        <w:trPr>
          <w:trHeight w:val="1515"/>
        </w:trPr>
        <w:tc>
          <w:tcPr>
            <w:tcW w:w="3428" w:type="dxa"/>
            <w:tcBorders>
              <w:top w:val="nil"/>
              <w:left w:val="single" w:sz="8" w:space="0" w:color="4F81BD"/>
              <w:bottom w:val="single" w:sz="8" w:space="0" w:color="4F81BD"/>
              <w:right w:val="single" w:sz="8" w:space="0" w:color="4F81BD"/>
            </w:tcBorders>
            <w:shd w:val="clear" w:color="000000" w:fill="5B9BD5"/>
            <w:vAlign w:val="center"/>
            <w:hideMark/>
          </w:tcPr>
          <w:p w:rsidR="00202437" w:rsidRPr="00202437" w:rsidRDefault="00202437" w:rsidP="00400E0F">
            <w:pPr>
              <w:bidi/>
              <w:jc w:val="center"/>
              <w:rPr>
                <w:rFonts w:asciiTheme="minorHAnsi" w:hAnsiTheme="minorHAnsi" w:cstheme="minorHAnsi"/>
                <w:b/>
                <w:bCs/>
                <w:color w:val="FFFFFF"/>
                <w:rtl/>
              </w:rPr>
            </w:pPr>
            <w:r w:rsidRPr="00202437">
              <w:rPr>
                <w:rFonts w:asciiTheme="minorHAnsi" w:hAnsiTheme="minorHAnsi" w:cstheme="minorHAnsi"/>
                <w:b/>
                <w:bCs/>
                <w:color w:val="FFFFFF"/>
                <w:rtl/>
              </w:rPr>
              <w:t> </w:t>
            </w:r>
          </w:p>
        </w:tc>
        <w:tc>
          <w:tcPr>
            <w:tcW w:w="996" w:type="dxa"/>
            <w:tcBorders>
              <w:top w:val="nil"/>
              <w:left w:val="single" w:sz="8" w:space="0" w:color="4F81BD"/>
              <w:bottom w:val="single" w:sz="8" w:space="0" w:color="4F81BD"/>
              <w:right w:val="nil"/>
            </w:tcBorders>
            <w:shd w:val="clear" w:color="000000" w:fill="5B9BD5"/>
            <w:vAlign w:val="center"/>
            <w:hideMark/>
          </w:tcPr>
          <w:p w:rsidR="00202437" w:rsidRPr="00202437" w:rsidRDefault="00202437" w:rsidP="00400E0F">
            <w:pPr>
              <w:bidi/>
              <w:jc w:val="center"/>
              <w:rPr>
                <w:rFonts w:asciiTheme="minorHAnsi" w:hAnsiTheme="minorHAnsi" w:cstheme="minorHAnsi"/>
                <w:b/>
                <w:bCs/>
                <w:color w:val="FFFFFF"/>
                <w:rtl/>
              </w:rPr>
            </w:pPr>
            <w:r w:rsidRPr="00202437">
              <w:rPr>
                <w:rFonts w:asciiTheme="minorHAnsi" w:hAnsiTheme="minorHAnsi" w:cstheme="minorHAnsi"/>
                <w:b/>
                <w:bCs/>
                <w:color w:val="FFFFFF"/>
                <w:rtl/>
              </w:rPr>
              <w:t> </w:t>
            </w:r>
          </w:p>
        </w:tc>
        <w:tc>
          <w:tcPr>
            <w:tcW w:w="995" w:type="dxa"/>
            <w:tcBorders>
              <w:top w:val="nil"/>
              <w:left w:val="single" w:sz="8" w:space="0" w:color="4F81BD"/>
              <w:bottom w:val="single" w:sz="8" w:space="0" w:color="4F81BD"/>
              <w:right w:val="nil"/>
            </w:tcBorders>
            <w:shd w:val="clear" w:color="000000" w:fill="5B9BD5"/>
            <w:vAlign w:val="center"/>
            <w:hideMark/>
          </w:tcPr>
          <w:p w:rsidR="00202437" w:rsidRPr="00202437" w:rsidRDefault="00202437" w:rsidP="00400E0F">
            <w:pPr>
              <w:bidi/>
              <w:jc w:val="center"/>
              <w:rPr>
                <w:rFonts w:asciiTheme="minorHAnsi" w:hAnsiTheme="minorHAnsi" w:cstheme="minorHAnsi"/>
                <w:b/>
                <w:bCs/>
                <w:color w:val="FFFFFF"/>
                <w:rtl/>
              </w:rPr>
            </w:pPr>
            <w:r w:rsidRPr="00202437">
              <w:rPr>
                <w:rFonts w:asciiTheme="minorHAnsi" w:hAnsiTheme="minorHAnsi" w:cstheme="minorHAnsi"/>
                <w:b/>
                <w:bCs/>
                <w:color w:val="FFFFFF"/>
                <w:rtl/>
              </w:rPr>
              <w:t>מסחר בין זרים</w:t>
            </w:r>
          </w:p>
        </w:tc>
        <w:tc>
          <w:tcPr>
            <w:tcW w:w="997" w:type="dxa"/>
            <w:tcBorders>
              <w:top w:val="nil"/>
              <w:left w:val="single" w:sz="8" w:space="0" w:color="4F81BD"/>
              <w:bottom w:val="single" w:sz="8" w:space="0" w:color="4F81BD"/>
              <w:right w:val="nil"/>
            </w:tcBorders>
            <w:shd w:val="clear" w:color="000000" w:fill="5B9BD5"/>
            <w:vAlign w:val="center"/>
            <w:hideMark/>
          </w:tcPr>
          <w:p w:rsidR="00202437" w:rsidRPr="00202437" w:rsidRDefault="00202437" w:rsidP="00400E0F">
            <w:pPr>
              <w:bidi/>
              <w:jc w:val="center"/>
              <w:rPr>
                <w:rFonts w:asciiTheme="minorHAnsi" w:hAnsiTheme="minorHAnsi" w:cstheme="minorHAnsi"/>
                <w:color w:val="0000FF"/>
                <w:u w:val="single"/>
                <w:rtl/>
              </w:rPr>
            </w:pPr>
            <w:hyperlink r:id="rId16" w:anchor="RANGE!_ftn1" w:history="1">
              <w:r w:rsidRPr="00202437">
                <w:rPr>
                  <w:rFonts w:asciiTheme="minorHAnsi" w:hAnsiTheme="minorHAnsi" w:cstheme="minorHAnsi"/>
                  <w:b/>
                  <w:bCs/>
                  <w:color w:val="FFFFFF"/>
                  <w:rtl/>
                </w:rPr>
                <w:t>מסחר בין זר למקומי</w:t>
              </w:r>
            </w:hyperlink>
          </w:p>
        </w:tc>
        <w:tc>
          <w:tcPr>
            <w:tcW w:w="1038" w:type="dxa"/>
            <w:tcBorders>
              <w:top w:val="nil"/>
              <w:left w:val="single" w:sz="8" w:space="0" w:color="4F81BD"/>
              <w:bottom w:val="single" w:sz="8" w:space="0" w:color="4F81BD"/>
              <w:right w:val="nil"/>
            </w:tcBorders>
            <w:shd w:val="clear" w:color="000000" w:fill="5B9BD5"/>
            <w:vAlign w:val="center"/>
            <w:hideMark/>
          </w:tcPr>
          <w:p w:rsidR="00202437" w:rsidRPr="00202437" w:rsidRDefault="00202437" w:rsidP="00400E0F">
            <w:pPr>
              <w:bidi/>
              <w:jc w:val="center"/>
              <w:rPr>
                <w:rFonts w:asciiTheme="minorHAnsi" w:hAnsiTheme="minorHAnsi" w:cstheme="minorHAnsi"/>
                <w:b/>
                <w:bCs/>
                <w:color w:val="FFFFFF"/>
                <w:rtl/>
              </w:rPr>
            </w:pPr>
            <w:r w:rsidRPr="00202437">
              <w:rPr>
                <w:rFonts w:asciiTheme="minorHAnsi" w:hAnsiTheme="minorHAnsi" w:cstheme="minorHAnsi"/>
                <w:b/>
                <w:bCs/>
                <w:color w:val="FFFFFF"/>
                <w:rtl/>
              </w:rPr>
              <w:t>מסחר בין מערכת הבנקאות המקומית למקומיים</w:t>
            </w:r>
          </w:p>
        </w:tc>
        <w:tc>
          <w:tcPr>
            <w:tcW w:w="1412" w:type="dxa"/>
            <w:vMerge/>
            <w:tcBorders>
              <w:top w:val="single" w:sz="8" w:space="0" w:color="4F81BD"/>
              <w:left w:val="single" w:sz="8" w:space="0" w:color="4F81BD"/>
              <w:bottom w:val="single" w:sz="8" w:space="0" w:color="4F81BD"/>
              <w:right w:val="single" w:sz="8" w:space="0" w:color="4F81BD"/>
            </w:tcBorders>
            <w:vAlign w:val="center"/>
            <w:hideMark/>
          </w:tcPr>
          <w:p w:rsidR="00202437" w:rsidRPr="00202437" w:rsidRDefault="00202437" w:rsidP="00400E0F">
            <w:pPr>
              <w:bidi/>
              <w:rPr>
                <w:rFonts w:asciiTheme="minorHAnsi" w:hAnsiTheme="minorHAnsi" w:cstheme="minorHAnsi"/>
                <w:b/>
                <w:bCs/>
                <w:color w:val="FFFFFF"/>
              </w:rPr>
            </w:pPr>
          </w:p>
        </w:tc>
        <w:tc>
          <w:tcPr>
            <w:tcW w:w="1294" w:type="dxa"/>
            <w:vMerge/>
            <w:tcBorders>
              <w:top w:val="single" w:sz="8" w:space="0" w:color="4F81BD"/>
              <w:left w:val="single" w:sz="8" w:space="0" w:color="4F81BD"/>
              <w:bottom w:val="single" w:sz="8" w:space="0" w:color="4F81BD"/>
              <w:right w:val="nil"/>
            </w:tcBorders>
            <w:vAlign w:val="center"/>
            <w:hideMark/>
          </w:tcPr>
          <w:p w:rsidR="00202437" w:rsidRPr="00202437" w:rsidRDefault="00202437" w:rsidP="00400E0F">
            <w:pPr>
              <w:bidi/>
              <w:rPr>
                <w:rFonts w:asciiTheme="minorHAnsi" w:hAnsiTheme="minorHAnsi" w:cstheme="minorHAnsi"/>
                <w:b/>
                <w:bCs/>
                <w:color w:val="FFFFFF"/>
              </w:rPr>
            </w:pPr>
          </w:p>
        </w:tc>
      </w:tr>
      <w:tr w:rsidR="00202437" w:rsidRPr="00202437" w:rsidTr="00400E0F">
        <w:trPr>
          <w:trHeight w:val="1215"/>
        </w:trPr>
        <w:tc>
          <w:tcPr>
            <w:tcW w:w="3428" w:type="dxa"/>
            <w:vMerge w:val="restart"/>
            <w:tcBorders>
              <w:top w:val="nil"/>
              <w:left w:val="single" w:sz="8" w:space="0" w:color="9CC2E5"/>
              <w:bottom w:val="single" w:sz="12" w:space="0" w:color="000000"/>
              <w:right w:val="single" w:sz="8" w:space="0" w:color="9CC2E5"/>
            </w:tcBorders>
            <w:shd w:val="clear" w:color="000000" w:fill="DEEAF6"/>
            <w:vAlign w:val="center"/>
            <w:hideMark/>
          </w:tcPr>
          <w:p w:rsidR="00202437" w:rsidRPr="00202437" w:rsidRDefault="00202437" w:rsidP="00400E0F">
            <w:pPr>
              <w:bidi/>
              <w:jc w:val="center"/>
              <w:rPr>
                <w:rFonts w:asciiTheme="minorHAnsi" w:hAnsiTheme="minorHAnsi" w:cstheme="minorHAnsi"/>
              </w:rPr>
            </w:pPr>
            <w:r w:rsidRPr="00202437">
              <w:rPr>
                <w:rFonts w:asciiTheme="minorHAnsi" w:hAnsiTheme="minorHAnsi" w:cstheme="minorHAnsi"/>
                <w:rtl/>
              </w:rPr>
              <w:t>רבעון רביעי 2025</w:t>
            </w:r>
          </w:p>
        </w:tc>
        <w:tc>
          <w:tcPr>
            <w:tcW w:w="996" w:type="dxa"/>
            <w:tcBorders>
              <w:top w:val="nil"/>
              <w:left w:val="single" w:sz="8" w:space="0" w:color="9CC2E5"/>
              <w:bottom w:val="single" w:sz="8" w:space="0" w:color="4F81BD"/>
              <w:right w:val="nil"/>
            </w:tcBorders>
            <w:shd w:val="clear" w:color="000000" w:fill="DEEAF6"/>
            <w:vAlign w:val="center"/>
            <w:hideMark/>
          </w:tcPr>
          <w:p w:rsidR="00202437" w:rsidRPr="00202437" w:rsidRDefault="00202437" w:rsidP="00400E0F">
            <w:pPr>
              <w:bidi/>
              <w:jc w:val="center"/>
              <w:rPr>
                <w:rFonts w:asciiTheme="minorHAnsi" w:hAnsiTheme="minorHAnsi" w:cstheme="minorHAnsi"/>
                <w:rtl/>
              </w:rPr>
            </w:pPr>
            <w:r w:rsidRPr="00202437">
              <w:rPr>
                <w:rFonts w:asciiTheme="minorHAnsi" w:hAnsiTheme="minorHAnsi" w:cstheme="minorHAnsi"/>
                <w:rtl/>
              </w:rPr>
              <w:t>נפח המסחר בעסקאות המרה</w:t>
            </w:r>
          </w:p>
        </w:tc>
        <w:tc>
          <w:tcPr>
            <w:tcW w:w="995" w:type="dxa"/>
            <w:tcBorders>
              <w:top w:val="nil"/>
              <w:left w:val="single" w:sz="8" w:space="0" w:color="9CC2E5"/>
              <w:bottom w:val="single" w:sz="8" w:space="0" w:color="4F81BD"/>
              <w:right w:val="nil"/>
            </w:tcBorders>
            <w:shd w:val="clear" w:color="000000" w:fill="DEEAF6"/>
            <w:vAlign w:val="center"/>
            <w:hideMark/>
          </w:tcPr>
          <w:p w:rsidR="00202437" w:rsidRPr="00202437" w:rsidRDefault="00202437" w:rsidP="00400E0F">
            <w:pPr>
              <w:bidi/>
              <w:jc w:val="center"/>
              <w:rPr>
                <w:rFonts w:asciiTheme="minorHAnsi" w:hAnsiTheme="minorHAnsi" w:cstheme="minorHAnsi"/>
              </w:rPr>
            </w:pPr>
            <w:r w:rsidRPr="00202437">
              <w:rPr>
                <w:rFonts w:asciiTheme="minorHAnsi" w:hAnsiTheme="minorHAnsi" w:cstheme="minorHAnsi"/>
                <w:rtl/>
              </w:rPr>
              <w:t>77.0%</w:t>
            </w:r>
          </w:p>
        </w:tc>
        <w:tc>
          <w:tcPr>
            <w:tcW w:w="997" w:type="dxa"/>
            <w:tcBorders>
              <w:top w:val="nil"/>
              <w:left w:val="single" w:sz="8" w:space="0" w:color="9CC2E5"/>
              <w:bottom w:val="single" w:sz="8" w:space="0" w:color="4F81BD"/>
              <w:right w:val="nil"/>
            </w:tcBorders>
            <w:shd w:val="clear" w:color="000000" w:fill="DEEAF6"/>
            <w:vAlign w:val="center"/>
            <w:hideMark/>
          </w:tcPr>
          <w:p w:rsidR="00202437" w:rsidRPr="00202437" w:rsidRDefault="00202437" w:rsidP="00400E0F">
            <w:pPr>
              <w:bidi/>
              <w:jc w:val="center"/>
              <w:rPr>
                <w:rFonts w:asciiTheme="minorHAnsi" w:hAnsiTheme="minorHAnsi" w:cstheme="minorHAnsi"/>
                <w:rtl/>
              </w:rPr>
            </w:pPr>
            <w:r w:rsidRPr="00202437">
              <w:rPr>
                <w:rFonts w:asciiTheme="minorHAnsi" w:hAnsiTheme="minorHAnsi" w:cstheme="minorHAnsi"/>
                <w:rtl/>
              </w:rPr>
              <w:t>8.1%</w:t>
            </w:r>
          </w:p>
        </w:tc>
        <w:tc>
          <w:tcPr>
            <w:tcW w:w="1038" w:type="dxa"/>
            <w:tcBorders>
              <w:top w:val="nil"/>
              <w:left w:val="single" w:sz="8" w:space="0" w:color="9CC2E5"/>
              <w:bottom w:val="single" w:sz="8" w:space="0" w:color="4F81BD"/>
              <w:right w:val="nil"/>
            </w:tcBorders>
            <w:shd w:val="clear" w:color="000000" w:fill="DEEAF6"/>
            <w:vAlign w:val="center"/>
            <w:hideMark/>
          </w:tcPr>
          <w:p w:rsidR="00202437" w:rsidRPr="00202437" w:rsidRDefault="00202437" w:rsidP="00400E0F">
            <w:pPr>
              <w:bidi/>
              <w:jc w:val="center"/>
              <w:rPr>
                <w:rFonts w:asciiTheme="minorHAnsi" w:hAnsiTheme="minorHAnsi" w:cstheme="minorHAnsi"/>
                <w:rtl/>
              </w:rPr>
            </w:pPr>
            <w:r w:rsidRPr="00202437">
              <w:rPr>
                <w:rFonts w:asciiTheme="minorHAnsi" w:hAnsiTheme="minorHAnsi" w:cstheme="minorHAnsi"/>
                <w:rtl/>
              </w:rPr>
              <w:t>14.9%</w:t>
            </w:r>
          </w:p>
        </w:tc>
        <w:tc>
          <w:tcPr>
            <w:tcW w:w="1412" w:type="dxa"/>
            <w:tcBorders>
              <w:top w:val="nil"/>
              <w:left w:val="single" w:sz="8" w:space="0" w:color="9CC2E5"/>
              <w:bottom w:val="single" w:sz="8" w:space="0" w:color="4F81BD"/>
              <w:right w:val="nil"/>
            </w:tcBorders>
            <w:shd w:val="clear" w:color="000000" w:fill="DEEAF6"/>
            <w:vAlign w:val="center"/>
            <w:hideMark/>
          </w:tcPr>
          <w:p w:rsidR="00202437" w:rsidRPr="00202437" w:rsidRDefault="00202437" w:rsidP="00400E0F">
            <w:pPr>
              <w:bidi/>
              <w:jc w:val="center"/>
              <w:rPr>
                <w:rFonts w:asciiTheme="minorHAnsi" w:hAnsiTheme="minorHAnsi" w:cstheme="minorHAnsi"/>
                <w:rtl/>
              </w:rPr>
            </w:pPr>
            <w:r w:rsidRPr="00202437">
              <w:rPr>
                <w:rFonts w:asciiTheme="minorHAnsi" w:hAnsiTheme="minorHAnsi" w:cstheme="minorHAnsi"/>
                <w:rtl/>
              </w:rPr>
              <w:t xml:space="preserve">           1,072,095 </w:t>
            </w:r>
          </w:p>
        </w:tc>
        <w:tc>
          <w:tcPr>
            <w:tcW w:w="1294" w:type="dxa"/>
            <w:tcBorders>
              <w:top w:val="nil"/>
              <w:left w:val="single" w:sz="8" w:space="0" w:color="9CC2E5"/>
              <w:bottom w:val="single" w:sz="8" w:space="0" w:color="4F81BD"/>
              <w:right w:val="nil"/>
            </w:tcBorders>
            <w:shd w:val="clear" w:color="000000" w:fill="DEEAF6"/>
            <w:vAlign w:val="center"/>
            <w:hideMark/>
          </w:tcPr>
          <w:p w:rsidR="00202437" w:rsidRPr="00202437" w:rsidRDefault="00202437" w:rsidP="00400E0F">
            <w:pPr>
              <w:bidi/>
              <w:jc w:val="center"/>
              <w:rPr>
                <w:rFonts w:asciiTheme="minorHAnsi" w:hAnsiTheme="minorHAnsi" w:cstheme="minorHAnsi"/>
                <w:rtl/>
              </w:rPr>
            </w:pPr>
            <w:r w:rsidRPr="00202437">
              <w:rPr>
                <w:rFonts w:asciiTheme="minorHAnsi" w:hAnsiTheme="minorHAnsi" w:cstheme="minorHAnsi"/>
                <w:rtl/>
              </w:rPr>
              <w:t xml:space="preserve">             17,868 </w:t>
            </w:r>
          </w:p>
        </w:tc>
      </w:tr>
      <w:tr w:rsidR="00202437" w:rsidRPr="00202437" w:rsidTr="00400E0F">
        <w:trPr>
          <w:trHeight w:val="1515"/>
        </w:trPr>
        <w:tc>
          <w:tcPr>
            <w:tcW w:w="3428" w:type="dxa"/>
            <w:vMerge/>
            <w:tcBorders>
              <w:top w:val="nil"/>
              <w:left w:val="single" w:sz="8" w:space="0" w:color="9CC2E5"/>
              <w:bottom w:val="single" w:sz="12" w:space="0" w:color="000000"/>
              <w:right w:val="single" w:sz="8" w:space="0" w:color="9CC2E5"/>
            </w:tcBorders>
            <w:vAlign w:val="center"/>
            <w:hideMark/>
          </w:tcPr>
          <w:p w:rsidR="00202437" w:rsidRPr="00202437" w:rsidRDefault="00202437" w:rsidP="00400E0F">
            <w:pPr>
              <w:bidi/>
              <w:rPr>
                <w:rFonts w:asciiTheme="minorHAnsi" w:hAnsiTheme="minorHAnsi" w:cstheme="minorHAnsi"/>
              </w:rPr>
            </w:pPr>
          </w:p>
        </w:tc>
        <w:tc>
          <w:tcPr>
            <w:tcW w:w="996" w:type="dxa"/>
            <w:tcBorders>
              <w:top w:val="nil"/>
              <w:left w:val="single" w:sz="8" w:space="0" w:color="9CC2E5"/>
              <w:bottom w:val="single" w:sz="12" w:space="0" w:color="auto"/>
              <w:right w:val="nil"/>
            </w:tcBorders>
            <w:shd w:val="clear" w:color="000000" w:fill="DEEAF6"/>
            <w:vAlign w:val="center"/>
            <w:hideMark/>
          </w:tcPr>
          <w:p w:rsidR="00202437" w:rsidRPr="00202437" w:rsidRDefault="00202437" w:rsidP="00400E0F">
            <w:pPr>
              <w:bidi/>
              <w:jc w:val="center"/>
              <w:rPr>
                <w:rFonts w:asciiTheme="minorHAnsi" w:hAnsiTheme="minorHAnsi" w:cstheme="minorHAnsi"/>
                <w:rtl/>
              </w:rPr>
            </w:pPr>
            <w:r w:rsidRPr="00202437">
              <w:rPr>
                <w:rFonts w:asciiTheme="minorHAnsi" w:hAnsiTheme="minorHAnsi" w:cstheme="minorHAnsi"/>
                <w:rtl/>
              </w:rPr>
              <w:t>נפח המסחר בעסקאות החלף ואופציות</w:t>
            </w:r>
          </w:p>
        </w:tc>
        <w:tc>
          <w:tcPr>
            <w:tcW w:w="995" w:type="dxa"/>
            <w:tcBorders>
              <w:top w:val="nil"/>
              <w:left w:val="single" w:sz="8" w:space="0" w:color="9CC2E5"/>
              <w:bottom w:val="single" w:sz="12" w:space="0" w:color="auto"/>
              <w:right w:val="nil"/>
            </w:tcBorders>
            <w:shd w:val="clear" w:color="000000" w:fill="DEEAF6"/>
            <w:vAlign w:val="center"/>
            <w:hideMark/>
          </w:tcPr>
          <w:p w:rsidR="00202437" w:rsidRPr="00202437" w:rsidRDefault="00202437" w:rsidP="00400E0F">
            <w:pPr>
              <w:bidi/>
              <w:jc w:val="center"/>
              <w:rPr>
                <w:rFonts w:asciiTheme="minorHAnsi" w:hAnsiTheme="minorHAnsi" w:cstheme="minorHAnsi"/>
                <w:rtl/>
              </w:rPr>
            </w:pPr>
            <w:r w:rsidRPr="00202437">
              <w:rPr>
                <w:rFonts w:asciiTheme="minorHAnsi" w:hAnsiTheme="minorHAnsi" w:cstheme="minorHAnsi"/>
                <w:rtl/>
              </w:rPr>
              <w:t>55.6%</w:t>
            </w:r>
          </w:p>
        </w:tc>
        <w:tc>
          <w:tcPr>
            <w:tcW w:w="997" w:type="dxa"/>
            <w:tcBorders>
              <w:top w:val="nil"/>
              <w:left w:val="single" w:sz="8" w:space="0" w:color="9CC2E5"/>
              <w:bottom w:val="single" w:sz="12" w:space="0" w:color="auto"/>
              <w:right w:val="nil"/>
            </w:tcBorders>
            <w:shd w:val="clear" w:color="000000" w:fill="DEEAF6"/>
            <w:vAlign w:val="center"/>
            <w:hideMark/>
          </w:tcPr>
          <w:p w:rsidR="00202437" w:rsidRPr="00202437" w:rsidRDefault="00202437" w:rsidP="00400E0F">
            <w:pPr>
              <w:bidi/>
              <w:jc w:val="center"/>
              <w:rPr>
                <w:rFonts w:asciiTheme="minorHAnsi" w:hAnsiTheme="minorHAnsi" w:cstheme="minorHAnsi"/>
                <w:rtl/>
              </w:rPr>
            </w:pPr>
            <w:r w:rsidRPr="00202437">
              <w:rPr>
                <w:rFonts w:asciiTheme="minorHAnsi" w:hAnsiTheme="minorHAnsi" w:cstheme="minorHAnsi"/>
                <w:rtl/>
              </w:rPr>
              <w:t>21.6%</w:t>
            </w:r>
          </w:p>
        </w:tc>
        <w:tc>
          <w:tcPr>
            <w:tcW w:w="1038" w:type="dxa"/>
            <w:tcBorders>
              <w:top w:val="nil"/>
              <w:left w:val="single" w:sz="8" w:space="0" w:color="9CC2E5"/>
              <w:bottom w:val="single" w:sz="12" w:space="0" w:color="auto"/>
              <w:right w:val="nil"/>
            </w:tcBorders>
            <w:shd w:val="clear" w:color="000000" w:fill="DEEAF6"/>
            <w:vAlign w:val="center"/>
            <w:hideMark/>
          </w:tcPr>
          <w:p w:rsidR="00202437" w:rsidRPr="00202437" w:rsidRDefault="00202437" w:rsidP="00400E0F">
            <w:pPr>
              <w:bidi/>
              <w:jc w:val="center"/>
              <w:rPr>
                <w:rFonts w:asciiTheme="minorHAnsi" w:hAnsiTheme="minorHAnsi" w:cstheme="minorHAnsi"/>
                <w:rtl/>
              </w:rPr>
            </w:pPr>
            <w:r w:rsidRPr="00202437">
              <w:rPr>
                <w:rFonts w:asciiTheme="minorHAnsi" w:hAnsiTheme="minorHAnsi" w:cstheme="minorHAnsi"/>
                <w:rtl/>
              </w:rPr>
              <w:t>22.8%</w:t>
            </w:r>
          </w:p>
        </w:tc>
        <w:tc>
          <w:tcPr>
            <w:tcW w:w="1412" w:type="dxa"/>
            <w:tcBorders>
              <w:top w:val="nil"/>
              <w:left w:val="single" w:sz="8" w:space="0" w:color="9CC2E5"/>
              <w:bottom w:val="single" w:sz="12" w:space="0" w:color="auto"/>
              <w:right w:val="nil"/>
            </w:tcBorders>
            <w:shd w:val="clear" w:color="000000" w:fill="DEEAF6"/>
            <w:vAlign w:val="center"/>
            <w:hideMark/>
          </w:tcPr>
          <w:p w:rsidR="00202437" w:rsidRPr="00202437" w:rsidRDefault="00202437" w:rsidP="00400E0F">
            <w:pPr>
              <w:bidi/>
              <w:jc w:val="center"/>
              <w:rPr>
                <w:rFonts w:asciiTheme="minorHAnsi" w:hAnsiTheme="minorHAnsi" w:cstheme="minorHAnsi"/>
                <w:rtl/>
              </w:rPr>
            </w:pPr>
            <w:r w:rsidRPr="00202437">
              <w:rPr>
                <w:rFonts w:asciiTheme="minorHAnsi" w:hAnsiTheme="minorHAnsi" w:cstheme="minorHAnsi"/>
                <w:rtl/>
              </w:rPr>
              <w:t xml:space="preserve">           1,567,175 </w:t>
            </w:r>
          </w:p>
        </w:tc>
        <w:tc>
          <w:tcPr>
            <w:tcW w:w="1294" w:type="dxa"/>
            <w:tcBorders>
              <w:top w:val="nil"/>
              <w:left w:val="single" w:sz="8" w:space="0" w:color="9CC2E5"/>
              <w:bottom w:val="single" w:sz="12" w:space="0" w:color="auto"/>
              <w:right w:val="nil"/>
            </w:tcBorders>
            <w:shd w:val="clear" w:color="000000" w:fill="DEEAF6"/>
            <w:vAlign w:val="center"/>
            <w:hideMark/>
          </w:tcPr>
          <w:p w:rsidR="00202437" w:rsidRPr="00202437" w:rsidRDefault="00202437" w:rsidP="00400E0F">
            <w:pPr>
              <w:bidi/>
              <w:jc w:val="center"/>
              <w:rPr>
                <w:rFonts w:asciiTheme="minorHAnsi" w:hAnsiTheme="minorHAnsi" w:cstheme="minorHAnsi"/>
                <w:rtl/>
              </w:rPr>
            </w:pPr>
            <w:r w:rsidRPr="00202437">
              <w:rPr>
                <w:rFonts w:asciiTheme="minorHAnsi" w:hAnsiTheme="minorHAnsi" w:cstheme="minorHAnsi"/>
                <w:rtl/>
              </w:rPr>
              <w:t xml:space="preserve">             26,120 </w:t>
            </w:r>
          </w:p>
        </w:tc>
      </w:tr>
      <w:tr w:rsidR="00202437" w:rsidRPr="00202437" w:rsidTr="00400E0F">
        <w:trPr>
          <w:trHeight w:val="1230"/>
        </w:trPr>
        <w:tc>
          <w:tcPr>
            <w:tcW w:w="3428" w:type="dxa"/>
            <w:vMerge w:val="restart"/>
            <w:tcBorders>
              <w:top w:val="nil"/>
              <w:left w:val="single" w:sz="8" w:space="0" w:color="9CC2E5"/>
              <w:bottom w:val="nil"/>
              <w:right w:val="single" w:sz="8" w:space="0" w:color="9CC2E5"/>
            </w:tcBorders>
            <w:shd w:val="clear" w:color="000000" w:fill="DEEAF6"/>
            <w:vAlign w:val="center"/>
            <w:hideMark/>
          </w:tcPr>
          <w:p w:rsidR="00202437" w:rsidRPr="00202437" w:rsidRDefault="00202437" w:rsidP="00400E0F">
            <w:pPr>
              <w:bidi/>
              <w:jc w:val="center"/>
              <w:rPr>
                <w:rFonts w:asciiTheme="minorHAnsi" w:hAnsiTheme="minorHAnsi" w:cstheme="minorHAnsi"/>
                <w:rtl/>
              </w:rPr>
            </w:pPr>
            <w:r w:rsidRPr="00202437">
              <w:rPr>
                <w:rFonts w:asciiTheme="minorHAnsi" w:hAnsiTheme="minorHAnsi" w:cstheme="minorHAnsi"/>
                <w:rtl/>
              </w:rPr>
              <w:t>רבעון שלישי 2025</w:t>
            </w:r>
          </w:p>
        </w:tc>
        <w:tc>
          <w:tcPr>
            <w:tcW w:w="996" w:type="dxa"/>
            <w:tcBorders>
              <w:top w:val="nil"/>
              <w:left w:val="single" w:sz="8" w:space="0" w:color="9CC2E5"/>
              <w:bottom w:val="single" w:sz="8" w:space="0" w:color="4F81BD"/>
              <w:right w:val="nil"/>
            </w:tcBorders>
            <w:shd w:val="clear" w:color="000000" w:fill="DEEAF6"/>
            <w:vAlign w:val="center"/>
            <w:hideMark/>
          </w:tcPr>
          <w:p w:rsidR="00202437" w:rsidRPr="00202437" w:rsidRDefault="00202437" w:rsidP="00400E0F">
            <w:pPr>
              <w:bidi/>
              <w:jc w:val="center"/>
              <w:rPr>
                <w:rFonts w:asciiTheme="minorHAnsi" w:hAnsiTheme="minorHAnsi" w:cstheme="minorHAnsi"/>
                <w:rtl/>
              </w:rPr>
            </w:pPr>
            <w:r w:rsidRPr="00202437">
              <w:rPr>
                <w:rFonts w:asciiTheme="minorHAnsi" w:hAnsiTheme="minorHAnsi" w:cstheme="minorHAnsi"/>
                <w:rtl/>
              </w:rPr>
              <w:t>נפח המסחר בעסקאות המרה</w:t>
            </w:r>
          </w:p>
        </w:tc>
        <w:tc>
          <w:tcPr>
            <w:tcW w:w="995" w:type="dxa"/>
            <w:tcBorders>
              <w:top w:val="nil"/>
              <w:left w:val="single" w:sz="8" w:space="0" w:color="9CC2E5"/>
              <w:bottom w:val="single" w:sz="8" w:space="0" w:color="4F81BD"/>
              <w:right w:val="nil"/>
            </w:tcBorders>
            <w:shd w:val="clear" w:color="000000" w:fill="DEEAF6"/>
            <w:vAlign w:val="center"/>
            <w:hideMark/>
          </w:tcPr>
          <w:p w:rsidR="00202437" w:rsidRPr="00202437" w:rsidRDefault="00202437" w:rsidP="00400E0F">
            <w:pPr>
              <w:bidi/>
              <w:jc w:val="center"/>
              <w:rPr>
                <w:rFonts w:asciiTheme="minorHAnsi" w:hAnsiTheme="minorHAnsi" w:cstheme="minorHAnsi"/>
                <w:rtl/>
              </w:rPr>
            </w:pPr>
            <w:r w:rsidRPr="00202437">
              <w:rPr>
                <w:rFonts w:asciiTheme="minorHAnsi" w:hAnsiTheme="minorHAnsi" w:cstheme="minorHAnsi"/>
                <w:rtl/>
              </w:rPr>
              <w:t>77.5%</w:t>
            </w:r>
          </w:p>
        </w:tc>
        <w:tc>
          <w:tcPr>
            <w:tcW w:w="997" w:type="dxa"/>
            <w:tcBorders>
              <w:top w:val="nil"/>
              <w:left w:val="single" w:sz="8" w:space="0" w:color="9CC2E5"/>
              <w:bottom w:val="single" w:sz="8" w:space="0" w:color="4F81BD"/>
              <w:right w:val="nil"/>
            </w:tcBorders>
            <w:shd w:val="clear" w:color="000000" w:fill="DEEAF6"/>
            <w:vAlign w:val="center"/>
            <w:hideMark/>
          </w:tcPr>
          <w:p w:rsidR="00202437" w:rsidRPr="00202437" w:rsidRDefault="00202437" w:rsidP="00400E0F">
            <w:pPr>
              <w:bidi/>
              <w:jc w:val="center"/>
              <w:rPr>
                <w:rFonts w:asciiTheme="minorHAnsi" w:hAnsiTheme="minorHAnsi" w:cstheme="minorHAnsi"/>
                <w:rtl/>
              </w:rPr>
            </w:pPr>
            <w:r w:rsidRPr="00202437">
              <w:rPr>
                <w:rFonts w:asciiTheme="minorHAnsi" w:hAnsiTheme="minorHAnsi" w:cstheme="minorHAnsi"/>
                <w:rtl/>
              </w:rPr>
              <w:t>8.6%</w:t>
            </w:r>
          </w:p>
        </w:tc>
        <w:tc>
          <w:tcPr>
            <w:tcW w:w="1038" w:type="dxa"/>
            <w:tcBorders>
              <w:top w:val="nil"/>
              <w:left w:val="single" w:sz="8" w:space="0" w:color="9CC2E5"/>
              <w:bottom w:val="single" w:sz="8" w:space="0" w:color="4F81BD"/>
              <w:right w:val="nil"/>
            </w:tcBorders>
            <w:shd w:val="clear" w:color="000000" w:fill="DEEAF6"/>
            <w:vAlign w:val="center"/>
            <w:hideMark/>
          </w:tcPr>
          <w:p w:rsidR="00202437" w:rsidRPr="00202437" w:rsidRDefault="00202437" w:rsidP="00400E0F">
            <w:pPr>
              <w:bidi/>
              <w:jc w:val="center"/>
              <w:rPr>
                <w:rFonts w:asciiTheme="minorHAnsi" w:hAnsiTheme="minorHAnsi" w:cstheme="minorHAnsi"/>
                <w:rtl/>
              </w:rPr>
            </w:pPr>
            <w:r w:rsidRPr="00202437">
              <w:rPr>
                <w:rFonts w:asciiTheme="minorHAnsi" w:hAnsiTheme="minorHAnsi" w:cstheme="minorHAnsi"/>
                <w:rtl/>
              </w:rPr>
              <w:t>14.0%</w:t>
            </w:r>
          </w:p>
        </w:tc>
        <w:tc>
          <w:tcPr>
            <w:tcW w:w="1412" w:type="dxa"/>
            <w:tcBorders>
              <w:top w:val="nil"/>
              <w:left w:val="single" w:sz="8" w:space="0" w:color="9CC2E5"/>
              <w:bottom w:val="single" w:sz="8" w:space="0" w:color="4F81BD"/>
              <w:right w:val="nil"/>
            </w:tcBorders>
            <w:shd w:val="clear" w:color="000000" w:fill="DEEAF6"/>
            <w:vAlign w:val="center"/>
            <w:hideMark/>
          </w:tcPr>
          <w:p w:rsidR="00202437" w:rsidRPr="00202437" w:rsidRDefault="00202437" w:rsidP="00400E0F">
            <w:pPr>
              <w:bidi/>
              <w:jc w:val="center"/>
              <w:rPr>
                <w:rFonts w:asciiTheme="minorHAnsi" w:hAnsiTheme="minorHAnsi" w:cstheme="minorHAnsi"/>
                <w:rtl/>
              </w:rPr>
            </w:pPr>
            <w:r w:rsidRPr="00202437">
              <w:rPr>
                <w:rFonts w:asciiTheme="minorHAnsi" w:hAnsiTheme="minorHAnsi" w:cstheme="minorHAnsi"/>
                <w:rtl/>
              </w:rPr>
              <w:t xml:space="preserve">              948,434 </w:t>
            </w:r>
          </w:p>
        </w:tc>
        <w:tc>
          <w:tcPr>
            <w:tcW w:w="1294" w:type="dxa"/>
            <w:tcBorders>
              <w:top w:val="nil"/>
              <w:left w:val="single" w:sz="8" w:space="0" w:color="9CC2E5"/>
              <w:bottom w:val="single" w:sz="8" w:space="0" w:color="4F81BD"/>
              <w:right w:val="nil"/>
            </w:tcBorders>
            <w:shd w:val="clear" w:color="000000" w:fill="DEEAF6"/>
            <w:vAlign w:val="center"/>
            <w:hideMark/>
          </w:tcPr>
          <w:p w:rsidR="00202437" w:rsidRPr="00202437" w:rsidRDefault="00202437" w:rsidP="00400E0F">
            <w:pPr>
              <w:bidi/>
              <w:jc w:val="center"/>
              <w:rPr>
                <w:rFonts w:asciiTheme="minorHAnsi" w:hAnsiTheme="minorHAnsi" w:cstheme="minorHAnsi"/>
                <w:rtl/>
              </w:rPr>
            </w:pPr>
            <w:r w:rsidRPr="00202437">
              <w:rPr>
                <w:rFonts w:asciiTheme="minorHAnsi" w:hAnsiTheme="minorHAnsi" w:cstheme="minorHAnsi"/>
                <w:rtl/>
              </w:rPr>
              <w:t xml:space="preserve">             15,055 </w:t>
            </w:r>
          </w:p>
        </w:tc>
      </w:tr>
      <w:tr w:rsidR="00202437" w:rsidRPr="00202437" w:rsidTr="00400E0F">
        <w:trPr>
          <w:trHeight w:val="1500"/>
        </w:trPr>
        <w:tc>
          <w:tcPr>
            <w:tcW w:w="3428" w:type="dxa"/>
            <w:vMerge/>
            <w:tcBorders>
              <w:top w:val="nil"/>
              <w:left w:val="single" w:sz="8" w:space="0" w:color="9CC2E5"/>
              <w:bottom w:val="nil"/>
              <w:right w:val="single" w:sz="8" w:space="0" w:color="9CC2E5"/>
            </w:tcBorders>
            <w:vAlign w:val="center"/>
            <w:hideMark/>
          </w:tcPr>
          <w:p w:rsidR="00202437" w:rsidRPr="00202437" w:rsidRDefault="00202437" w:rsidP="00400E0F">
            <w:pPr>
              <w:bidi/>
              <w:rPr>
                <w:rFonts w:asciiTheme="minorHAnsi" w:hAnsiTheme="minorHAnsi" w:cstheme="minorHAnsi"/>
              </w:rPr>
            </w:pPr>
          </w:p>
        </w:tc>
        <w:tc>
          <w:tcPr>
            <w:tcW w:w="996" w:type="dxa"/>
            <w:tcBorders>
              <w:top w:val="nil"/>
              <w:left w:val="single" w:sz="8" w:space="0" w:color="9CC2E5"/>
              <w:bottom w:val="nil"/>
              <w:right w:val="nil"/>
            </w:tcBorders>
            <w:shd w:val="clear" w:color="000000" w:fill="DEEAF6"/>
            <w:vAlign w:val="center"/>
            <w:hideMark/>
          </w:tcPr>
          <w:p w:rsidR="00202437" w:rsidRPr="00202437" w:rsidRDefault="00202437" w:rsidP="00400E0F">
            <w:pPr>
              <w:bidi/>
              <w:jc w:val="center"/>
              <w:rPr>
                <w:rFonts w:asciiTheme="minorHAnsi" w:hAnsiTheme="minorHAnsi" w:cstheme="minorHAnsi"/>
                <w:rtl/>
              </w:rPr>
            </w:pPr>
            <w:r w:rsidRPr="00202437">
              <w:rPr>
                <w:rFonts w:asciiTheme="minorHAnsi" w:hAnsiTheme="minorHAnsi" w:cstheme="minorHAnsi"/>
                <w:rtl/>
              </w:rPr>
              <w:t>נפח המסחר בעסקאות החלף ואופציות</w:t>
            </w:r>
          </w:p>
        </w:tc>
        <w:tc>
          <w:tcPr>
            <w:tcW w:w="995" w:type="dxa"/>
            <w:tcBorders>
              <w:top w:val="nil"/>
              <w:left w:val="single" w:sz="8" w:space="0" w:color="9CC2E5"/>
              <w:bottom w:val="nil"/>
              <w:right w:val="nil"/>
            </w:tcBorders>
            <w:shd w:val="clear" w:color="000000" w:fill="DEEAF6"/>
            <w:vAlign w:val="center"/>
            <w:hideMark/>
          </w:tcPr>
          <w:p w:rsidR="00202437" w:rsidRPr="00202437" w:rsidRDefault="00202437" w:rsidP="00400E0F">
            <w:pPr>
              <w:bidi/>
              <w:jc w:val="center"/>
              <w:rPr>
                <w:rFonts w:asciiTheme="minorHAnsi" w:hAnsiTheme="minorHAnsi" w:cstheme="minorHAnsi"/>
                <w:rtl/>
              </w:rPr>
            </w:pPr>
            <w:r w:rsidRPr="00202437">
              <w:rPr>
                <w:rFonts w:asciiTheme="minorHAnsi" w:hAnsiTheme="minorHAnsi" w:cstheme="minorHAnsi"/>
                <w:rtl/>
              </w:rPr>
              <w:t>57.1%</w:t>
            </w:r>
          </w:p>
        </w:tc>
        <w:tc>
          <w:tcPr>
            <w:tcW w:w="997" w:type="dxa"/>
            <w:tcBorders>
              <w:top w:val="nil"/>
              <w:left w:val="single" w:sz="8" w:space="0" w:color="9CC2E5"/>
              <w:bottom w:val="nil"/>
              <w:right w:val="nil"/>
            </w:tcBorders>
            <w:shd w:val="clear" w:color="000000" w:fill="DEEAF6"/>
            <w:vAlign w:val="center"/>
            <w:hideMark/>
          </w:tcPr>
          <w:p w:rsidR="00202437" w:rsidRPr="00202437" w:rsidRDefault="00202437" w:rsidP="00400E0F">
            <w:pPr>
              <w:bidi/>
              <w:jc w:val="center"/>
              <w:rPr>
                <w:rFonts w:asciiTheme="minorHAnsi" w:hAnsiTheme="minorHAnsi" w:cstheme="minorHAnsi"/>
                <w:rtl/>
              </w:rPr>
            </w:pPr>
            <w:r w:rsidRPr="00202437">
              <w:rPr>
                <w:rFonts w:asciiTheme="minorHAnsi" w:hAnsiTheme="minorHAnsi" w:cstheme="minorHAnsi"/>
                <w:rtl/>
              </w:rPr>
              <w:t>18.5%</w:t>
            </w:r>
          </w:p>
        </w:tc>
        <w:tc>
          <w:tcPr>
            <w:tcW w:w="1038" w:type="dxa"/>
            <w:tcBorders>
              <w:top w:val="nil"/>
              <w:left w:val="single" w:sz="8" w:space="0" w:color="9CC2E5"/>
              <w:bottom w:val="nil"/>
              <w:right w:val="nil"/>
            </w:tcBorders>
            <w:shd w:val="clear" w:color="000000" w:fill="DEEAF6"/>
            <w:vAlign w:val="center"/>
            <w:hideMark/>
          </w:tcPr>
          <w:p w:rsidR="00202437" w:rsidRPr="00202437" w:rsidRDefault="00202437" w:rsidP="00400E0F">
            <w:pPr>
              <w:bidi/>
              <w:jc w:val="center"/>
              <w:rPr>
                <w:rFonts w:asciiTheme="minorHAnsi" w:hAnsiTheme="minorHAnsi" w:cstheme="minorHAnsi"/>
                <w:rtl/>
              </w:rPr>
            </w:pPr>
            <w:r w:rsidRPr="00202437">
              <w:rPr>
                <w:rFonts w:asciiTheme="minorHAnsi" w:hAnsiTheme="minorHAnsi" w:cstheme="minorHAnsi"/>
                <w:rtl/>
              </w:rPr>
              <w:t>24.4%</w:t>
            </w:r>
          </w:p>
        </w:tc>
        <w:tc>
          <w:tcPr>
            <w:tcW w:w="1412" w:type="dxa"/>
            <w:tcBorders>
              <w:top w:val="nil"/>
              <w:left w:val="single" w:sz="8" w:space="0" w:color="9CC2E5"/>
              <w:bottom w:val="nil"/>
              <w:right w:val="nil"/>
            </w:tcBorders>
            <w:shd w:val="clear" w:color="000000" w:fill="DEEAF6"/>
            <w:vAlign w:val="center"/>
            <w:hideMark/>
          </w:tcPr>
          <w:p w:rsidR="00202437" w:rsidRPr="00202437" w:rsidRDefault="00202437" w:rsidP="00400E0F">
            <w:pPr>
              <w:bidi/>
              <w:jc w:val="center"/>
              <w:rPr>
                <w:rFonts w:asciiTheme="minorHAnsi" w:hAnsiTheme="minorHAnsi" w:cstheme="minorHAnsi"/>
                <w:rtl/>
              </w:rPr>
            </w:pPr>
            <w:r w:rsidRPr="00202437">
              <w:rPr>
                <w:rFonts w:asciiTheme="minorHAnsi" w:hAnsiTheme="minorHAnsi" w:cstheme="minorHAnsi"/>
                <w:rtl/>
              </w:rPr>
              <w:t xml:space="preserve">           1,382,075 </w:t>
            </w:r>
          </w:p>
        </w:tc>
        <w:tc>
          <w:tcPr>
            <w:tcW w:w="1294" w:type="dxa"/>
            <w:tcBorders>
              <w:top w:val="nil"/>
              <w:left w:val="single" w:sz="8" w:space="0" w:color="9CC2E5"/>
              <w:bottom w:val="nil"/>
              <w:right w:val="nil"/>
            </w:tcBorders>
            <w:shd w:val="clear" w:color="000000" w:fill="DEEAF6"/>
            <w:vAlign w:val="center"/>
            <w:hideMark/>
          </w:tcPr>
          <w:p w:rsidR="00202437" w:rsidRPr="00202437" w:rsidRDefault="00202437" w:rsidP="00400E0F">
            <w:pPr>
              <w:bidi/>
              <w:jc w:val="center"/>
              <w:rPr>
                <w:rFonts w:asciiTheme="minorHAnsi" w:hAnsiTheme="minorHAnsi" w:cstheme="minorHAnsi"/>
                <w:rtl/>
              </w:rPr>
            </w:pPr>
            <w:r w:rsidRPr="00202437">
              <w:rPr>
                <w:rFonts w:asciiTheme="minorHAnsi" w:hAnsiTheme="minorHAnsi" w:cstheme="minorHAnsi"/>
                <w:rtl/>
              </w:rPr>
              <w:t xml:space="preserve">             21,938 </w:t>
            </w:r>
          </w:p>
        </w:tc>
      </w:tr>
    </w:tbl>
    <w:p w:rsidR="003E7478" w:rsidRPr="00202437" w:rsidRDefault="003E7478" w:rsidP="005E28F6">
      <w:pPr>
        <w:bidi/>
        <w:spacing w:line="360" w:lineRule="auto"/>
        <w:jc w:val="both"/>
        <w:rPr>
          <w:rFonts w:asciiTheme="minorHAnsi" w:hAnsiTheme="minorHAnsi" w:cstheme="minorHAnsi"/>
        </w:rPr>
      </w:pPr>
    </w:p>
    <w:sectPr w:rsidR="003E7478" w:rsidRPr="00202437" w:rsidSect="00CC2499">
      <w:headerReference w:type="even" r:id="rId17"/>
      <w:headerReference w:type="default" r:id="rId18"/>
      <w:footerReference w:type="even" r:id="rId19"/>
      <w:footerReference w:type="default" r:id="rId20"/>
      <w:headerReference w:type="first" r:id="rId21"/>
      <w:footerReference w:type="first" r:id="rId22"/>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altName w:val="Courier New"/>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lang w:val="he-IL"/>
      </w:rPr>
      <w:id w:val="-916242249"/>
      <w:docPartObj>
        <w:docPartGallery w:val="Page Numbers (Bottom of Page)"/>
        <w:docPartUnique/>
      </w:docPartObj>
    </w:sdtPr>
    <w:sdtEndPr>
      <w:rPr>
        <w:cs/>
        <w:lang w:val="en-US"/>
      </w:rPr>
    </w:sdtEndPr>
    <w:sdtContent>
      <w:sdt>
        <w:sdtPr>
          <w:rPr>
            <w:rtl/>
            <w:lang w:val="he-IL"/>
          </w:rPr>
          <w:id w:val="2712275"/>
          <w:docPartObj>
            <w:docPartGallery w:val="Page Numbers (Top of Page)"/>
            <w:docPartUnique/>
          </w:docPartObj>
        </w:sdtPr>
        <w:sdtEndPr>
          <w:rPr>
            <w:lang w:val="en-US"/>
          </w:rPr>
        </w:sdtEndPr>
        <w:sdtContent>
          <w:p w:rsidR="00202437" w:rsidRPr="002168C6" w:rsidRDefault="00202437" w:rsidP="004F7549">
            <w:pPr>
              <w:pStyle w:val="a7"/>
              <w:bidi/>
              <w:rPr>
                <w:rtl/>
              </w:rPr>
            </w:pPr>
            <w:r w:rsidRPr="002168C6">
              <w:rPr>
                <w:rFonts w:hint="cs"/>
                <w:rtl/>
                <w:lang w:val="he-IL"/>
              </w:rPr>
              <w:t>בנק ישראל - המסחר בשוק מטבע החוץ ב</w:t>
            </w:r>
            <w:r>
              <w:rPr>
                <w:rFonts w:hint="cs"/>
                <w:rtl/>
                <w:lang w:val="he-IL"/>
              </w:rPr>
              <w:t>רבעון</w:t>
            </w:r>
            <w:r w:rsidRPr="002168C6">
              <w:rPr>
                <w:rFonts w:hint="cs"/>
                <w:rtl/>
                <w:lang w:val="he-IL"/>
              </w:rPr>
              <w:t xml:space="preserve"> </w:t>
            </w:r>
            <w:r>
              <w:rPr>
                <w:rFonts w:hint="cs"/>
                <w:rtl/>
                <w:lang w:val="he-IL"/>
              </w:rPr>
              <w:t>הרביעי של שנת</w:t>
            </w:r>
            <w:r w:rsidRPr="002168C6">
              <w:rPr>
                <w:rFonts w:hint="cs"/>
                <w:rtl/>
                <w:lang w:val="he-IL"/>
              </w:rPr>
              <w:t xml:space="preserve"> </w:t>
            </w:r>
            <w:r>
              <w:rPr>
                <w:rFonts w:hint="cs"/>
                <w:rtl/>
                <w:lang w:val="he-IL"/>
              </w:rPr>
              <w:t>2024</w:t>
            </w:r>
            <w:r w:rsidRPr="002168C6">
              <w:rPr>
                <w:rFonts w:hint="cs"/>
                <w:rtl/>
                <w:cs/>
                <w:lang w:val="he-IL"/>
              </w:rPr>
              <w:tab/>
            </w:r>
            <w:r w:rsidRPr="002168C6">
              <w:rPr>
                <w:rtl/>
                <w:cs/>
                <w:lang w:val="he-IL"/>
              </w:rPr>
              <w:t xml:space="preserve">עמוד </w:t>
            </w:r>
            <w:r w:rsidRPr="002168C6">
              <w:rPr>
                <w:b/>
                <w:bCs/>
              </w:rPr>
              <w:fldChar w:fldCharType="begin"/>
            </w:r>
            <w:r w:rsidRPr="002168C6">
              <w:rPr>
                <w:b/>
                <w:bCs/>
                <w:rtl/>
                <w:cs/>
              </w:rPr>
              <w:instrText>PAGE</w:instrText>
            </w:r>
            <w:r w:rsidRPr="002168C6">
              <w:rPr>
                <w:b/>
                <w:bCs/>
              </w:rPr>
              <w:fldChar w:fldCharType="separate"/>
            </w:r>
            <w:r w:rsidR="00193C13">
              <w:rPr>
                <w:b/>
                <w:bCs/>
                <w:noProof/>
                <w:rtl/>
              </w:rPr>
              <w:t>4</w:t>
            </w:r>
            <w:r w:rsidRPr="002168C6">
              <w:rPr>
                <w:b/>
                <w:bCs/>
              </w:rPr>
              <w:fldChar w:fldCharType="end"/>
            </w:r>
            <w:r w:rsidRPr="002168C6">
              <w:rPr>
                <w:rtl/>
                <w:cs/>
                <w:lang w:val="he-IL"/>
              </w:rPr>
              <w:t xml:space="preserve"> מתוך </w:t>
            </w:r>
            <w:r w:rsidRPr="002168C6">
              <w:rPr>
                <w:b/>
                <w:bCs/>
              </w:rPr>
              <w:fldChar w:fldCharType="begin"/>
            </w:r>
            <w:r w:rsidRPr="002168C6">
              <w:rPr>
                <w:b/>
                <w:bCs/>
                <w:rtl/>
                <w:cs/>
              </w:rPr>
              <w:instrText>NUMPAGES</w:instrText>
            </w:r>
            <w:r w:rsidRPr="002168C6">
              <w:rPr>
                <w:b/>
                <w:bCs/>
              </w:rPr>
              <w:fldChar w:fldCharType="separate"/>
            </w:r>
            <w:r w:rsidR="00193C13">
              <w:rPr>
                <w:b/>
                <w:bCs/>
                <w:noProof/>
                <w:rtl/>
              </w:rPr>
              <w:t>9</w:t>
            </w:r>
            <w:r w:rsidRPr="002168C6">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a7"/>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 w:id="1">
    <w:p w:rsidR="00202437" w:rsidRPr="00855677" w:rsidRDefault="00202437" w:rsidP="00202437">
      <w:pPr>
        <w:pStyle w:val="af0"/>
        <w:bidi/>
        <w:rPr>
          <w:rFonts w:cstheme="minorBidi"/>
          <w:rtl/>
        </w:rPr>
      </w:pPr>
      <w:r w:rsidRPr="00855677">
        <w:rPr>
          <w:rStyle w:val="af2"/>
        </w:rPr>
        <w:footnoteRef/>
      </w:r>
      <w:r w:rsidRPr="00855677">
        <w:t xml:space="preserve"> </w:t>
      </w:r>
      <w:r w:rsidRPr="00855677">
        <w:rPr>
          <w:rFonts w:ascii="David" w:hAnsi="David" w:cs="David" w:hint="eastAsia"/>
          <w:rtl/>
        </w:rPr>
        <w:t>למידע</w:t>
      </w:r>
      <w:r w:rsidRPr="00855677">
        <w:rPr>
          <w:rFonts w:ascii="David" w:hAnsi="David" w:cs="David"/>
          <w:rtl/>
        </w:rPr>
        <w:t xml:space="preserve"> נוסף על פעילות המגזרים בשוק מטבע חוץ ראה את "מבט סטטיסטי 2024 – פרק ד" : </w:t>
      </w:r>
      <w:hyperlink r:id="rId1" w:tgtFrame="_blank" w:tooltip="https://www.boi.org.il/publications/regularpublications/statistic_bulletin/bulletin2024/" w:history="1">
        <w:r w:rsidRPr="00855677">
          <w:rPr>
            <w:rStyle w:val="Hyperlink"/>
            <w:rFonts w:ascii="David" w:hAnsi="David" w:cs="David"/>
          </w:rPr>
          <w:t>https://www.boi.org.il/publications/regularpublications/statistic_bulletin/bulletin2024/</w:t>
        </w:r>
      </w:hyperlink>
    </w:p>
  </w:footnote>
  <w:footnote w:id="2">
    <w:p w:rsidR="00202437" w:rsidRPr="00855677" w:rsidRDefault="00202437" w:rsidP="00202437">
      <w:pPr>
        <w:pStyle w:val="af0"/>
        <w:bidi/>
        <w:rPr>
          <w:rFonts w:ascii="David" w:hAnsi="David" w:cs="David"/>
          <w:rtl/>
        </w:rPr>
      </w:pPr>
      <w:r w:rsidRPr="00855677">
        <w:rPr>
          <w:rStyle w:val="af2"/>
        </w:rPr>
        <w:footnoteRef/>
      </w:r>
      <w:r w:rsidRPr="00855677">
        <w:t xml:space="preserve"> </w:t>
      </w:r>
      <w:r w:rsidRPr="00855677">
        <w:rPr>
          <w:rFonts w:ascii="David" w:hAnsi="David" w:cs="David"/>
          <w:rtl/>
        </w:rPr>
        <w:t xml:space="preserve">המגזרים העיקריים המוצגים אינם מהווים את כל השוק - למידע נוסף ראה את" מערכת הנתונים על פעילות השוק שקל/מטבע חוץ" בפרסום מבט סטטיסטי </w:t>
      </w:r>
      <w:r w:rsidRPr="00855677">
        <w:rPr>
          <w:rFonts w:ascii="David" w:hAnsi="David" w:cs="David"/>
        </w:rPr>
        <w:t>2024</w:t>
      </w:r>
    </w:p>
    <w:p w:rsidR="00202437" w:rsidRPr="00FC3FED" w:rsidRDefault="00202437" w:rsidP="00202437">
      <w:pPr>
        <w:pStyle w:val="af0"/>
        <w:bidi/>
        <w:rPr>
          <w:rFonts w:ascii="David" w:hAnsi="David" w:cs="David"/>
          <w:rtl/>
        </w:rPr>
      </w:pPr>
      <w:hyperlink r:id="rId2" w:history="1">
        <w:r w:rsidRPr="00855677">
          <w:rPr>
            <w:rStyle w:val="Hyperlink"/>
            <w:rFonts w:ascii="David" w:hAnsi="David" w:cs="David"/>
          </w:rPr>
          <w:t>https://www.boi.org.il/publications/regularpublications/statistic_bulletin/bulletin2024</w:t>
        </w:r>
        <w:r w:rsidRPr="00855677">
          <w:rPr>
            <w:rStyle w:val="Hyperlink"/>
            <w:rFonts w:ascii="David" w:hAnsi="David" w:cs="David"/>
            <w:rtl/>
          </w:rPr>
          <w:t>/</w:t>
        </w:r>
      </w:hyperlink>
    </w:p>
  </w:footnote>
  <w:footnote w:id="3">
    <w:p w:rsidR="00202437" w:rsidRPr="004372A2" w:rsidRDefault="00202437" w:rsidP="00202437">
      <w:pPr>
        <w:pStyle w:val="af0"/>
        <w:bidi/>
        <w:rPr>
          <w:rFonts w:ascii="David" w:hAnsi="David" w:cs="David"/>
          <w:rtl/>
        </w:rPr>
      </w:pPr>
      <w:r w:rsidRPr="00256361">
        <w:rPr>
          <w:rStyle w:val="af2"/>
          <w:rFonts w:ascii="David" w:hAnsi="David" w:cs="David"/>
        </w:rPr>
        <w:footnoteRef/>
      </w:r>
      <w:r w:rsidRPr="00256361">
        <w:rPr>
          <w:rFonts w:ascii="David" w:hAnsi="David" w:cs="David"/>
        </w:rPr>
        <w:t xml:space="preserve"> </w:t>
      </w:r>
      <w:r>
        <w:rPr>
          <w:rFonts w:ascii="David" w:hAnsi="David" w:cs="David" w:hint="cs"/>
          <w:rtl/>
        </w:rPr>
        <w:t xml:space="preserve">החל משנת 2020, הנתונים לא כוללים סניפים של בנקים זרים בישראל. </w:t>
      </w:r>
    </w:p>
  </w:footnote>
  <w:footnote w:id="4">
    <w:p w:rsidR="00202437" w:rsidRPr="005534E9" w:rsidRDefault="00202437" w:rsidP="00202437">
      <w:pPr>
        <w:bidi/>
        <w:rPr>
          <w:sz w:val="22"/>
          <w:szCs w:val="22"/>
          <w:rtl/>
        </w:rPr>
      </w:pPr>
      <w:r>
        <w:rPr>
          <w:rStyle w:val="af2"/>
        </w:rPr>
        <w:footnoteRef/>
      </w:r>
      <w:r>
        <w:t xml:space="preserve"> </w:t>
      </w:r>
      <w:r w:rsidRPr="005534E9">
        <w:rPr>
          <w:rFonts w:eastAsiaTheme="minorHAnsi"/>
          <w:rtl/>
        </w:rPr>
        <w:t xml:space="preserve">נפח המסחר הכולל </w:t>
      </w:r>
      <w:r w:rsidRPr="005534E9">
        <w:rPr>
          <w:rFonts w:eastAsiaTheme="minorHAnsi" w:hint="cs"/>
          <w:rtl/>
        </w:rPr>
        <w:t xml:space="preserve">הוא אומדן לפעילות הכוללת </w:t>
      </w:r>
      <w:r w:rsidRPr="00D2268D">
        <w:rPr>
          <w:rFonts w:eastAsiaTheme="minorHAnsi" w:hint="cs"/>
          <w:rtl/>
        </w:rPr>
        <w:t>בעסקאות מול השקל</w:t>
      </w:r>
      <w:r w:rsidRPr="005534E9">
        <w:rPr>
          <w:rFonts w:eastAsiaTheme="minorHAnsi" w:hint="cs"/>
          <w:rtl/>
        </w:rPr>
        <w:t xml:space="preserve">, מבוסס על דיווחים של </w:t>
      </w:r>
      <w:r w:rsidRPr="005534E9">
        <w:rPr>
          <w:rFonts w:eastAsiaTheme="minorHAnsi"/>
          <w:rtl/>
        </w:rPr>
        <w:t xml:space="preserve">מערכת הבנקאות המקומית </w:t>
      </w:r>
      <w:r w:rsidRPr="005534E9">
        <w:rPr>
          <w:rFonts w:eastAsiaTheme="minorHAnsi" w:hint="cs"/>
          <w:rtl/>
        </w:rPr>
        <w:t>ושל מדווחים זר</w:t>
      </w:r>
      <w:r w:rsidRPr="005534E9">
        <w:rPr>
          <w:rFonts w:eastAsiaTheme="minorHAnsi"/>
          <w:rtl/>
        </w:rPr>
        <w:t>ים</w:t>
      </w:r>
      <w:r w:rsidRPr="005534E9">
        <w:rPr>
          <w:rFonts w:eastAsiaTheme="minorHAnsi"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4"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3C13"/>
    <w:rsid w:val="00196785"/>
    <w:rsid w:val="001A2670"/>
    <w:rsid w:val="001A53CE"/>
    <w:rsid w:val="001B05C6"/>
    <w:rsid w:val="001B28C8"/>
    <w:rsid w:val="001B5E43"/>
    <w:rsid w:val="001C194B"/>
    <w:rsid w:val="001C7D79"/>
    <w:rsid w:val="001D5E62"/>
    <w:rsid w:val="001E0275"/>
    <w:rsid w:val="001E2886"/>
    <w:rsid w:val="001E46DB"/>
    <w:rsid w:val="001F2BE7"/>
    <w:rsid w:val="0020243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3C36"/>
    <w:rsid w:val="006C5099"/>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D028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57F4"/>
    <w:rsid w:val="00CC73CB"/>
    <w:rsid w:val="00CD11DB"/>
    <w:rsid w:val="00CD2037"/>
    <w:rsid w:val="00CD2A65"/>
    <w:rsid w:val="00CE2F8B"/>
    <w:rsid w:val="00D004D1"/>
    <w:rsid w:val="00D02324"/>
    <w:rsid w:val="00D06884"/>
    <w:rsid w:val="00D15579"/>
    <w:rsid w:val="00D45541"/>
    <w:rsid w:val="00D53BFE"/>
    <w:rsid w:val="00D73D49"/>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276F1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A9D"/>
    <w:pPr>
      <w:spacing w:after="160" w:line="259" w:lineRule="auto"/>
    </w:pPr>
    <w:rPr>
      <w:rFonts w:ascii="David" w:eastAsia="David" w:hAnsi="David" w:cs="David"/>
      <w:sz w:val="24"/>
      <w:szCs w:val="24"/>
    </w:rPr>
  </w:style>
  <w:style w:type="paragraph" w:styleId="1">
    <w:name w:val="heading 1"/>
    <w:basedOn w:val="a"/>
    <w:next w:val="a"/>
    <w:link w:val="10"/>
    <w:uiPriority w:val="9"/>
    <w:qFormat/>
    <w:rsid w:val="00202437"/>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he-IL"/>
    </w:rPr>
  </w:style>
  <w:style w:type="paragraph" w:styleId="2">
    <w:name w:val="heading 2"/>
    <w:basedOn w:val="a"/>
    <w:next w:val="a"/>
    <w:link w:val="20"/>
    <w:uiPriority w:val="9"/>
    <w:unhideWhenUsed/>
    <w:qFormat/>
    <w:rsid w:val="0020243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75141"/>
    <w:rPr>
      <w:color w:val="0000FF"/>
      <w:u w:val="single"/>
    </w:rPr>
  </w:style>
  <w:style w:type="paragraph" w:styleId="a3">
    <w:name w:val="Balloon Text"/>
    <w:basedOn w:val="a"/>
    <w:link w:val="a4"/>
    <w:uiPriority w:val="99"/>
    <w:semiHidden/>
    <w:unhideWhenUsed/>
    <w:rsid w:val="007B64D4"/>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7B64D4"/>
    <w:rPr>
      <w:rFonts w:ascii="Tahoma" w:hAnsi="Tahoma" w:cs="Tahoma"/>
      <w:sz w:val="18"/>
      <w:szCs w:val="18"/>
    </w:rPr>
  </w:style>
  <w:style w:type="paragraph" w:styleId="a5">
    <w:name w:val="header"/>
    <w:basedOn w:val="a"/>
    <w:link w:val="a6"/>
    <w:uiPriority w:val="99"/>
    <w:unhideWhenUsed/>
    <w:rsid w:val="00E04682"/>
    <w:pPr>
      <w:tabs>
        <w:tab w:val="center" w:pos="4153"/>
        <w:tab w:val="right" w:pos="8306"/>
      </w:tabs>
      <w:spacing w:after="0" w:line="240" w:lineRule="auto"/>
    </w:pPr>
  </w:style>
  <w:style w:type="character" w:customStyle="1" w:styleId="a6">
    <w:name w:val="כותרת עליונה תו"/>
    <w:basedOn w:val="a0"/>
    <w:link w:val="a5"/>
    <w:uiPriority w:val="99"/>
    <w:rsid w:val="00E04682"/>
  </w:style>
  <w:style w:type="paragraph" w:styleId="a7">
    <w:name w:val="footer"/>
    <w:basedOn w:val="a"/>
    <w:link w:val="a8"/>
    <w:uiPriority w:val="99"/>
    <w:unhideWhenUsed/>
    <w:rsid w:val="00E04682"/>
    <w:pPr>
      <w:tabs>
        <w:tab w:val="center" w:pos="4153"/>
        <w:tab w:val="right" w:pos="8306"/>
      </w:tabs>
      <w:spacing w:after="0" w:line="240" w:lineRule="auto"/>
    </w:pPr>
  </w:style>
  <w:style w:type="character" w:customStyle="1" w:styleId="a8">
    <w:name w:val="כותרת תחתונה תו"/>
    <w:basedOn w:val="a0"/>
    <w:link w:val="a7"/>
    <w:uiPriority w:val="99"/>
    <w:rsid w:val="00E04682"/>
  </w:style>
  <w:style w:type="paragraph" w:styleId="a9">
    <w:name w:val="List Paragraph"/>
    <w:aliases w:val="פיסקת רשימה12,פיסקת רשימה121,פיסקת רשימה2,פיסקת רשימה11"/>
    <w:basedOn w:val="a"/>
    <w:link w:val="aa"/>
    <w:uiPriority w:val="34"/>
    <w:qFormat/>
    <w:rsid w:val="00CD2A65"/>
    <w:pPr>
      <w:ind w:left="720"/>
      <w:contextualSpacing/>
    </w:pPr>
  </w:style>
  <w:style w:type="character" w:styleId="ab">
    <w:name w:val="annotation reference"/>
    <w:basedOn w:val="a0"/>
    <w:uiPriority w:val="99"/>
    <w:semiHidden/>
    <w:unhideWhenUsed/>
    <w:rsid w:val="004F26A1"/>
    <w:rPr>
      <w:sz w:val="16"/>
      <w:szCs w:val="16"/>
    </w:rPr>
  </w:style>
  <w:style w:type="paragraph" w:styleId="ac">
    <w:name w:val="annotation text"/>
    <w:basedOn w:val="a"/>
    <w:link w:val="ad"/>
    <w:uiPriority w:val="99"/>
    <w:semiHidden/>
    <w:unhideWhenUsed/>
    <w:rsid w:val="004F26A1"/>
    <w:pPr>
      <w:spacing w:line="240" w:lineRule="auto"/>
    </w:pPr>
    <w:rPr>
      <w:sz w:val="20"/>
      <w:szCs w:val="20"/>
    </w:rPr>
  </w:style>
  <w:style w:type="character" w:customStyle="1" w:styleId="ad">
    <w:name w:val="טקסט הערה תו"/>
    <w:basedOn w:val="a0"/>
    <w:link w:val="ac"/>
    <w:uiPriority w:val="99"/>
    <w:semiHidden/>
    <w:rsid w:val="004F26A1"/>
    <w:rPr>
      <w:sz w:val="20"/>
      <w:szCs w:val="20"/>
    </w:rPr>
  </w:style>
  <w:style w:type="paragraph" w:styleId="ae">
    <w:name w:val="annotation subject"/>
    <w:basedOn w:val="ac"/>
    <w:next w:val="ac"/>
    <w:link w:val="af"/>
    <w:uiPriority w:val="99"/>
    <w:semiHidden/>
    <w:unhideWhenUsed/>
    <w:rsid w:val="004F26A1"/>
    <w:rPr>
      <w:b/>
      <w:bCs/>
    </w:rPr>
  </w:style>
  <w:style w:type="character" w:customStyle="1" w:styleId="af">
    <w:name w:val="נושא הערה תו"/>
    <w:basedOn w:val="ad"/>
    <w:link w:val="ae"/>
    <w:uiPriority w:val="99"/>
    <w:semiHidden/>
    <w:rsid w:val="004F26A1"/>
    <w:rPr>
      <w:b/>
      <w:bCs/>
      <w:sz w:val="20"/>
      <w:szCs w:val="20"/>
    </w:rPr>
  </w:style>
  <w:style w:type="character" w:styleId="FollowedHyperlink">
    <w:name w:val="FollowedHyperlink"/>
    <w:basedOn w:val="a0"/>
    <w:uiPriority w:val="99"/>
    <w:semiHidden/>
    <w:unhideWhenUsed/>
    <w:rsid w:val="00B569FD"/>
    <w:rPr>
      <w:color w:val="800080" w:themeColor="followedHyperlink"/>
      <w:u w:val="single"/>
    </w:rPr>
  </w:style>
  <w:style w:type="character" w:customStyle="1" w:styleId="aa">
    <w:name w:val="פיסקת רשימה תו"/>
    <w:aliases w:val="פיסקת רשימה12 תו,פיסקת רשימה121 תו,פיסקת רשימה2 תו,פיסקת רשימה11 תו"/>
    <w:basedOn w:val="a0"/>
    <w:link w:val="a9"/>
    <w:uiPriority w:val="34"/>
    <w:rsid w:val="00031A9D"/>
  </w:style>
  <w:style w:type="character" w:customStyle="1" w:styleId="10">
    <w:name w:val="כותרת 1 תו"/>
    <w:basedOn w:val="a0"/>
    <w:link w:val="1"/>
    <w:uiPriority w:val="9"/>
    <w:rsid w:val="00202437"/>
    <w:rPr>
      <w:rFonts w:asciiTheme="majorHAnsi" w:eastAsiaTheme="majorEastAsia" w:hAnsiTheme="majorHAnsi" w:cstheme="majorBidi"/>
      <w:b/>
      <w:bCs/>
      <w:color w:val="365F91" w:themeColor="accent1" w:themeShade="BF"/>
      <w:sz w:val="28"/>
      <w:szCs w:val="28"/>
      <w:lang w:eastAsia="he-IL"/>
    </w:rPr>
  </w:style>
  <w:style w:type="character" w:customStyle="1" w:styleId="20">
    <w:name w:val="כותרת 2 תו"/>
    <w:basedOn w:val="a0"/>
    <w:link w:val="2"/>
    <w:uiPriority w:val="9"/>
    <w:rsid w:val="00202437"/>
    <w:rPr>
      <w:rFonts w:asciiTheme="majorHAnsi" w:eastAsiaTheme="majorEastAsia" w:hAnsiTheme="majorHAnsi" w:cstheme="majorBidi"/>
      <w:b/>
      <w:bCs/>
      <w:color w:val="4F81BD" w:themeColor="accent1"/>
      <w:sz w:val="26"/>
      <w:szCs w:val="26"/>
      <w:lang w:eastAsia="he-IL"/>
    </w:rPr>
  </w:style>
  <w:style w:type="paragraph" w:styleId="af0">
    <w:name w:val="footnote text"/>
    <w:basedOn w:val="a"/>
    <w:link w:val="af1"/>
    <w:uiPriority w:val="99"/>
    <w:unhideWhenUsed/>
    <w:rsid w:val="00202437"/>
    <w:pPr>
      <w:spacing w:after="0" w:line="240" w:lineRule="auto"/>
    </w:pPr>
    <w:rPr>
      <w:rFonts w:ascii="Times New Roman" w:eastAsia="Times New Roman" w:hAnsi="Times New Roman" w:cs="Miriam"/>
      <w:sz w:val="20"/>
      <w:szCs w:val="20"/>
      <w:lang w:eastAsia="he-IL"/>
    </w:rPr>
  </w:style>
  <w:style w:type="character" w:customStyle="1" w:styleId="af1">
    <w:name w:val="טקסט הערת שוליים תו"/>
    <w:basedOn w:val="a0"/>
    <w:link w:val="af0"/>
    <w:uiPriority w:val="99"/>
    <w:rsid w:val="00202437"/>
    <w:rPr>
      <w:rFonts w:ascii="Times New Roman" w:eastAsia="Times New Roman" w:hAnsi="Times New Roman" w:cs="Miriam"/>
      <w:sz w:val="20"/>
      <w:szCs w:val="20"/>
      <w:lang w:eastAsia="he-IL"/>
    </w:rPr>
  </w:style>
  <w:style w:type="character" w:styleId="af2">
    <w:name w:val="footnote reference"/>
    <w:basedOn w:val="a0"/>
    <w:uiPriority w:val="99"/>
    <w:semiHidden/>
    <w:unhideWhenUsed/>
    <w:rsid w:val="00202437"/>
    <w:rPr>
      <w:vertAlign w:val="superscript"/>
    </w:rPr>
  </w:style>
  <w:style w:type="paragraph" w:styleId="af3">
    <w:name w:val="Title"/>
    <w:basedOn w:val="a"/>
    <w:next w:val="a"/>
    <w:link w:val="af4"/>
    <w:uiPriority w:val="10"/>
    <w:qFormat/>
    <w:rsid w:val="002024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he-IL"/>
    </w:rPr>
  </w:style>
  <w:style w:type="character" w:customStyle="1" w:styleId="af4">
    <w:name w:val="כותרת טקסט תו"/>
    <w:basedOn w:val="a0"/>
    <w:link w:val="af3"/>
    <w:uiPriority w:val="10"/>
    <w:rsid w:val="00202437"/>
    <w:rPr>
      <w:rFonts w:asciiTheme="majorHAnsi" w:eastAsiaTheme="majorEastAsia" w:hAnsiTheme="majorHAnsi" w:cstheme="majorBidi"/>
      <w:color w:val="17365D" w:themeColor="text2" w:themeShade="BF"/>
      <w:spacing w:val="5"/>
      <w:kern w:val="28"/>
      <w:sz w:val="52"/>
      <w:szCs w:val="52"/>
      <w:lang w:eastAsia="he-IL"/>
    </w:rPr>
  </w:style>
  <w:style w:type="paragraph" w:styleId="NormalWeb">
    <w:name w:val="Normal (Web)"/>
    <w:basedOn w:val="a"/>
    <w:uiPriority w:val="99"/>
    <w:semiHidden/>
    <w:unhideWhenUsed/>
    <w:rsid w:val="00202437"/>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C:\Users\u987\AppData\Local\Microsoft\Windows\INetCache\Content.MSO\4867AE6D.xlsm"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8" Type="http://schemas.openxmlformats.org/officeDocument/2006/relationships/image" Target="media/image12.png"/><Relationship Id="rId13" Type="http://schemas.openxmlformats.org/officeDocument/2006/relationships/hyperlink" Target="https://www.facebook.com/bankisraelvc" TargetMode="External"/><Relationship Id="rId3" Type="http://schemas.openxmlformats.org/officeDocument/2006/relationships/image" Target="media/image9.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11.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10.png"/><Relationship Id="rId9" Type="http://schemas.microsoft.com/office/2007/relationships/hdphoto" Target="media/hdphoto3.wdp"/><Relationship Id="rId14" Type="http://schemas.openxmlformats.org/officeDocument/2006/relationships/hyperlink" Target="https://www.boi.org.i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oi.org.il/publications/regularpublications/statistic_bulletin/bulletin2024/" TargetMode="External"/><Relationship Id="rId1" Type="http://schemas.openxmlformats.org/officeDocument/2006/relationships/hyperlink" Target="https://www.boi.org.il/publications/regularpublications/statistic_bulletin/bulletin2024/"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911</Words>
  <Characters>4559</Characters>
  <Application>Microsoft Office Word</Application>
  <DocSecurity>0</DocSecurity>
  <Lines>37</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2026-02-03T12:23:00Z</dcterms:created>
  <dcterms:modified xsi:type="dcterms:W3CDTF">2026-02-03T12:34:00Z</dcterms:modified>
</cp:coreProperties>
</file>