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42247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EA1298" w:rsidRDefault="00F62B81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EA1298">
              <w:rPr>
                <w:rFonts w:ascii="Calibri" w:hAnsi="Calibri" w:cs="Calibri"/>
                <w:b/>
                <w:bCs/>
                <w:rtl/>
              </w:rPr>
              <w:t>בנק ישראל</w:t>
            </w:r>
          </w:p>
          <w:p w:rsidR="00031A9D" w:rsidRPr="00EA1298" w:rsidRDefault="00F62B81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A1298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EA1298" w:rsidRDefault="00F62B81" w:rsidP="005E28F6">
            <w:pPr>
              <w:bidi/>
              <w:jc w:val="center"/>
              <w:rPr>
                <w:rFonts w:ascii="Calibri" w:hAnsi="Calibri" w:cs="Calibri"/>
              </w:rPr>
            </w:pPr>
            <w:r w:rsidRPr="00EA1298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EA1298" w:rsidRDefault="00F62B81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 w:rsidRPr="00EA1298">
              <w:rPr>
                <w:rFonts w:ascii="Calibri" w:hAnsi="Calibri" w:cs="Calibri"/>
                <w:highlight w:val="green"/>
                <w:rtl/>
              </w:rPr>
              <w:t>‏</w:t>
            </w:r>
            <w:r w:rsidRPr="00EA1298">
              <w:rPr>
                <w:rFonts w:ascii="Calibri" w:hAnsi="Calibri" w:cs="Calibri"/>
                <w:rtl/>
              </w:rPr>
              <w:t xml:space="preserve">ירושלים, </w:t>
            </w:r>
            <w:r w:rsidRPr="00EA1298">
              <w:rPr>
                <w:rFonts w:ascii="Calibri" w:hAnsi="Calibri" w:cs="Calibri"/>
                <w:rtl/>
              </w:rPr>
              <w:fldChar w:fldCharType="begin"/>
            </w:r>
            <w:r w:rsidRPr="00EA1298">
              <w:rPr>
                <w:rFonts w:ascii="Calibri" w:hAnsi="Calibri" w:cs="Calibri"/>
                <w:rtl/>
              </w:rPr>
              <w:instrText xml:space="preserve"> </w:instrText>
            </w:r>
            <w:r w:rsidRPr="00EA1298">
              <w:rPr>
                <w:rFonts w:ascii="Calibri" w:hAnsi="Calibri" w:cs="Calibri"/>
              </w:rPr>
              <w:instrText>DATE</w:instrText>
            </w:r>
            <w:r w:rsidRPr="00EA1298">
              <w:rPr>
                <w:rFonts w:ascii="Calibri" w:hAnsi="Calibri" w:cs="Calibri"/>
                <w:rtl/>
              </w:rPr>
              <w:instrText xml:space="preserve"> \@ "</w:instrText>
            </w:r>
            <w:r w:rsidRPr="00EA1298">
              <w:rPr>
                <w:rFonts w:ascii="Calibri" w:hAnsi="Calibri" w:cs="Calibri"/>
              </w:rPr>
              <w:instrText>d MMMM, yyyy" \h</w:instrText>
            </w:r>
            <w:r w:rsidRPr="00EA1298">
              <w:rPr>
                <w:rFonts w:ascii="Calibri" w:hAnsi="Calibri" w:cs="Calibri"/>
                <w:rtl/>
              </w:rPr>
              <w:instrText xml:space="preserve"> </w:instrText>
            </w:r>
            <w:r w:rsidRPr="00EA1298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‏י"ד חשון, תשפ"ו</w:t>
            </w:r>
            <w:r w:rsidRPr="00EA1298">
              <w:rPr>
                <w:rFonts w:ascii="Calibri" w:hAnsi="Calibri" w:cs="Calibri"/>
                <w:rtl/>
              </w:rPr>
              <w:fldChar w:fldCharType="end"/>
            </w:r>
          </w:p>
          <w:p w:rsidR="00031A9D" w:rsidRPr="00EA1298" w:rsidRDefault="00F62B81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highlight w:val="green"/>
              </w:rPr>
            </w:pPr>
            <w:r w:rsidRPr="00EA1298">
              <w:rPr>
                <w:rFonts w:ascii="Calibri" w:hAnsi="Calibri" w:cs="Calibri"/>
                <w:rtl/>
              </w:rPr>
              <w:fldChar w:fldCharType="begin"/>
            </w:r>
            <w:r w:rsidRPr="00EA1298">
              <w:rPr>
                <w:rFonts w:ascii="Calibri" w:hAnsi="Calibri" w:cs="Calibri"/>
                <w:rtl/>
              </w:rPr>
              <w:instrText xml:space="preserve"> </w:instrText>
            </w:r>
            <w:r w:rsidRPr="00EA1298">
              <w:rPr>
                <w:rFonts w:ascii="Calibri" w:hAnsi="Calibri" w:cs="Calibri"/>
              </w:rPr>
              <w:instrText>DATE</w:instrText>
            </w:r>
            <w:r w:rsidRPr="00EA1298">
              <w:rPr>
                <w:rFonts w:ascii="Calibri" w:hAnsi="Calibri" w:cs="Calibri"/>
                <w:rtl/>
              </w:rPr>
              <w:instrText xml:space="preserve"> \@ "</w:instrText>
            </w:r>
            <w:r w:rsidRPr="00EA1298">
              <w:rPr>
                <w:rFonts w:ascii="Calibri" w:hAnsi="Calibri" w:cs="Calibri"/>
              </w:rPr>
              <w:instrText>d MMMM, yyyy</w:instrText>
            </w:r>
            <w:r w:rsidRPr="00EA1298">
              <w:rPr>
                <w:rFonts w:ascii="Calibri" w:hAnsi="Calibri" w:cs="Calibri"/>
                <w:rtl/>
              </w:rPr>
              <w:instrText xml:space="preserve">" </w:instrText>
            </w:r>
            <w:r w:rsidRPr="00EA1298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‏5 נובמבר, 2025</w:t>
            </w:r>
            <w:r w:rsidRPr="00EA1298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031A9D" w:rsidRPr="00EA1298" w:rsidRDefault="00031A9D" w:rsidP="005E28F6">
      <w:pPr>
        <w:bidi/>
        <w:rPr>
          <w:rFonts w:ascii="Calibri" w:hAnsi="Calibri" w:cs="Calibri"/>
          <w:rtl/>
        </w:rPr>
      </w:pPr>
    </w:p>
    <w:p w:rsidR="005E28F6" w:rsidRPr="00EA1298" w:rsidRDefault="00F62B81" w:rsidP="005E28F6">
      <w:pPr>
        <w:bidi/>
        <w:spacing w:line="360" w:lineRule="auto"/>
        <w:rPr>
          <w:rFonts w:ascii="Calibri" w:hAnsi="Calibri" w:cs="Calibri"/>
          <w:rtl/>
        </w:rPr>
      </w:pPr>
      <w:r w:rsidRPr="00EA1298">
        <w:rPr>
          <w:rFonts w:ascii="Calibri" w:hAnsi="Calibri" w:cs="Calibri"/>
          <w:rtl/>
          <w:lang w:val="en-GB" w:bidi="ar-SA"/>
        </w:rPr>
        <w:t>بيان صحفي:</w:t>
      </w:r>
    </w:p>
    <w:p w:rsidR="004A75E7" w:rsidRPr="00EA1298" w:rsidRDefault="00F62B81" w:rsidP="00886474">
      <w:pPr>
        <w:bidi/>
        <w:jc w:val="center"/>
        <w:rPr>
          <w:rFonts w:ascii="Calibri" w:hAnsi="Calibri" w:cs="Calibri"/>
          <w:b/>
          <w:bCs/>
          <w:sz w:val="32"/>
          <w:szCs w:val="32"/>
          <w:rtl/>
          <w:lang w:eastAsia="he-IL" w:bidi="ar-SA"/>
        </w:rPr>
      </w:pPr>
      <w:r w:rsidRPr="00EA1298">
        <w:rPr>
          <w:rFonts w:ascii="Calibri" w:hAnsi="Calibri" w:cs="Calibri"/>
          <w:b/>
          <w:bCs/>
          <w:sz w:val="32"/>
          <w:szCs w:val="32"/>
          <w:rtl/>
          <w:lang w:eastAsia="he-IL" w:bidi="ar-SA"/>
        </w:rPr>
        <w:t xml:space="preserve">المؤشر الشهري للنشاط الاقتصادي يرتفع في شهر أيلول بنسبة 1.8% </w:t>
      </w:r>
    </w:p>
    <w:p w:rsidR="009A3633" w:rsidRPr="00EA1298" w:rsidRDefault="009A3633" w:rsidP="009A3633">
      <w:pPr>
        <w:bidi/>
        <w:rPr>
          <w:rFonts w:ascii="Calibri" w:hAnsi="Calibri" w:cs="Calibri"/>
          <w:rtl/>
          <w:lang w:eastAsia="he-IL"/>
        </w:rPr>
      </w:pPr>
    </w:p>
    <w:p w:rsidR="004A75E7" w:rsidRPr="00EA1298" w:rsidRDefault="00F62B81" w:rsidP="00F62B81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  <w:r w:rsidRPr="00EA1298">
        <w:rPr>
          <w:rFonts w:ascii="Calibri" w:hAnsi="Calibri" w:cs="Calibri"/>
          <w:rtl/>
          <w:lang w:bidi="ar-SA"/>
        </w:rPr>
        <w:t>ارتفع المؤشر الشهري للنشاط الاقتصادي</w:t>
      </w:r>
      <w:r>
        <w:rPr>
          <w:rStyle w:val="af2"/>
          <w:rFonts w:ascii="Calibri" w:hAnsi="Calibri" w:cs="Calibri"/>
          <w:rtl/>
        </w:rPr>
        <w:footnoteReference w:id="1"/>
      </w:r>
      <w:r w:rsidR="009A3633" w:rsidRPr="00EA1298">
        <w:rPr>
          <w:rFonts w:ascii="Calibri" w:hAnsi="Calibri" w:cs="Calibri"/>
          <w:rtl/>
        </w:rPr>
        <w:t xml:space="preserve"> </w:t>
      </w:r>
      <w:r w:rsidRPr="00EA1298">
        <w:rPr>
          <w:rFonts w:ascii="Calibri" w:hAnsi="Calibri" w:cs="Calibri"/>
          <w:rtl/>
          <w:lang w:bidi="ar-SA"/>
        </w:rPr>
        <w:t xml:space="preserve">في شهر </w:t>
      </w:r>
      <w:r w:rsidRPr="00EA1298">
        <w:rPr>
          <w:rFonts w:ascii="Calibri" w:hAnsi="Calibri" w:cs="Calibri"/>
          <w:rtl/>
          <w:lang w:bidi="ar-SA"/>
        </w:rPr>
        <w:t>أيلول بنسبة 1.8 في المائة (الشكل 1). يعكس المؤشر العادي تقدير متوسط ​​النمو الشهري في الأشهر الثلاثة من تموز إلى أيلول، والذي يتضمن التعافي بعد حملة "</w:t>
      </w:r>
      <w:r w:rsidRPr="00F62B81">
        <w:rPr>
          <w:rFonts w:ascii="Calibri" w:hAnsi="Calibri" w:cs="Calibri" w:hint="cs"/>
          <w:rtl/>
          <w:lang w:bidi="ar-SA"/>
        </w:rPr>
        <w:t xml:space="preserve"> </w:t>
      </w:r>
      <w:r w:rsidRPr="00F62B81">
        <w:rPr>
          <w:rFonts w:ascii="Calibri" w:hAnsi="Calibri" w:cs="Calibri" w:hint="cs"/>
          <w:rtl/>
          <w:lang w:bidi="ar-SA"/>
        </w:rPr>
        <w:t>الأسد</w:t>
      </w:r>
      <w:r w:rsidRPr="00F62B81">
        <w:rPr>
          <w:rFonts w:ascii="Calibri" w:hAnsi="Calibri" w:cs="Calibri"/>
          <w:rtl/>
          <w:lang w:bidi="ar-SA"/>
        </w:rPr>
        <w:t xml:space="preserve"> </w:t>
      </w:r>
      <w:r w:rsidRPr="00F62B81">
        <w:rPr>
          <w:rFonts w:ascii="Calibri" w:hAnsi="Calibri" w:cs="Calibri" w:hint="cs"/>
          <w:rtl/>
          <w:lang w:bidi="ar-SA"/>
        </w:rPr>
        <w:t>الصاعد</w:t>
      </w:r>
      <w:r w:rsidRPr="00EA1298">
        <w:rPr>
          <w:rFonts w:ascii="Calibri" w:hAnsi="Calibri" w:cs="Calibri"/>
          <w:rtl/>
          <w:lang w:bidi="ar-SA"/>
        </w:rPr>
        <w:t>"</w:t>
      </w:r>
      <w:r w:rsidR="00D62AB7" w:rsidRPr="00EA1298">
        <w:rPr>
          <w:rFonts w:ascii="Calibri" w:hAnsi="Calibri" w:cs="Calibri"/>
          <w:rtl/>
          <w:lang w:bidi="ar-SA"/>
        </w:rPr>
        <w:t xml:space="preserve"> في شهر تموز</w:t>
      </w:r>
      <w:r w:rsidRPr="00EA1298">
        <w:rPr>
          <w:rFonts w:ascii="Calibri" w:hAnsi="Calibri" w:cs="Calibri"/>
          <w:rtl/>
          <w:lang w:bidi="ar-SA"/>
        </w:rPr>
        <w:t xml:space="preserve">. مع ذلك، </w:t>
      </w:r>
      <w:r w:rsidRPr="00EA1298">
        <w:rPr>
          <w:rFonts w:ascii="Calibri" w:hAnsi="Calibri" w:cs="Calibri"/>
          <w:b/>
          <w:bCs/>
          <w:rtl/>
          <w:lang w:bidi="ar-SA"/>
        </w:rPr>
        <w:t>وعند إلقاء نظرة أوسع على متوسط ​​النمو على مدى أربعة أشهر وتحييد تأثير ال</w:t>
      </w:r>
      <w:r w:rsidRPr="00EA1298">
        <w:rPr>
          <w:rFonts w:ascii="Calibri" w:hAnsi="Calibri" w:cs="Calibri"/>
          <w:b/>
          <w:bCs/>
          <w:rtl/>
          <w:lang w:bidi="ar-SA"/>
        </w:rPr>
        <w:t xml:space="preserve">تقلبات الناتجة عن حملة </w:t>
      </w:r>
      <w:r w:rsidRPr="00F62B81">
        <w:rPr>
          <w:rFonts w:ascii="Calibri" w:hAnsi="Calibri" w:cs="Calibri"/>
          <w:b/>
          <w:bCs/>
          <w:rtl/>
          <w:lang w:bidi="ar-SA"/>
        </w:rPr>
        <w:t>"</w:t>
      </w:r>
      <w:r w:rsidRPr="00F62B81">
        <w:rPr>
          <w:rFonts w:ascii="Calibri" w:hAnsi="Calibri" w:cs="Calibri" w:hint="cs"/>
          <w:b/>
          <w:bCs/>
          <w:rtl/>
          <w:lang w:bidi="ar-SA"/>
        </w:rPr>
        <w:t>الأسد</w:t>
      </w:r>
      <w:r w:rsidRPr="00F62B81">
        <w:rPr>
          <w:rFonts w:ascii="Calibri" w:hAnsi="Calibri" w:cs="Calibri"/>
          <w:b/>
          <w:bCs/>
          <w:rtl/>
          <w:lang w:bidi="ar-SA"/>
        </w:rPr>
        <w:t xml:space="preserve"> </w:t>
      </w:r>
      <w:r w:rsidRPr="00F62B81">
        <w:rPr>
          <w:rFonts w:ascii="Calibri" w:hAnsi="Calibri" w:cs="Calibri" w:hint="cs"/>
          <w:b/>
          <w:bCs/>
          <w:rtl/>
          <w:lang w:bidi="ar-SA"/>
        </w:rPr>
        <w:t>الصاعد</w:t>
      </w:r>
      <w:r w:rsidRPr="00F62B81">
        <w:rPr>
          <w:rFonts w:ascii="Calibri" w:hAnsi="Calibri" w:cs="Calibri"/>
          <w:b/>
          <w:bCs/>
          <w:rtl/>
          <w:lang w:bidi="ar-SA"/>
        </w:rPr>
        <w:t>"</w:t>
      </w:r>
      <w:r w:rsidRPr="00EA1298">
        <w:rPr>
          <w:rFonts w:ascii="Calibri" w:hAnsi="Calibri" w:cs="Calibri"/>
          <w:b/>
          <w:bCs/>
          <w:rtl/>
          <w:lang w:bidi="ar-SA"/>
        </w:rPr>
        <w:t>، يرتفع المؤشر في أيلول</w:t>
      </w:r>
      <w:r w:rsidR="00D62AB7" w:rsidRPr="00EA1298">
        <w:rPr>
          <w:rFonts w:ascii="Calibri" w:hAnsi="Calibri" w:cs="Calibri"/>
          <w:b/>
          <w:bCs/>
          <w:rtl/>
          <w:lang w:bidi="ar-SA"/>
        </w:rPr>
        <w:t xml:space="preserve"> بنسبة 0.2 في المائة فقط</w:t>
      </w:r>
      <w:r w:rsidRPr="00EA1298">
        <w:rPr>
          <w:rFonts w:ascii="Calibri" w:hAnsi="Calibri" w:cs="Calibri"/>
          <w:rtl/>
          <w:lang w:bidi="ar-SA"/>
        </w:rPr>
        <w:t xml:space="preserve">، </w:t>
      </w:r>
      <w:r w:rsidR="00D62AB7" w:rsidRPr="00EA1298">
        <w:rPr>
          <w:rFonts w:ascii="Calibri" w:hAnsi="Calibri" w:cs="Calibri"/>
          <w:rtl/>
          <w:lang w:bidi="ar-SA"/>
        </w:rPr>
        <w:t>وذلك</w:t>
      </w:r>
      <w:r w:rsidRPr="00EA1298">
        <w:rPr>
          <w:rFonts w:ascii="Calibri" w:hAnsi="Calibri" w:cs="Calibri"/>
          <w:rtl/>
          <w:lang w:bidi="ar-SA"/>
        </w:rPr>
        <w:t xml:space="preserve"> أقل من الاتجاه طويل الأجل (حوالي 0.3). تأثر المؤشر العادي بشكل إيجابي بزيادة المشتريات ببطاقات الائتمان وواردات وصادرات السلع لشهري تموز وأيلول، وببيانات عائدات التجار</w:t>
      </w:r>
      <w:r w:rsidRPr="00EA1298">
        <w:rPr>
          <w:rFonts w:ascii="Calibri" w:hAnsi="Calibri" w:cs="Calibri"/>
          <w:rtl/>
          <w:lang w:bidi="ar-SA"/>
        </w:rPr>
        <w:t>ة والإنتاج الصناعي لشهر تموز، وببيانات سوق العمل للأشهر تموز - أيلول. من ناحية أخرى، أثرت بيانات مؤشر مديري المشتريات في الولايات المتحدة للأشهر تموز - آب وبيانات استهلاك البنزين سلب</w:t>
      </w:r>
      <w:r w:rsidR="00D62AB7" w:rsidRPr="00EA1298">
        <w:rPr>
          <w:rFonts w:ascii="Calibri" w:hAnsi="Calibri" w:cs="Calibri"/>
          <w:rtl/>
          <w:lang w:bidi="ar-SA"/>
        </w:rPr>
        <w:t>اً</w:t>
      </w:r>
      <w:r w:rsidRPr="00EA1298">
        <w:rPr>
          <w:rFonts w:ascii="Calibri" w:hAnsi="Calibri" w:cs="Calibri"/>
          <w:rtl/>
          <w:lang w:bidi="ar-SA"/>
        </w:rPr>
        <w:t xml:space="preserve"> على المؤشر (الجدولان 1 و2).</w:t>
      </w:r>
    </w:p>
    <w:p w:rsidR="00886474" w:rsidRPr="00EA1298" w:rsidRDefault="00F62B81" w:rsidP="00886474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  <w:r w:rsidRPr="00EA1298">
        <w:rPr>
          <w:rFonts w:ascii="Calibri" w:hAnsi="Calibri" w:cs="Calibri"/>
          <w:rtl/>
          <w:lang w:bidi="ar-SA"/>
        </w:rPr>
        <w:t>تم تعديل مؤشر الأشهر الأخيرة صعود</w:t>
      </w:r>
      <w:r w:rsidR="00D62AB7" w:rsidRPr="00EA1298">
        <w:rPr>
          <w:rFonts w:ascii="Calibri" w:hAnsi="Calibri" w:cs="Calibri"/>
          <w:rtl/>
          <w:lang w:bidi="ar-SA"/>
        </w:rPr>
        <w:t>اً</w:t>
      </w:r>
      <w:r w:rsidRPr="00EA1298">
        <w:rPr>
          <w:rFonts w:ascii="Calibri" w:hAnsi="Calibri" w:cs="Calibri"/>
          <w:rtl/>
          <w:lang w:bidi="ar-SA"/>
        </w:rPr>
        <w:t xml:space="preserve"> على</w:t>
      </w:r>
      <w:r w:rsidRPr="00EA1298">
        <w:rPr>
          <w:rFonts w:ascii="Calibri" w:hAnsi="Calibri" w:cs="Calibri"/>
          <w:rtl/>
          <w:lang w:bidi="ar-SA"/>
        </w:rPr>
        <w:t xml:space="preserve"> ضوء التقلبات الاستثنائية التي اتسمت بها الفترة التي يتناولها، واستكمال البيانات غير المكتملة سابق</w:t>
      </w:r>
      <w:r w:rsidR="00D62AB7" w:rsidRPr="00EA1298">
        <w:rPr>
          <w:rFonts w:ascii="Calibri" w:hAnsi="Calibri" w:cs="Calibri"/>
          <w:rtl/>
          <w:lang w:bidi="ar-SA"/>
        </w:rPr>
        <w:t>اً</w:t>
      </w:r>
      <w:r w:rsidRPr="00EA1298">
        <w:rPr>
          <w:rFonts w:ascii="Calibri" w:hAnsi="Calibri" w:cs="Calibri"/>
          <w:rtl/>
          <w:lang w:bidi="ar-SA"/>
        </w:rPr>
        <w:t xml:space="preserve">. </w:t>
      </w:r>
    </w:p>
    <w:p w:rsidR="004A75E7" w:rsidRPr="00EA1298" w:rsidRDefault="00F62B81" w:rsidP="00886474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  <w:r w:rsidRPr="00EA1298">
        <w:rPr>
          <w:rFonts w:ascii="Calibri" w:hAnsi="Calibri" w:cs="Calibri"/>
          <w:rtl/>
          <w:lang w:bidi="ar-SA"/>
        </w:rPr>
        <w:t>يعرض الشكل 1 بيانات المؤشر للعامين الماضيين، ويعرض الجدول 1 مساهمة مكونات المؤشر في التقدير الإجمالي والتحديثات السابقة للمؤشر، ويعرض الجدول 2 النسبة الم</w:t>
      </w:r>
      <w:r w:rsidRPr="00EA1298">
        <w:rPr>
          <w:rFonts w:ascii="Calibri" w:hAnsi="Calibri" w:cs="Calibri"/>
          <w:rtl/>
          <w:lang w:bidi="ar-SA"/>
        </w:rPr>
        <w:t>ئوية للتغير الشهري في مكونات المؤشر.</w:t>
      </w: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D62AB7" w:rsidRPr="00EA1298" w:rsidRDefault="00D62AB7" w:rsidP="00D62AB7">
      <w:pPr>
        <w:bidi/>
        <w:spacing w:after="120" w:line="360" w:lineRule="auto"/>
        <w:ind w:right="-57"/>
        <w:jc w:val="both"/>
        <w:rPr>
          <w:rFonts w:ascii="Calibri" w:hAnsi="Calibri" w:cs="Calibri"/>
          <w:rtl/>
          <w:lang w:bidi="ar-SA"/>
        </w:rPr>
      </w:pPr>
    </w:p>
    <w:p w:rsidR="009A3633" w:rsidRPr="00EA1298" w:rsidRDefault="00F62B81" w:rsidP="009A3633">
      <w:pPr>
        <w:tabs>
          <w:tab w:val="left" w:pos="2812"/>
        </w:tabs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SA"/>
        </w:rPr>
      </w:pPr>
      <w:r w:rsidRPr="00EA1298">
        <w:rPr>
          <w:rFonts w:ascii="Calibri" w:hAnsi="Calibri" w:cs="Calibri"/>
          <w:b/>
          <w:bCs/>
          <w:sz w:val="28"/>
          <w:szCs w:val="28"/>
          <w:rtl/>
          <w:lang w:bidi="ar-SA"/>
        </w:rPr>
        <w:t>الشكل 1: المؤشر الشهري للنشاط الاقتصادي</w:t>
      </w:r>
    </w:p>
    <w:p w:rsidR="009A3633" w:rsidRPr="00EA1298" w:rsidRDefault="009A3633" w:rsidP="009A3633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9A3633" w:rsidRPr="00EA1298" w:rsidRDefault="00F62B81" w:rsidP="009A3633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EA129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A1298">
        <w:rPr>
          <w:rFonts w:ascii="Calibri" w:hAnsi="Calibri" w:cs="Calibri"/>
          <w:noProof/>
        </w:rPr>
        <w:drawing>
          <wp:inline distT="0" distB="0" distL="0" distR="0">
            <wp:extent cx="5278120" cy="3221617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22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3" w:rsidRPr="00EA1298" w:rsidRDefault="009A3633" w:rsidP="009A3633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886474" w:rsidRPr="00EA1298" w:rsidRDefault="00F62B81" w:rsidP="00886474">
      <w:pPr>
        <w:bidi/>
        <w:jc w:val="center"/>
        <w:rPr>
          <w:rFonts w:ascii="Calibri" w:hAnsi="Calibri" w:cs="Calibri"/>
          <w:b/>
          <w:bCs/>
          <w:rtl/>
          <w:lang w:bidi="ar-SA"/>
        </w:rPr>
      </w:pPr>
      <w:r w:rsidRPr="00EA1298">
        <w:rPr>
          <w:rFonts w:ascii="Calibri" w:hAnsi="Calibri" w:cs="Calibri"/>
          <w:b/>
          <w:bCs/>
          <w:rtl/>
          <w:lang w:bidi="ar-SA"/>
        </w:rPr>
        <w:t xml:space="preserve">الجدول 1: مساهمة* مكونات المؤشر في التقدير الإجمالي في الأشهر الأخيرة، بحسب المجموعات </w:t>
      </w:r>
    </w:p>
    <w:p w:rsidR="004A75E7" w:rsidRPr="00EA1298" w:rsidRDefault="00F62B81" w:rsidP="00886474">
      <w:pPr>
        <w:bidi/>
        <w:jc w:val="center"/>
        <w:rPr>
          <w:rFonts w:ascii="Calibri" w:hAnsi="Calibri" w:cs="Calibri"/>
          <w:b/>
          <w:bCs/>
          <w:rtl/>
          <w:lang w:bidi="ar-SA"/>
        </w:rPr>
      </w:pPr>
      <w:r w:rsidRPr="00EA1298">
        <w:rPr>
          <w:rFonts w:ascii="Calibri" w:hAnsi="Calibri" w:cs="Calibri"/>
          <w:b/>
          <w:bCs/>
          <w:rtl/>
          <w:lang w:bidi="ar-SA"/>
        </w:rPr>
        <w:t>(</w:t>
      </w:r>
      <w:r w:rsidR="00886474" w:rsidRPr="00EA1298">
        <w:rPr>
          <w:rFonts w:ascii="Calibri" w:hAnsi="Calibri" w:cs="Calibri"/>
          <w:b/>
          <w:bCs/>
          <w:rtl/>
          <w:lang w:bidi="ar-SA"/>
        </w:rPr>
        <w:t>ب</w:t>
      </w:r>
      <w:r w:rsidRPr="00EA1298">
        <w:rPr>
          <w:rFonts w:ascii="Calibri" w:hAnsi="Calibri" w:cs="Calibri"/>
          <w:b/>
          <w:bCs/>
          <w:rtl/>
          <w:lang w:bidi="ar-SA"/>
        </w:rPr>
        <w:t>النقاط المئوية)</w:t>
      </w:r>
    </w:p>
    <w:p w:rsidR="009A3633" w:rsidRPr="00EA1298" w:rsidRDefault="00F62B81" w:rsidP="009A3633">
      <w:pPr>
        <w:autoSpaceDE w:val="0"/>
        <w:autoSpaceDN w:val="0"/>
        <w:bidi/>
        <w:adjustRightInd w:val="0"/>
        <w:jc w:val="center"/>
        <w:rPr>
          <w:rFonts w:ascii="Calibri" w:hAnsi="Calibri" w:cs="Calibri"/>
          <w:b/>
          <w:bCs/>
          <w:i/>
          <w:rtl/>
        </w:rPr>
      </w:pPr>
      <w:r w:rsidRPr="00EA1298">
        <w:rPr>
          <w:rFonts w:ascii="Calibri" w:hAnsi="Calibri" w:cs="Calibri"/>
          <w:noProof/>
          <w:rtl/>
        </w:rPr>
        <w:drawing>
          <wp:inline distT="0" distB="0" distL="0" distR="0">
            <wp:extent cx="3855154" cy="2531059"/>
            <wp:effectExtent l="0" t="0" r="0" b="3175"/>
            <wp:docPr id="2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474" cy="2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298">
        <w:rPr>
          <w:rFonts w:ascii="Calibri" w:hAnsi="Calibri" w:cs="Calibri"/>
          <w:b/>
          <w:bCs/>
          <w:i/>
          <w:rtl/>
        </w:rPr>
        <w:t xml:space="preserve"> </w:t>
      </w:r>
    </w:p>
    <w:p w:rsidR="009A3633" w:rsidRPr="00EA1298" w:rsidRDefault="009A3633" w:rsidP="009A3633">
      <w:pPr>
        <w:autoSpaceDE w:val="0"/>
        <w:autoSpaceDN w:val="0"/>
        <w:bidi/>
        <w:adjustRightInd w:val="0"/>
        <w:jc w:val="center"/>
        <w:rPr>
          <w:rFonts w:ascii="Calibri" w:hAnsi="Calibri" w:cs="Calibri"/>
          <w:b/>
          <w:bCs/>
          <w:i/>
          <w:rtl/>
        </w:rPr>
      </w:pPr>
    </w:p>
    <w:p w:rsidR="004A75E7" w:rsidRPr="00EA1298" w:rsidRDefault="00F62B81" w:rsidP="00886474">
      <w:pPr>
        <w:bidi/>
        <w:jc w:val="both"/>
        <w:rPr>
          <w:rFonts w:ascii="Calibri" w:hAnsi="Calibri" w:cs="Calibri"/>
          <w:sz w:val="20"/>
          <w:szCs w:val="20"/>
          <w:rtl/>
          <w:lang w:bidi="ar-SA"/>
        </w:rPr>
      </w:pP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* 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>يعرض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 الجدول مساهمة كل مجموعة من المكونات في المؤشر الشهري، لذا فإن التقدير الشهري هو مجموع مساهمة كل مكون من المكونات المدرجة في الجدول. 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 xml:space="preserve">تؤثر 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>بعض البيانات الأولية على التقدير الشهري ب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>شكل م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تأخر أو 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 xml:space="preserve">على تقدير 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>عدة أشهر.</w:t>
      </w:r>
    </w:p>
    <w:p w:rsidR="009A3633" w:rsidRPr="00EA1298" w:rsidRDefault="009A3633" w:rsidP="009A3633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9A3633" w:rsidRPr="00EA1298" w:rsidRDefault="009A3633" w:rsidP="009A3633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886474" w:rsidRPr="00EA1298" w:rsidRDefault="00F62B81" w:rsidP="00886474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SA"/>
        </w:rPr>
      </w:pPr>
      <w:r w:rsidRPr="00EA1298">
        <w:rPr>
          <w:rFonts w:ascii="Calibri" w:hAnsi="Calibri" w:cs="Calibri"/>
          <w:b/>
          <w:bCs/>
          <w:sz w:val="28"/>
          <w:szCs w:val="28"/>
          <w:rtl/>
          <w:lang w:bidi="ar-SA"/>
        </w:rPr>
        <w:t>الجدول 2</w:t>
      </w:r>
      <w:r w:rsidRPr="00EA1298">
        <w:rPr>
          <w:rFonts w:ascii="Calibri" w:hAnsi="Calibri" w:cs="Calibri"/>
          <w:b/>
          <w:bCs/>
          <w:sz w:val="28"/>
          <w:szCs w:val="28"/>
          <w:rtl/>
          <w:lang w:bidi="ar-SA"/>
        </w:rPr>
        <w:t xml:space="preserve">: التغيرات في مكونات المؤشر خلال الأشهر الأخيرة </w:t>
      </w:r>
    </w:p>
    <w:p w:rsidR="004A75E7" w:rsidRPr="00EA1298" w:rsidRDefault="00F62B81" w:rsidP="00886474">
      <w:pPr>
        <w:bidi/>
        <w:jc w:val="center"/>
        <w:rPr>
          <w:rFonts w:ascii="Calibri" w:hAnsi="Calibri" w:cs="Calibri"/>
          <w:rtl/>
          <w:lang w:bidi="ar-SA"/>
        </w:rPr>
      </w:pPr>
      <w:r w:rsidRPr="00EA1298">
        <w:rPr>
          <w:rFonts w:ascii="Calibri" w:hAnsi="Calibri" w:cs="Calibri"/>
          <w:rtl/>
          <w:lang w:bidi="ar-SA"/>
        </w:rPr>
        <w:t>(معدلات التغير الشهرية المئوية، معدلة موسمي</w:t>
      </w:r>
      <w:r w:rsidR="00D62AB7" w:rsidRPr="00EA1298">
        <w:rPr>
          <w:rFonts w:ascii="Calibri" w:hAnsi="Calibri" w:cs="Calibri"/>
          <w:rtl/>
          <w:lang w:bidi="ar-SA"/>
        </w:rPr>
        <w:t>اً</w:t>
      </w:r>
      <w:r w:rsidRPr="00EA1298">
        <w:rPr>
          <w:rFonts w:ascii="Calibri" w:hAnsi="Calibri" w:cs="Calibri"/>
          <w:rtl/>
          <w:lang w:bidi="ar-SA"/>
        </w:rPr>
        <w:t>)</w:t>
      </w:r>
    </w:p>
    <w:p w:rsidR="009A3633" w:rsidRPr="00EA1298" w:rsidRDefault="009A3633" w:rsidP="009A3633">
      <w:pPr>
        <w:autoSpaceDE w:val="0"/>
        <w:autoSpaceDN w:val="0"/>
        <w:bidi/>
        <w:adjustRightInd w:val="0"/>
        <w:rPr>
          <w:rFonts w:ascii="Calibri" w:hAnsi="Calibri" w:cs="Calibri"/>
          <w:rtl/>
        </w:rPr>
      </w:pPr>
    </w:p>
    <w:p w:rsidR="009A3633" w:rsidRPr="00EA1298" w:rsidRDefault="00F62B81" w:rsidP="009A3633">
      <w:pPr>
        <w:autoSpaceDE w:val="0"/>
        <w:autoSpaceDN w:val="0"/>
        <w:bidi/>
        <w:adjustRightInd w:val="0"/>
        <w:jc w:val="center"/>
        <w:rPr>
          <w:rFonts w:ascii="Calibri" w:hAnsi="Calibri" w:cs="Calibri"/>
          <w:rtl/>
        </w:rPr>
      </w:pPr>
      <w:bookmarkStart w:id="0" w:name="_GoBack"/>
      <w:r w:rsidRPr="00EA1298">
        <w:rPr>
          <w:rFonts w:ascii="Calibri" w:hAnsi="Calibri" w:cs="Calibri"/>
          <w:noProof/>
          <w:rtl/>
        </w:rPr>
        <w:drawing>
          <wp:inline distT="0" distB="0" distL="0" distR="0">
            <wp:extent cx="5541997" cy="4323283"/>
            <wp:effectExtent l="0" t="0" r="1905" b="127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225" cy="432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75E7" w:rsidRPr="00EA1298" w:rsidRDefault="00F62B81" w:rsidP="00886474">
      <w:pPr>
        <w:pStyle w:val="af5"/>
        <w:spacing w:after="240" w:line="276" w:lineRule="auto"/>
        <w:ind w:left="-6"/>
        <w:rPr>
          <w:rFonts w:ascii="Calibri" w:hAnsi="Calibri" w:cs="Calibri"/>
          <w:sz w:val="20"/>
          <w:szCs w:val="20"/>
          <w:lang w:bidi="ar-SA"/>
        </w:rPr>
      </w:pPr>
      <w:r w:rsidRPr="00EA1298">
        <w:rPr>
          <w:rFonts w:ascii="Calibri" w:hAnsi="Calibri" w:cs="Calibri"/>
          <w:b/>
          <w:bCs/>
          <w:sz w:val="20"/>
          <w:szCs w:val="20"/>
          <w:rtl/>
          <w:lang w:bidi="ar-SA"/>
        </w:rPr>
        <w:t>المصدر: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 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>دائرة الإحصاء المركزية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، 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>الخدمات المصرفية الأوتوماتيكية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، وزارة المالية، بلومبرغ، 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>سلطة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 الوقود، بيانات بنك إسرائيل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 xml:space="preserve"> وتحليلات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 بنك إسرائيل. للاطلاع على تحل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يل شامل لمصدر كل سلسلة، </w:t>
      </w:r>
      <w:r w:rsidR="00886474" w:rsidRPr="00EA1298">
        <w:rPr>
          <w:rFonts w:ascii="Calibri" w:hAnsi="Calibri" w:cs="Calibri"/>
          <w:sz w:val="20"/>
          <w:szCs w:val="20"/>
          <w:rtl/>
          <w:lang w:bidi="ar-SA"/>
        </w:rPr>
        <w:t>أنظر</w:t>
      </w:r>
      <w:r w:rsidRPr="00EA1298">
        <w:rPr>
          <w:rFonts w:ascii="Calibri" w:hAnsi="Calibri" w:cs="Calibri"/>
          <w:sz w:val="20"/>
          <w:szCs w:val="20"/>
          <w:rtl/>
          <w:lang w:bidi="ar-SA"/>
        </w:rPr>
        <w:t xml:space="preserve"> وثيقة المنهجية المنشورة على موقع البنك الإلكتروني.</w:t>
      </w:r>
    </w:p>
    <w:p w:rsidR="009A3633" w:rsidRPr="00EA1298" w:rsidRDefault="009A3633" w:rsidP="009A3633">
      <w:pPr>
        <w:autoSpaceDE w:val="0"/>
        <w:autoSpaceDN w:val="0"/>
        <w:bidi/>
        <w:adjustRightInd w:val="0"/>
        <w:jc w:val="both"/>
        <w:rPr>
          <w:rStyle w:val="af2"/>
          <w:rFonts w:ascii="Calibri" w:hAnsi="Calibri" w:cs="Calibri"/>
          <w:rtl/>
        </w:rPr>
      </w:pPr>
    </w:p>
    <w:p w:rsidR="009A3633" w:rsidRPr="00EA1298" w:rsidRDefault="009A3633" w:rsidP="009A3633">
      <w:pPr>
        <w:bidi/>
        <w:spacing w:line="360" w:lineRule="auto"/>
        <w:rPr>
          <w:rFonts w:ascii="Calibri" w:hAnsi="Calibri" w:cs="Calibri"/>
          <w:rtl/>
        </w:rPr>
      </w:pPr>
    </w:p>
    <w:p w:rsidR="00F25BB5" w:rsidRPr="00EA1298" w:rsidRDefault="00F25BB5" w:rsidP="00F25BB5">
      <w:pPr>
        <w:bidi/>
        <w:spacing w:line="360" w:lineRule="auto"/>
        <w:rPr>
          <w:rFonts w:ascii="Calibri" w:hAnsi="Calibri" w:cs="Calibri"/>
          <w:rtl/>
        </w:rPr>
      </w:pPr>
    </w:p>
    <w:p w:rsidR="00F25BB5" w:rsidRPr="00EA1298" w:rsidRDefault="00F25BB5" w:rsidP="00F25BB5">
      <w:pPr>
        <w:bidi/>
        <w:spacing w:line="360" w:lineRule="auto"/>
        <w:rPr>
          <w:rFonts w:ascii="Calibri" w:hAnsi="Calibri" w:cs="Calibri"/>
          <w:rtl/>
        </w:rPr>
      </w:pPr>
    </w:p>
    <w:p w:rsidR="003E7478" w:rsidRPr="00EA1298" w:rsidRDefault="003E7478" w:rsidP="005E28F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EA1298" w:rsidSect="00CC24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2B81">
      <w:pPr>
        <w:spacing w:after="0" w:line="240" w:lineRule="auto"/>
      </w:pPr>
      <w:r>
        <w:separator/>
      </w:r>
    </w:p>
  </w:endnote>
  <w:endnote w:type="continuationSeparator" w:id="0">
    <w:p w:rsidR="00000000" w:rsidRDefault="00F6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62B81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F62B81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" filled="f" stroked="f" strokeweight=".5pt">
              <v:textbox>
                <w:txbxContent>
                  <w:p w:rsidR="00972198" w:rsidRPr="00031A9D" w:rsidRDefault="00F62B81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F62B81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46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IW/Xjo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F20046" w:rsidRPr="00031A9D" w:rsidRDefault="00F62B81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62B81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9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" filled="f" stroked="f" strokeweight=".5pt">
              <v:textbox>
                <w:txbxContent>
                  <w:p w:rsidR="00571971" w:rsidRPr="00031A9D" w:rsidRDefault="00F62B81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62B8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" filled="f" stroked="f" strokeweight=".5pt">
              <v:textbox>
                <w:txbxContent>
                  <w:p w:rsidR="00571971" w:rsidRPr="00031A9D" w:rsidRDefault="00F62B8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05" w:rsidRDefault="00F62B81" w:rsidP="00E04682">
      <w:pPr>
        <w:spacing w:after="0" w:line="240" w:lineRule="auto"/>
      </w:pPr>
      <w:r>
        <w:separator/>
      </w:r>
    </w:p>
  </w:footnote>
  <w:footnote w:type="continuationSeparator" w:id="0">
    <w:p w:rsidR="009E7D05" w:rsidRDefault="00F62B81" w:rsidP="00E04682">
      <w:pPr>
        <w:spacing w:after="0" w:line="240" w:lineRule="auto"/>
      </w:pPr>
      <w:r>
        <w:continuationSeparator/>
      </w:r>
    </w:p>
  </w:footnote>
  <w:footnote w:id="1">
    <w:p w:rsidR="009A3633" w:rsidRPr="004A75E7" w:rsidRDefault="00F62B81" w:rsidP="00886474">
      <w:pPr>
        <w:pStyle w:val="af0"/>
        <w:rPr>
          <w:rFonts w:asciiTheme="minorHAnsi" w:hAnsiTheme="minorHAnsi" w:cstheme="minorBidi"/>
          <w:i/>
          <w:iCs w:val="0"/>
          <w:lang w:bidi="ar-SA"/>
        </w:rPr>
      </w:pPr>
      <w:r w:rsidRPr="006E70CF">
        <w:rPr>
          <w:rStyle w:val="af2"/>
          <w:rFonts w:asciiTheme="minorHAnsi" w:hAnsiTheme="minorHAnsi" w:cstheme="minorHAnsi"/>
          <w:i/>
          <w:iCs w:val="0"/>
        </w:rPr>
        <w:footnoteRef/>
      </w:r>
      <w:r w:rsidRPr="006E70CF">
        <w:rPr>
          <w:rFonts w:asciiTheme="minorHAnsi" w:hAnsiTheme="minorHAnsi" w:cs="Times New Roman"/>
          <w:i/>
          <w:iCs w:val="0"/>
          <w:rtl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يعكس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مؤشر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النشاط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الاقتصادي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الشهري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متوسط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​​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معدل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نمو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الناتج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المحلي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الإجمالي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الشهري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المُقدّر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لثلاثة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أشهر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.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ويستند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هذا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التقدير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إلى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نموذج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886474">
        <w:rPr>
          <w:rFonts w:asciiTheme="minorHAnsi" w:hAnsiTheme="minorHAnsi" w:cs="Arial" w:hint="cs"/>
          <w:i/>
          <w:iCs w:val="0"/>
          <w:rtl/>
          <w:lang w:bidi="ar-SA"/>
        </w:rPr>
        <w:t>تم تطويره في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بنك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إسرائيل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(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جينكر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4A75E7" w:rsidRPr="004A75E7">
        <w:rPr>
          <w:rFonts w:asciiTheme="minorHAnsi" w:hAnsiTheme="minorHAnsi" w:cs="Arial" w:hint="cs"/>
          <w:i/>
          <w:iCs w:val="0"/>
          <w:rtl/>
          <w:lang w:bidi="ar-SA"/>
        </w:rPr>
        <w:t>وسوخوي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 xml:space="preserve">، </w:t>
      </w:r>
      <w:r w:rsidR="00886474">
        <w:rPr>
          <w:rFonts w:asciiTheme="minorHAnsi" w:hAnsiTheme="minorHAnsi" w:cs="Arial" w:hint="cs"/>
          <w:i/>
          <w:iCs w:val="0"/>
          <w:rtl/>
          <w:lang w:bidi="ar-SA"/>
        </w:rPr>
        <w:t>2021</w:t>
      </w:r>
      <w:r w:rsidR="004A75E7" w:rsidRPr="004A75E7">
        <w:rPr>
          <w:rFonts w:asciiTheme="minorHAnsi" w:hAnsiTheme="minorHAnsi" w:cs="Arial"/>
          <w:i/>
          <w:iCs w:val="0"/>
          <w:rtl/>
          <w:lang w:bidi="ar-SA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7CF69152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87C8A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08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A1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A0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6A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CA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CA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21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D7F"/>
    <w:multiLevelType w:val="hybridMultilevel"/>
    <w:tmpl w:val="7ECE0DC4"/>
    <w:lvl w:ilvl="0" w:tplc="B8DAF826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4EF20F7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AB27CB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A0A2E4DC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693A742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1592FB2A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1D98A08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19E0111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B2B8E08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52210C5A"/>
    <w:multiLevelType w:val="hybridMultilevel"/>
    <w:tmpl w:val="1F0214CA"/>
    <w:lvl w:ilvl="0" w:tplc="FA3A425E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A148D286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132825C4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3AD42EE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9C24BB4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19D44AB6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8BF4B85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28AEEB00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ECFCFD9E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577F64B2"/>
    <w:multiLevelType w:val="hybridMultilevel"/>
    <w:tmpl w:val="A3EC1298"/>
    <w:lvl w:ilvl="0" w:tplc="61EAC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8B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8F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C2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8C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AB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D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46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24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42247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A75E7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E70CF"/>
    <w:rsid w:val="006F0964"/>
    <w:rsid w:val="00701240"/>
    <w:rsid w:val="00715D7F"/>
    <w:rsid w:val="007172E4"/>
    <w:rsid w:val="00737090"/>
    <w:rsid w:val="007573F4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86474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3633"/>
    <w:rsid w:val="009A50FF"/>
    <w:rsid w:val="009B0FA7"/>
    <w:rsid w:val="009B2E19"/>
    <w:rsid w:val="009C6D0D"/>
    <w:rsid w:val="009E2FD2"/>
    <w:rsid w:val="009E7D05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658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62AB7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33022"/>
    <w:rsid w:val="00E44A34"/>
    <w:rsid w:val="00E52D98"/>
    <w:rsid w:val="00E52DAA"/>
    <w:rsid w:val="00E566ED"/>
    <w:rsid w:val="00E728E5"/>
    <w:rsid w:val="00E731F0"/>
    <w:rsid w:val="00E80E0F"/>
    <w:rsid w:val="00E84228"/>
    <w:rsid w:val="00EA129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2B81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9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semiHidden/>
    <w:rsid w:val="009A3633"/>
    <w:pPr>
      <w:bidi/>
      <w:spacing w:after="120" w:line="320" w:lineRule="exact"/>
      <w:ind w:left="-57" w:firstLine="283"/>
      <w:jc w:val="both"/>
    </w:pPr>
    <w:rPr>
      <w:rFonts w:ascii="Times New Roman" w:eastAsia="Times New Roman" w:hAnsi="Times New Roman"/>
      <w:iCs/>
      <w:sz w:val="20"/>
      <w:szCs w:val="20"/>
      <w:lang w:eastAsia="he-IL"/>
    </w:rPr>
  </w:style>
  <w:style w:type="character" w:customStyle="1" w:styleId="af1">
    <w:name w:val="טקסט הערת שוליים תו"/>
    <w:basedOn w:val="a0"/>
    <w:link w:val="af0"/>
    <w:semiHidden/>
    <w:rsid w:val="009A3633"/>
    <w:rPr>
      <w:rFonts w:ascii="Times New Roman" w:eastAsia="Times New Roman" w:hAnsi="Times New Roman" w:cs="David"/>
      <w:iCs/>
      <w:sz w:val="20"/>
      <w:szCs w:val="20"/>
      <w:lang w:eastAsia="he-IL"/>
    </w:rPr>
  </w:style>
  <w:style w:type="character" w:styleId="af2">
    <w:name w:val="footnote reference"/>
    <w:semiHidden/>
    <w:rsid w:val="009A3633"/>
    <w:rPr>
      <w:vertAlign w:val="superscript"/>
    </w:rPr>
  </w:style>
  <w:style w:type="paragraph" w:styleId="af3">
    <w:name w:val="Title"/>
    <w:basedOn w:val="a"/>
    <w:next w:val="a"/>
    <w:link w:val="af4"/>
    <w:qFormat/>
    <w:rsid w:val="009A3633"/>
    <w:pPr>
      <w:spacing w:after="0" w:line="240" w:lineRule="auto"/>
      <w:contextualSpacing/>
    </w:pPr>
    <w:rPr>
      <w:rFonts w:asciiTheme="majorHAnsi" w:eastAsiaTheme="majorEastAsia" w:hAnsiTheme="majorHAnsi" w:cstheme="majorBidi" w:hint="cs"/>
      <w:spacing w:val="-10"/>
      <w:kern w:val="28"/>
      <w:sz w:val="56"/>
      <w:szCs w:val="56"/>
      <w:lang w:eastAsia="he-IL"/>
    </w:rPr>
  </w:style>
  <w:style w:type="character" w:customStyle="1" w:styleId="af4">
    <w:name w:val="כותרת טקסט תו"/>
    <w:basedOn w:val="a0"/>
    <w:link w:val="af3"/>
    <w:rsid w:val="009A3633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paragraph" w:customStyle="1" w:styleId="af5">
    <w:name w:val="טקסט רץ"/>
    <w:basedOn w:val="a9"/>
    <w:qFormat/>
    <w:rsid w:val="009A3633"/>
    <w:pPr>
      <w:bidi/>
      <w:spacing w:after="0" w:line="240" w:lineRule="auto"/>
      <w:ind w:left="-7"/>
      <w:jc w:val="both"/>
    </w:pPr>
    <w:rPr>
      <w:rFonts w:ascii="Assistant" w:eastAsia="Times New Roman" w:hAnsi="Assistant" w:cs="Assistan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5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8.png"/><Relationship Id="rId11" Type="http://schemas.openxmlformats.org/officeDocument/2006/relationships/hyperlink" Target="https://www.boi.org.il/" TargetMode="External"/><Relationship Id="rId5" Type="http://schemas.openxmlformats.org/officeDocument/2006/relationships/image" Target="media/image7.png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6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1708</Characters>
  <Application>Microsoft Office Word</Application>
  <DocSecurity>4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2025-11-05T09:17:00Z</dcterms:created>
  <dcterms:modified xsi:type="dcterms:W3CDTF">2025-11-05T09:17:00Z</dcterms:modified>
</cp:coreProperties>
</file>