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51D41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304C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304C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304C48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304C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‏כ"ט טבת,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304C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‏18 ינואר,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5E28F6" w:rsidRDefault="00304C48" w:rsidP="005E28F6">
      <w:pPr>
        <w:bidi/>
        <w:spacing w:line="360" w:lineRule="auto"/>
        <w:rPr>
          <w:rFonts w:asciiTheme="minorHAnsi" w:hAnsiTheme="minorHAnsi" w:cstheme="minorHAnsi"/>
          <w:rtl/>
          <w:lang w:bidi="ar-SA"/>
        </w:rPr>
      </w:pPr>
      <w:r>
        <w:rPr>
          <w:rFonts w:asciiTheme="minorHAnsi" w:hAnsiTheme="minorHAnsi" w:cstheme="minorHAnsi" w:hint="cs"/>
          <w:rtl/>
          <w:lang w:bidi="ar-SA"/>
        </w:rPr>
        <w:t>بيان صحفي:</w:t>
      </w:r>
    </w:p>
    <w:p w:rsidR="0045754F" w:rsidRPr="0045754F" w:rsidRDefault="00304C48" w:rsidP="0045754F">
      <w:pPr>
        <w:pStyle w:val="p1"/>
        <w:bidi/>
        <w:jc w:val="center"/>
        <w:rPr>
          <w:rFonts w:ascii="Calibri" w:hAnsi="Calibri" w:cs="Calibri"/>
          <w:b/>
          <w:bCs/>
          <w:sz w:val="28"/>
          <w:szCs w:val="28"/>
        </w:rPr>
      </w:pPr>
      <w:r w:rsidRPr="0045754F">
        <w:rPr>
          <w:rFonts w:ascii="Calibri" w:hAnsi="Calibri" w:cs="Calibri"/>
          <w:b/>
          <w:bCs/>
          <w:sz w:val="28"/>
          <w:szCs w:val="28"/>
          <w:rtl/>
        </w:rPr>
        <w:t>يعلن بنك إسرائيل عن توسيع رمز التعريف المستخدم من قبل المؤسسات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البنكية</w:t>
      </w:r>
      <w:r w:rsidRPr="0045754F">
        <w:rPr>
          <w:rFonts w:ascii="Calibri" w:hAnsi="Calibri" w:cs="Calibri"/>
          <w:b/>
          <w:bCs/>
          <w:sz w:val="28"/>
          <w:szCs w:val="28"/>
          <w:rtl/>
        </w:rPr>
        <w:t xml:space="preserve"> والجهات غير البنكية للاتصال بأنظمة الدفع إلى ثلاث خانات، كخطوة إضافية لفتح الوصول إلى أنظمة الدفع</w:t>
      </w:r>
    </w:p>
    <w:p w:rsidR="00847581" w:rsidRPr="00847581" w:rsidRDefault="00847581" w:rsidP="00847581">
      <w:pPr>
        <w:bidi/>
        <w:spacing w:line="360" w:lineRule="auto"/>
        <w:ind w:left="-1135" w:right="-851"/>
        <w:jc w:val="both"/>
        <w:rPr>
          <w:rFonts w:asciiTheme="minorHAnsi" w:hAnsiTheme="minorHAnsi" w:cstheme="minorHAnsi"/>
          <w:color w:val="244061" w:themeColor="accent1" w:themeShade="80"/>
          <w:rtl/>
        </w:rPr>
      </w:pPr>
    </w:p>
    <w:p w:rsidR="0045754F" w:rsidRDefault="00304C48" w:rsidP="0045754F">
      <w:pPr>
        <w:bidi/>
        <w:spacing w:line="360" w:lineRule="auto"/>
        <w:ind w:left="-142"/>
        <w:jc w:val="both"/>
        <w:rPr>
          <w:rFonts w:ascii="Calibri" w:eastAsiaTheme="minorEastAsia" w:hAnsi="Calibri" w:cs="Calibri"/>
          <w:rtl/>
          <w:lang w:bidi="ar-SA"/>
        </w:rPr>
      </w:pPr>
      <w:r w:rsidRPr="0045754F">
        <w:rPr>
          <w:rFonts w:ascii="Calibri" w:hAnsi="Calibri" w:cs="Calibri"/>
          <w:rtl/>
          <w:lang w:bidi="ar-SA"/>
        </w:rPr>
        <w:t>قرر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بنك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إسرائيل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توسيع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رمز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التعريف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المستخدم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قبل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المؤسسات البنكية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والجهات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غير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البنكية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للاتصال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بأنظمة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الدفع</w:t>
      </w:r>
      <w:r w:rsidRPr="0045754F">
        <w:rPr>
          <w:rFonts w:ascii="Calibri" w:hAnsi="Calibri" w:cs="Calibri"/>
          <w:rtl/>
        </w:rPr>
        <w:t xml:space="preserve">. </w:t>
      </w:r>
      <w:r w:rsidRPr="0045754F">
        <w:rPr>
          <w:rFonts w:ascii="Calibri" w:hAnsi="Calibri" w:cs="Calibri"/>
          <w:rtl/>
          <w:lang w:bidi="ar-SA"/>
        </w:rPr>
        <w:t>الرمز،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الذي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كان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يُعرف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سابقًا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باسم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"رمز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البنك"،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يتكوّن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حاليًا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خانتين،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وسيتم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توسيعه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ليصبح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رمزًا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مكوّنًا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ثلاث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خانات</w:t>
      </w:r>
      <w:r w:rsidRPr="0045754F">
        <w:rPr>
          <w:rFonts w:ascii="Calibri" w:hAnsi="Calibri" w:cs="Calibri"/>
          <w:rtl/>
        </w:rPr>
        <w:t>.</w:t>
      </w:r>
    </w:p>
    <w:p w:rsidR="0045754F" w:rsidRDefault="00304C48" w:rsidP="0045754F">
      <w:pPr>
        <w:bidi/>
        <w:spacing w:line="360" w:lineRule="auto"/>
        <w:ind w:left="-142"/>
        <w:jc w:val="both"/>
        <w:rPr>
          <w:rFonts w:ascii="Calibri" w:eastAsiaTheme="minorEastAsia" w:hAnsi="Calibri" w:cs="Calibri"/>
          <w:rtl/>
          <w:lang w:bidi="ar-SA"/>
        </w:rPr>
      </w:pPr>
      <w:r w:rsidRPr="0045754F">
        <w:rPr>
          <w:rFonts w:ascii="Calibri" w:hAnsi="Calibri" w:cs="Calibri"/>
          <w:rtl/>
          <w:lang w:bidi="ar-SA"/>
        </w:rPr>
        <w:t>يُشترط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الاتصال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بأنظمة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الدفع،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بين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أمور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أخرى،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بتعريف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خلال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رمز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تعريف</w:t>
      </w:r>
      <w:r w:rsidRPr="0045754F">
        <w:rPr>
          <w:rFonts w:ascii="Calibri" w:hAnsi="Calibri" w:cs="Calibri"/>
          <w:rtl/>
        </w:rPr>
        <w:t xml:space="preserve">. </w:t>
      </w:r>
      <w:r w:rsidRPr="0045754F">
        <w:rPr>
          <w:rFonts w:ascii="Calibri" w:hAnsi="Calibri" w:cs="Calibri"/>
          <w:rtl/>
          <w:lang w:bidi="ar-SA"/>
        </w:rPr>
        <w:t>إن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توسيع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بنية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رمز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التعريف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سيسمح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بزيادة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عدد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القادرة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على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الاتصال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بأنظمة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الدفع</w:t>
      </w:r>
      <w:r w:rsidRPr="0045754F">
        <w:rPr>
          <w:rFonts w:ascii="Calibri" w:hAnsi="Calibri" w:cs="Calibri"/>
          <w:rtl/>
        </w:rPr>
        <w:t xml:space="preserve">. </w:t>
      </w:r>
      <w:r w:rsidRPr="0045754F">
        <w:rPr>
          <w:rFonts w:ascii="Calibri" w:hAnsi="Calibri" w:cs="Calibri"/>
          <w:rtl/>
          <w:lang w:bidi="ar-SA"/>
        </w:rPr>
        <w:t>وستُمكّن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هذه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الخطوة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غير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البنكية،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بما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ذلك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شركات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التكنولوجيا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المالية</w:t>
      </w:r>
      <w:r w:rsidRPr="0045754F">
        <w:rPr>
          <w:rFonts w:ascii="Calibri" w:hAnsi="Calibri" w:cs="Calibri"/>
          <w:rtl/>
        </w:rPr>
        <w:t xml:space="preserve"> (</w:t>
      </w:r>
      <w:r w:rsidRPr="0045754F">
        <w:rPr>
          <w:rFonts w:ascii="Calibri" w:hAnsi="Calibri" w:cs="Calibri"/>
          <w:rtl/>
          <w:lang w:bidi="ar-SA"/>
        </w:rPr>
        <w:t>فينتك</w:t>
      </w:r>
      <w:r w:rsidRPr="0045754F">
        <w:rPr>
          <w:rFonts w:ascii="Calibri" w:hAnsi="Calibri" w:cs="Calibri"/>
          <w:rtl/>
        </w:rPr>
        <w:t xml:space="preserve">) </w:t>
      </w:r>
      <w:r w:rsidRPr="0045754F">
        <w:rPr>
          <w:rFonts w:ascii="Calibri" w:hAnsi="Calibri" w:cs="Calibri"/>
          <w:rtl/>
          <w:lang w:bidi="ar-SA"/>
        </w:rPr>
        <w:t>المحلية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والدولية،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العمل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كلاعبين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مباشرين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أنظمة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الدفع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إلى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جانب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البنوك،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كما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ستتيح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لها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تقديم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مجموعة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واسعة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الخدمات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المالية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للجمهور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إسرائيل</w:t>
      </w:r>
      <w:r w:rsidRPr="0045754F">
        <w:rPr>
          <w:rFonts w:ascii="Calibri" w:hAnsi="Calibri" w:cs="Calibri"/>
          <w:rtl/>
        </w:rPr>
        <w:t xml:space="preserve">. </w:t>
      </w:r>
      <w:r w:rsidRPr="0045754F">
        <w:rPr>
          <w:rFonts w:ascii="Calibri" w:hAnsi="Calibri" w:cs="Calibri"/>
          <w:rtl/>
          <w:lang w:bidi="ar-SA"/>
        </w:rPr>
        <w:t>ويُعد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هذا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القرار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خطوة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إضافية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بنك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إسرائيل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جهوده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لتعزيز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الكفاءة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والمنافسة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أنظمة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الدفع</w:t>
      </w:r>
      <w:r w:rsidRPr="0045754F">
        <w:rPr>
          <w:rFonts w:ascii="Calibri" w:hAnsi="Calibri" w:cs="Calibri"/>
          <w:rtl/>
        </w:rPr>
        <w:t>.</w:t>
      </w:r>
    </w:p>
    <w:p w:rsidR="0045754F" w:rsidRPr="0045754F" w:rsidRDefault="00304C48" w:rsidP="0045754F">
      <w:pPr>
        <w:bidi/>
        <w:spacing w:line="360" w:lineRule="auto"/>
        <w:ind w:left="-142"/>
        <w:jc w:val="both"/>
        <w:rPr>
          <w:rFonts w:ascii="Calibri" w:hAnsi="Calibri" w:cs="Calibri"/>
          <w:rtl/>
          <w:lang w:bidi="ar-SA"/>
        </w:rPr>
      </w:pPr>
      <w:r w:rsidRPr="0045754F">
        <w:rPr>
          <w:rFonts w:ascii="Calibri" w:hAnsi="Calibri" w:cs="Calibri"/>
          <w:rtl/>
          <w:lang w:bidi="ar-SA"/>
        </w:rPr>
        <w:t>نظرًا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لأن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قرار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توسيع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بنية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رمز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التعريف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المتوقع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أن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تكون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له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آثار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جهازية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على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مجمل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الاقتصاد،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فقد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تم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اتخاذه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بعد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عملية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فحص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مطوّلة</w:t>
      </w:r>
      <w:r w:rsidRPr="0045754F">
        <w:rPr>
          <w:rFonts w:ascii="Calibri" w:hAnsi="Calibri" w:cs="Calibri"/>
          <w:rtl/>
        </w:rPr>
        <w:t xml:space="preserve">. </w:t>
      </w:r>
      <w:r w:rsidRPr="0045754F">
        <w:rPr>
          <w:rFonts w:ascii="Calibri" w:hAnsi="Calibri" w:cs="Calibri"/>
          <w:rtl/>
          <w:lang w:bidi="ar-SA"/>
        </w:rPr>
        <w:t>وخلال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هذه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العملية،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جرى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بحث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الحلول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الممكنة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وتحليل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تبعات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كل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بديل،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وذلك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بالتشاور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في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المنظومة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المالية،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وهيئات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تنظيمية،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وكذلك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عيّنة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من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أفقية (جهات عابرة للقطاعات)،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وجهات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دولية،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ومزوّدي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حلول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تكنولوجية،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وشركات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تجارية،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وغيرها</w:t>
      </w:r>
      <w:r w:rsidRPr="0045754F">
        <w:rPr>
          <w:rFonts w:ascii="Calibri" w:hAnsi="Calibri" w:cs="Calibri"/>
          <w:rtl/>
        </w:rPr>
        <w:t>.</w:t>
      </w:r>
    </w:p>
    <w:p w:rsidR="002B775F" w:rsidRDefault="00304C48" w:rsidP="002B775F">
      <w:pPr>
        <w:bidi/>
        <w:spacing w:line="360" w:lineRule="auto"/>
        <w:ind w:left="-142"/>
        <w:jc w:val="both"/>
        <w:rPr>
          <w:rFonts w:ascii="Calibri" w:eastAsiaTheme="minorEastAsia" w:hAnsi="Calibri" w:cs="Calibri"/>
          <w:rtl/>
          <w:lang w:bidi="ar-SA"/>
        </w:rPr>
      </w:pPr>
      <w:r w:rsidRPr="0045754F">
        <w:rPr>
          <w:rFonts w:ascii="Calibri" w:hAnsi="Calibri" w:cs="Calibri"/>
          <w:rtl/>
          <w:lang w:bidi="ar-SA"/>
        </w:rPr>
        <w:t>سيقوم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بنك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إسرائيل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خلال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عام</w:t>
      </w:r>
      <w:r w:rsidRPr="0045754F">
        <w:rPr>
          <w:rFonts w:ascii="Calibri" w:hAnsi="Calibri" w:cs="Calibri"/>
          <w:rtl/>
        </w:rPr>
        <w:t xml:space="preserve"> 2026 </w:t>
      </w:r>
      <w:r w:rsidRPr="0045754F">
        <w:rPr>
          <w:rFonts w:ascii="Calibri" w:hAnsi="Calibri" w:cs="Calibri"/>
          <w:rtl/>
          <w:lang w:bidi="ar-SA"/>
        </w:rPr>
        <w:t>بنشر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الجداول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الزمنية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لتطبيق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توسيع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رمز</w:t>
      </w:r>
      <w:r w:rsidRPr="0045754F">
        <w:rPr>
          <w:rFonts w:ascii="Calibri" w:hAnsi="Calibri" w:cs="Calibri"/>
          <w:rtl/>
        </w:rPr>
        <w:t xml:space="preserve"> </w:t>
      </w:r>
      <w:r w:rsidRPr="0045754F">
        <w:rPr>
          <w:rFonts w:ascii="Calibri" w:hAnsi="Calibri" w:cs="Calibri"/>
          <w:rtl/>
          <w:lang w:bidi="ar-SA"/>
        </w:rPr>
        <w:t>التعريف</w:t>
      </w:r>
      <w:r w:rsidRPr="0045754F">
        <w:rPr>
          <w:rFonts w:ascii="Calibri" w:hAnsi="Calibri" w:cs="Calibri"/>
          <w:rtl/>
        </w:rPr>
        <w:t>.</w:t>
      </w:r>
    </w:p>
    <w:p w:rsidR="002B775F" w:rsidRDefault="00304C48" w:rsidP="002B775F">
      <w:pPr>
        <w:bidi/>
        <w:spacing w:line="360" w:lineRule="auto"/>
        <w:ind w:left="-142"/>
        <w:jc w:val="both"/>
        <w:rPr>
          <w:rFonts w:ascii="Calibri" w:hAnsi="Calibri" w:cs="Calibri"/>
          <w:rtl/>
          <w:lang w:bidi="ar-SA"/>
        </w:rPr>
      </w:pPr>
      <w:r w:rsidRPr="002B775F">
        <w:rPr>
          <w:rFonts w:ascii="Calibri" w:hAnsi="Calibri" w:cs="Calibri"/>
          <w:b/>
          <w:bCs/>
          <w:rtl/>
          <w:lang w:bidi="ar-SA"/>
        </w:rPr>
        <w:t>مدير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قسم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أنظمة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الدفع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والمقاصة،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عوفر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غولان،</w:t>
      </w:r>
      <w:r w:rsidRPr="002B775F">
        <w:rPr>
          <w:rFonts w:ascii="Calibri" w:hAnsi="Calibri" w:cs="Calibri"/>
          <w:b/>
          <w:bCs/>
          <w:rtl/>
        </w:rPr>
        <w:t xml:space="preserve"> </w:t>
      </w:r>
      <w:r w:rsidRPr="002B775F">
        <w:rPr>
          <w:rFonts w:ascii="Calibri" w:hAnsi="Calibri" w:cs="Calibri"/>
          <w:b/>
          <w:bCs/>
          <w:rtl/>
          <w:lang w:bidi="ar-SA"/>
        </w:rPr>
        <w:t>قال:</w:t>
      </w:r>
      <w:r w:rsidRPr="002B775F">
        <w:rPr>
          <w:rFonts w:ascii="Calibri" w:hAnsi="Calibri" w:cs="Calibri"/>
          <w:rtl/>
          <w:lang w:bidi="ar-SA"/>
        </w:rPr>
        <w:t xml:space="preserve"> "إن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القرار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بتوسيع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رمز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التعريف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يعكس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رؤية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جهازية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بعيدة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المدى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لبنك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إسرائيل</w:t>
      </w:r>
      <w:r w:rsidRPr="002B775F">
        <w:rPr>
          <w:rFonts w:ascii="Calibri" w:hAnsi="Calibri" w:cs="Calibri"/>
          <w:rtl/>
        </w:rPr>
        <w:t xml:space="preserve">. </w:t>
      </w:r>
      <w:r w:rsidRPr="002B775F">
        <w:rPr>
          <w:rFonts w:ascii="Calibri" w:hAnsi="Calibri" w:cs="Calibri"/>
          <w:rtl/>
          <w:lang w:bidi="ar-SA"/>
        </w:rPr>
        <w:t>فهو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يدعم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دخول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الجهات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غير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البنكية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وشركات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التكنولوجيا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المالية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إلى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نشاط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مباشر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في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أنظمة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الدفع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إلى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جانب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البنوك،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وسيُمكّن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من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تطوير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خدمات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مالية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متقدمة،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تنافسية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ومبتكرة،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لما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فيه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مصلحة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المستهلكين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والمصالح التجارية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في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إسرائيل".</w:t>
      </w:r>
    </w:p>
    <w:p w:rsidR="0045754F" w:rsidRPr="002B775F" w:rsidRDefault="00304C48" w:rsidP="002B775F">
      <w:pPr>
        <w:bidi/>
        <w:spacing w:line="360" w:lineRule="auto"/>
        <w:ind w:left="-142"/>
        <w:jc w:val="both"/>
        <w:rPr>
          <w:rFonts w:ascii="Calibri" w:eastAsiaTheme="minorEastAsia" w:hAnsi="Calibri" w:cs="Calibri"/>
          <w:lang w:bidi="ar-SA"/>
        </w:rPr>
      </w:pPr>
      <w:r w:rsidRPr="002B775F">
        <w:rPr>
          <w:rFonts w:ascii="Calibri" w:hAnsi="Calibri" w:cs="Calibri"/>
          <w:rtl/>
          <w:lang w:bidi="ar-SA"/>
        </w:rPr>
        <w:t>للتوجّه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باستفسارات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وأسئلة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الجمهور،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يُرجى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التواصل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معنا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عبر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عنوان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البريد</w:t>
      </w:r>
      <w:r w:rsidRPr="002B775F">
        <w:rPr>
          <w:rFonts w:ascii="Calibri" w:hAnsi="Calibri" w:cs="Calibri"/>
          <w:rtl/>
        </w:rPr>
        <w:t xml:space="preserve"> </w:t>
      </w:r>
      <w:r w:rsidRPr="002B775F">
        <w:rPr>
          <w:rFonts w:ascii="Calibri" w:hAnsi="Calibri" w:cs="Calibri"/>
          <w:rtl/>
          <w:lang w:bidi="ar-SA"/>
        </w:rPr>
        <w:t>الإلكتروني</w:t>
      </w:r>
      <w:r w:rsidRPr="002B775F">
        <w:rPr>
          <w:rFonts w:ascii="Calibri" w:hAnsi="Calibri" w:cs="Calibri"/>
          <w:rtl/>
        </w:rPr>
        <w:t>:</w:t>
      </w:r>
    </w:p>
    <w:p w:rsidR="0045754F" w:rsidRPr="00304C48" w:rsidRDefault="00304C48" w:rsidP="0045754F">
      <w:pPr>
        <w:pStyle w:val="p3"/>
        <w:rPr>
          <w:rFonts w:ascii="Calibri" w:hAnsi="Calibri" w:cs="Calibri"/>
          <w:lang w:val="en-US"/>
        </w:rPr>
      </w:pPr>
      <w:hyperlink r:id="rId8" w:history="1">
        <w:r w:rsidRPr="00C33B4C">
          <w:rPr>
            <w:rStyle w:val="Hyperlink"/>
            <w:rFonts w:ascii="Calibri" w:hAnsi="Calibri" w:cs="Calibri"/>
          </w:rPr>
          <w:t>bank.kod@boi.org.il</w:t>
        </w:r>
      </w:hyperlink>
      <w:r>
        <w:rPr>
          <w:rFonts w:ascii="Calibri" w:hAnsi="Calibri" w:cs="Calibri"/>
          <w:lang w:val="en-US"/>
        </w:rPr>
        <w:t xml:space="preserve"> </w:t>
      </w:r>
      <w:bookmarkStart w:id="0" w:name="_GoBack"/>
      <w:bookmarkEnd w:id="0"/>
    </w:p>
    <w:p w:rsidR="0045754F" w:rsidRPr="005A5D7A" w:rsidRDefault="0045754F" w:rsidP="0045754F">
      <w:pPr>
        <w:bidi/>
        <w:spacing w:line="360" w:lineRule="auto"/>
        <w:ind w:left="-142"/>
        <w:rPr>
          <w:rFonts w:ascii="Arial" w:eastAsiaTheme="minorEastAsia" w:hAnsi="Arial"/>
          <w:lang w:bidi="ar-SA"/>
        </w:rPr>
      </w:pPr>
    </w:p>
    <w:p w:rsidR="003E7478" w:rsidRPr="007C40B7" w:rsidRDefault="003E7478" w:rsidP="00847581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7C40B7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C48">
      <w:pPr>
        <w:spacing w:after="0" w:line="240" w:lineRule="auto"/>
      </w:pPr>
      <w:r>
        <w:separator/>
      </w:r>
    </w:p>
  </w:endnote>
  <w:endnote w:type="continuationSeparator" w:id="0">
    <w:p w:rsidR="00000000" w:rsidRDefault="0030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304C48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304C48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56B3545A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304C48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14FFF8C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304C48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4ED75AEE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304C48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3CA69950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C48">
      <w:pPr>
        <w:spacing w:after="0" w:line="240" w:lineRule="auto"/>
      </w:pPr>
      <w:r>
        <w:separator/>
      </w:r>
    </w:p>
  </w:footnote>
  <w:footnote w:type="continuationSeparator" w:id="0">
    <w:p w:rsidR="00000000" w:rsidRDefault="0030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A68B45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B7B29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8C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2C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63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66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60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46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8E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48DEED1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34C256E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99CA81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7B84195C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23F853F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040D6B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ABBE0CC6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86A8821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A97A234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7D965AE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C9F8A86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EA78AF10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8AA2F3E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F0E1EB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2DA8099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CE9E1740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44B2E5E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BBE02C8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5CCA0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4C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CD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2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AF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84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D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89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69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E416D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47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0E1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1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2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E6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0F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8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6B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75F"/>
    <w:rsid w:val="002B7877"/>
    <w:rsid w:val="002C05A5"/>
    <w:rsid w:val="002C754F"/>
    <w:rsid w:val="002D7AA8"/>
    <w:rsid w:val="002E330F"/>
    <w:rsid w:val="002E5F96"/>
    <w:rsid w:val="002F62A1"/>
    <w:rsid w:val="00301F96"/>
    <w:rsid w:val="00304C48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5754F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A5D7A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47581"/>
    <w:rsid w:val="00850CC4"/>
    <w:rsid w:val="00851D41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3993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05FD8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79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581"/>
    <w:pPr>
      <w:keepNext/>
      <w:keepLines/>
      <w:bidi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character" w:customStyle="1" w:styleId="10">
    <w:name w:val="כותרת 1 תו"/>
    <w:basedOn w:val="a0"/>
    <w:link w:val="1"/>
    <w:uiPriority w:val="9"/>
    <w:rsid w:val="008475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rsid w:val="0045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" w:bidi="ar-SA"/>
    </w:rPr>
  </w:style>
  <w:style w:type="paragraph" w:customStyle="1" w:styleId="p2">
    <w:name w:val="p2"/>
    <w:basedOn w:val="a"/>
    <w:rsid w:val="0045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" w:bidi="ar-SA"/>
    </w:rPr>
  </w:style>
  <w:style w:type="paragraph" w:customStyle="1" w:styleId="p3">
    <w:name w:val="p3"/>
    <w:basedOn w:val="a"/>
    <w:rsid w:val="0045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.kod@boi.org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1633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2026-01-18T10:06:00Z</dcterms:created>
  <dcterms:modified xsi:type="dcterms:W3CDTF">2026-01-18T10:06:00Z</dcterms:modified>
</cp:coreProperties>
</file>