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B19" w:rsidRDefault="00B44B19" w:rsidP="00B44B19">
      <w:pPr>
        <w:bidi w:val="0"/>
        <w:jc w:val="center"/>
      </w:pPr>
      <w:r>
        <w:rPr>
          <w:rFonts w:cs="Arial" w:hint="cs"/>
          <w:noProof/>
          <w:rtl/>
        </w:rPr>
        <w:drawing>
          <wp:anchor distT="0" distB="0" distL="114300" distR="114300" simplePos="0" relativeHeight="251659264" behindDoc="0" locked="0" layoutInCell="1" allowOverlap="1" wp14:anchorId="2830D0A6" wp14:editId="73C13574">
            <wp:simplePos x="0" y="0"/>
            <wp:positionH relativeFrom="margin">
              <wp:align>center</wp:align>
            </wp:positionH>
            <wp:positionV relativeFrom="margin">
              <wp:posOffset>-424180</wp:posOffset>
            </wp:positionV>
            <wp:extent cx="1054800" cy="1054800"/>
            <wp:effectExtent l="0" t="0" r="0" b="0"/>
            <wp:wrapNone/>
            <wp:docPr id="4" name="Picture 1" descr="C:\Users\u17x\Desktop\תמונת לוגו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17x\Desktop\תמונת לוגו (jp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4800" cy="105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4B19" w:rsidRPr="00E8008F" w:rsidRDefault="00B44B19" w:rsidP="00B44B19">
      <w:pPr>
        <w:bidi w:val="0"/>
        <w:jc w:val="center"/>
        <w:rPr>
          <w:rtl/>
        </w:rPr>
      </w:pPr>
    </w:p>
    <w:p w:rsidR="00B44B19" w:rsidRDefault="00B44B19" w:rsidP="00B44B19">
      <w:pPr>
        <w:pStyle w:val="LetterheadBOI"/>
      </w:pPr>
    </w:p>
    <w:p w:rsidR="00B44B19" w:rsidRDefault="00B44B19" w:rsidP="00B44B19">
      <w:pPr>
        <w:pStyle w:val="LetterheadBOI"/>
      </w:pPr>
    </w:p>
    <w:p w:rsidR="00B44B19" w:rsidRPr="008E4D8E" w:rsidRDefault="00B44B19" w:rsidP="00B44B19">
      <w:pPr>
        <w:pStyle w:val="LetterheadBOI"/>
      </w:pPr>
      <w:r w:rsidRPr="008E4D8E">
        <w:t>BANK OF ISRAEL</w:t>
      </w:r>
    </w:p>
    <w:p w:rsidR="00B44B19" w:rsidRPr="008E4D8E" w:rsidRDefault="00B44B19" w:rsidP="00B44B19">
      <w:pPr>
        <w:pStyle w:val="Letterhead2"/>
        <w:rPr>
          <w:b/>
        </w:rPr>
      </w:pPr>
      <w:r w:rsidRPr="008E4D8E">
        <w:t>Office of the Spokesperson and Economic Information</w:t>
      </w:r>
    </w:p>
    <w:p w:rsidR="00B44B19" w:rsidRDefault="00B44B19" w:rsidP="00B44B19">
      <w:pPr>
        <w:bidi w:val="0"/>
        <w:jc w:val="center"/>
        <w:rPr>
          <w:rFonts w:cs="David"/>
          <w:b/>
          <w:bCs/>
          <w:sz w:val="26"/>
          <w:szCs w:val="26"/>
        </w:rPr>
      </w:pPr>
    </w:p>
    <w:p w:rsidR="00B44B19" w:rsidRDefault="00BD77E6" w:rsidP="00BD77E6">
      <w:pPr>
        <w:bidi w:val="0"/>
        <w:jc w:val="right"/>
      </w:pPr>
      <w:r>
        <w:t>April</w:t>
      </w:r>
      <w:r w:rsidR="00E96831">
        <w:t xml:space="preserve"> </w:t>
      </w:r>
      <w:r>
        <w:t>3</w:t>
      </w:r>
      <w:r w:rsidR="00AA5B2F">
        <w:t>, 202</w:t>
      </w:r>
      <w:r w:rsidR="00E96831">
        <w:t>3</w:t>
      </w:r>
    </w:p>
    <w:p w:rsidR="00B44B19" w:rsidRDefault="00B44B19" w:rsidP="008F2323">
      <w:pPr>
        <w:bidi w:val="0"/>
        <w:jc w:val="center"/>
        <w:rPr>
          <w:b/>
          <w:bCs/>
        </w:rPr>
      </w:pPr>
    </w:p>
    <w:p w:rsidR="00A21D01" w:rsidRPr="00B44B19" w:rsidRDefault="00A21D01" w:rsidP="00BD77E6">
      <w:pPr>
        <w:bidi w:val="0"/>
        <w:jc w:val="center"/>
        <w:rPr>
          <w:b/>
          <w:bCs/>
          <w:sz w:val="28"/>
          <w:szCs w:val="28"/>
        </w:rPr>
      </w:pPr>
      <w:r w:rsidRPr="00B44B19">
        <w:rPr>
          <w:b/>
          <w:bCs/>
          <w:sz w:val="28"/>
          <w:szCs w:val="28"/>
        </w:rPr>
        <w:t xml:space="preserve">Research Department Staff Forecast, </w:t>
      </w:r>
      <w:r w:rsidR="00BD77E6">
        <w:rPr>
          <w:b/>
          <w:bCs/>
          <w:sz w:val="28"/>
          <w:szCs w:val="28"/>
        </w:rPr>
        <w:t>April</w:t>
      </w:r>
      <w:r w:rsidR="00E96831">
        <w:rPr>
          <w:b/>
          <w:bCs/>
          <w:sz w:val="28"/>
          <w:szCs w:val="28"/>
        </w:rPr>
        <w:t xml:space="preserve"> 2023</w:t>
      </w:r>
    </w:p>
    <w:p w:rsidR="00252B31" w:rsidRDefault="00252B31" w:rsidP="007D70EA">
      <w:pPr>
        <w:bidi w:val="0"/>
        <w:spacing w:line="360" w:lineRule="auto"/>
        <w:jc w:val="both"/>
        <w:rPr>
          <w:b/>
          <w:bCs/>
        </w:rPr>
      </w:pPr>
    </w:p>
    <w:p w:rsidR="00A21D01" w:rsidRPr="00D60117" w:rsidRDefault="00A21D01" w:rsidP="00252B31">
      <w:pPr>
        <w:bidi w:val="0"/>
        <w:spacing w:line="360" w:lineRule="auto"/>
        <w:jc w:val="both"/>
      </w:pPr>
      <w:r w:rsidRPr="00D60117">
        <w:rPr>
          <w:b/>
          <w:bCs/>
        </w:rPr>
        <w:t>Abstract</w:t>
      </w:r>
    </w:p>
    <w:p w:rsidR="00BD77E6" w:rsidRDefault="00B766FF" w:rsidP="00472053">
      <w:pPr>
        <w:bidi w:val="0"/>
        <w:jc w:val="both"/>
      </w:pPr>
      <w:r>
        <w:t xml:space="preserve">This document presents the macroeconomic staff forecast formulated by the Bank of Israel Research Department in </w:t>
      </w:r>
      <w:r w:rsidR="00BD77E6">
        <w:t>April</w:t>
      </w:r>
      <w:r w:rsidR="00E96831">
        <w:t xml:space="preserve"> 2023</w:t>
      </w:r>
      <w:r w:rsidR="00A30AC5">
        <w:rPr>
          <w:rStyle w:val="ac"/>
        </w:rPr>
        <w:footnoteReference w:id="1"/>
      </w:r>
      <w:r>
        <w:t xml:space="preserve"> concerning the main macroeconomic variables—GDP, inflation, and the interest rate. </w:t>
      </w:r>
      <w:r w:rsidR="00BD77E6">
        <w:t>The compilation of the forecast during the current period involved significant uncertainty due to</w:t>
      </w:r>
      <w:r w:rsidR="00D52059">
        <w:t xml:space="preserve"> the</w:t>
      </w:r>
      <w:r w:rsidR="00BD77E6">
        <w:t xml:space="preserve"> legislati</w:t>
      </w:r>
      <w:r w:rsidR="00D52059">
        <w:t>ve process</w:t>
      </w:r>
      <w:r w:rsidR="00BD77E6">
        <w:t xml:space="preserve"> regarding the judicial system. This</w:t>
      </w:r>
      <w:r w:rsidR="00D52059">
        <w:t xml:space="preserve"> process</w:t>
      </w:r>
      <w:r w:rsidR="00BD77E6">
        <w:t xml:space="preserve"> may have a significant impact on economic and financial developments in the short term and in the longer term, and therefore on the monetary policy that will be necessary during the forecast period.  Since the results of the </w:t>
      </w:r>
      <w:r w:rsidR="00D52059">
        <w:t>l</w:t>
      </w:r>
      <w:bookmarkStart w:id="0" w:name="_GoBack"/>
      <w:bookmarkEnd w:id="0"/>
      <w:r w:rsidR="00D52059">
        <w:t>egislative</w:t>
      </w:r>
      <w:r w:rsidR="00BD77E6">
        <w:t xml:space="preserve"> process are unknown at the time of the forecast, </w:t>
      </w:r>
      <w:r w:rsidR="00891991">
        <w:t>we present</w:t>
      </w:r>
      <w:r w:rsidR="00BD77E6">
        <w:t xml:space="preserve"> analyses based on two potential situations: 1. The dispute regarding legislative changes concerning the judicial system is resolved in a way that does not </w:t>
      </w:r>
      <w:r w:rsidR="00D52059">
        <w:t>affect</w:t>
      </w:r>
      <w:r w:rsidR="00BD77E6">
        <w:t xml:space="preserve"> economic activity moving forward; and 2.</w:t>
      </w:r>
      <w:r w:rsidR="00472053">
        <w:t xml:space="preserve"> An analysis of the potential economic implications should the</w:t>
      </w:r>
      <w:r w:rsidR="00BD77E6">
        <w:t xml:space="preserve"> </w:t>
      </w:r>
      <w:r w:rsidR="00472053">
        <w:t>l</w:t>
      </w:r>
      <w:r w:rsidR="00BD77E6">
        <w:t xml:space="preserve">egislative and institutional changes </w:t>
      </w:r>
      <w:r w:rsidR="00472053">
        <w:t>be</w:t>
      </w:r>
      <w:r w:rsidR="00D52059">
        <w:t xml:space="preserve"> accompanied by</w:t>
      </w:r>
      <w:r w:rsidR="00BD77E6">
        <w:t xml:space="preserve"> an increase in the country’s risk premium, a negative impact to exports, and decline</w:t>
      </w:r>
      <w:r w:rsidR="00891991">
        <w:t>s</w:t>
      </w:r>
      <w:r w:rsidR="00BD77E6">
        <w:t xml:space="preserve"> in domestic investment and in demand for private consumption. </w:t>
      </w:r>
    </w:p>
    <w:p w:rsidR="00BD77E6" w:rsidRDefault="00BD77E6" w:rsidP="00BD77E6">
      <w:pPr>
        <w:bidi w:val="0"/>
        <w:jc w:val="both"/>
      </w:pPr>
    </w:p>
    <w:p w:rsidR="00B766FF" w:rsidRDefault="00BD77E6" w:rsidP="00BD77E6">
      <w:pPr>
        <w:bidi w:val="0"/>
        <w:jc w:val="both"/>
      </w:pPr>
      <w:r>
        <w:t>In relation to the first situation, we present a detailed forecast, similar to the forecasts normally presented each quarter.  In regard to the second situation, the range of possibilities is broad, both in terms of the legislative and institutional changes themselves and in terms of their economic implications.  We therefore present an illustration of the directions and scales of the effect on economic developments in the coming three years, under various assumptions regarding the intensity and duration of persistence of the changes and their effects.</w:t>
      </w:r>
    </w:p>
    <w:p w:rsidR="00BD77E6" w:rsidRDefault="00BD77E6" w:rsidP="00BD77E6">
      <w:pPr>
        <w:bidi w:val="0"/>
        <w:jc w:val="both"/>
      </w:pPr>
    </w:p>
    <w:p w:rsidR="008707BC" w:rsidRDefault="00BD77E6" w:rsidP="00D52059">
      <w:pPr>
        <w:bidi w:val="0"/>
        <w:jc w:val="both"/>
      </w:pPr>
      <w:r>
        <w:t xml:space="preserve">In a situation </w:t>
      </w:r>
      <w:r w:rsidR="00D52059">
        <w:t xml:space="preserve">where the dispute surrounding the legislative changes with regard to the judicial system is resolved in a way that does not affect economic activity going forward, </w:t>
      </w:r>
      <w:r w:rsidR="008707BC">
        <w:t xml:space="preserve">GDP is expected to grow by </w:t>
      </w:r>
      <w:r w:rsidR="00E96831">
        <w:t>2.</w:t>
      </w:r>
      <w:r>
        <w:t>5</w:t>
      </w:r>
      <w:r w:rsidR="008707BC">
        <w:t xml:space="preserve"> percent in 202</w:t>
      </w:r>
      <w:r w:rsidR="00E96831">
        <w:t>3</w:t>
      </w:r>
      <w:r w:rsidR="008707BC">
        <w:t xml:space="preserve">, and by </w:t>
      </w:r>
      <w:r w:rsidR="00C518BB">
        <w:t>3</w:t>
      </w:r>
      <w:r w:rsidR="00C55EB9">
        <w:t>.</w:t>
      </w:r>
      <w:r w:rsidR="00E96831">
        <w:t>5</w:t>
      </w:r>
      <w:r w:rsidR="008707BC">
        <w:t xml:space="preserve"> percent in 202</w:t>
      </w:r>
      <w:r w:rsidR="00E96831">
        <w:t>4</w:t>
      </w:r>
      <w:r w:rsidR="008707BC" w:rsidRPr="00BA6033">
        <w:t xml:space="preserve">.  </w:t>
      </w:r>
      <w:r w:rsidR="008707BC">
        <w:t xml:space="preserve">The inflation rate is expected to be </w:t>
      </w:r>
      <w:r w:rsidR="00E96831">
        <w:t>3.</w:t>
      </w:r>
      <w:r>
        <w:t>9</w:t>
      </w:r>
      <w:r w:rsidR="008707BC">
        <w:t xml:space="preserve"> percent</w:t>
      </w:r>
      <w:r>
        <w:t xml:space="preserve"> in 2023 and 2.3 percent in 2024</w:t>
      </w:r>
      <w:r w:rsidR="008707BC">
        <w:t>.</w:t>
      </w:r>
      <w:r>
        <w:t xml:space="preserve">  The inflation rate in the coming four quarters (the four quarters ending in the first quarter of 2024)</w:t>
      </w:r>
      <w:r w:rsidR="00E932DD">
        <w:t xml:space="preserve"> is expected to be 3.4 percent.  T</w:t>
      </w:r>
      <w:r w:rsidR="008707BC">
        <w:t xml:space="preserve">he monetary interest rate is expected to </w:t>
      </w:r>
      <w:r w:rsidR="00E932DD">
        <w:t>average 4.75</w:t>
      </w:r>
      <w:r w:rsidR="00C55EB9">
        <w:t xml:space="preserve"> </w:t>
      </w:r>
      <w:r w:rsidR="008707BC">
        <w:t>percent</w:t>
      </w:r>
      <w:r w:rsidR="00C518BB">
        <w:t xml:space="preserve"> </w:t>
      </w:r>
      <w:r w:rsidR="008707BC">
        <w:t xml:space="preserve">in the </w:t>
      </w:r>
      <w:r w:rsidR="00E96831">
        <w:t>f</w:t>
      </w:r>
      <w:r w:rsidR="00E932DD">
        <w:t>irst</w:t>
      </w:r>
      <w:r w:rsidR="008707BC">
        <w:t xml:space="preserve"> quarter of 202</w:t>
      </w:r>
      <w:r w:rsidR="00E932DD">
        <w:t>4</w:t>
      </w:r>
      <w:r w:rsidR="008707BC">
        <w:t xml:space="preserve">. </w:t>
      </w:r>
    </w:p>
    <w:p w:rsidR="00E932DD" w:rsidRDefault="00E932DD" w:rsidP="00E932DD">
      <w:pPr>
        <w:bidi w:val="0"/>
        <w:jc w:val="both"/>
      </w:pPr>
    </w:p>
    <w:p w:rsidR="00D52059" w:rsidRDefault="00D52059" w:rsidP="00D52059">
      <w:pPr>
        <w:bidi w:val="0"/>
        <w:jc w:val="both"/>
      </w:pPr>
      <w:r>
        <w:t>In view of the tremendous uncertainty in the second situation, in which there are significant legislative changes that have an impact on the economy, we present a broad range of the extent of the potential impact to GDP</w:t>
      </w:r>
      <w:r w:rsidR="00472053">
        <w:t xml:space="preserve"> and of the effect on other economic variables</w:t>
      </w:r>
      <w:r>
        <w:t xml:space="preserve">.  This range depends partly </w:t>
      </w:r>
      <w:r w:rsidR="00E932DD">
        <w:t xml:space="preserve">on the intensity and persistence of the changes </w:t>
      </w:r>
      <w:r>
        <w:t>i</w:t>
      </w:r>
      <w:r w:rsidR="00E932DD">
        <w:t>n the risk premium</w:t>
      </w:r>
      <w:r>
        <w:t>,</w:t>
      </w:r>
      <w:r w:rsidR="00E932DD">
        <w:t xml:space="preserve"> in the markets</w:t>
      </w:r>
      <w:r>
        <w:t>,</w:t>
      </w:r>
      <w:r w:rsidR="00E932DD">
        <w:t xml:space="preserve"> and in demand.</w:t>
      </w:r>
      <w:r>
        <w:t xml:space="preserve">  As such, the assessments presented below should be understood as indications of the scale of the impact. </w:t>
      </w:r>
    </w:p>
    <w:p w:rsidR="00D52059" w:rsidRDefault="00D52059" w:rsidP="00D52059">
      <w:pPr>
        <w:bidi w:val="0"/>
        <w:jc w:val="both"/>
      </w:pPr>
    </w:p>
    <w:p w:rsidR="00E932DD" w:rsidRDefault="00E932DD" w:rsidP="00472053">
      <w:pPr>
        <w:bidi w:val="0"/>
        <w:jc w:val="both"/>
      </w:pPr>
      <w:r>
        <w:lastRenderedPageBreak/>
        <w:t xml:space="preserve">According to the analysis presented below, </w:t>
      </w:r>
      <w:r w:rsidR="00D52059">
        <w:t xml:space="preserve">in a case where the impact of the changes subsides relatively quickly, </w:t>
      </w:r>
      <w:r>
        <w:t xml:space="preserve">the </w:t>
      </w:r>
      <w:r w:rsidR="00472053">
        <w:t>adverse effect</w:t>
      </w:r>
      <w:r>
        <w:t xml:space="preserve"> </w:t>
      </w:r>
      <w:r w:rsidR="00D52059">
        <w:t xml:space="preserve">is estimated at </w:t>
      </w:r>
      <w:r w:rsidR="00472053">
        <w:t xml:space="preserve">an annual average of </w:t>
      </w:r>
      <w:r w:rsidR="00D52059">
        <w:t>about 0.8 percent of GDP during the</w:t>
      </w:r>
      <w:r w:rsidR="00777384">
        <w:rPr>
          <w:rFonts w:hint="cs"/>
          <w:rtl/>
        </w:rPr>
        <w:t xml:space="preserve"> </w:t>
      </w:r>
      <w:r w:rsidR="00777384">
        <w:t>three-year</w:t>
      </w:r>
      <w:r w:rsidR="00D52059">
        <w:t xml:space="preserve"> period.  In a situation where the public (the financial markets, the real sector, and consumers)</w:t>
      </w:r>
      <w:r>
        <w:t xml:space="preserve"> </w:t>
      </w:r>
      <w:r w:rsidR="00D52059">
        <w:t xml:space="preserve">perceives that the effects of the legislative changes will persist, the impact to GDP is estimated at an </w:t>
      </w:r>
      <w:r w:rsidR="00777384">
        <w:t xml:space="preserve">annual </w:t>
      </w:r>
      <w:r w:rsidR="00D52059">
        <w:t>average of about 2.8 percent</w:t>
      </w:r>
      <w:r>
        <w:t xml:space="preserve"> of GDP</w:t>
      </w:r>
      <w:r w:rsidR="00472053">
        <w:t xml:space="preserve"> in each of the coming three years</w:t>
      </w:r>
      <w:r w:rsidR="00D52059">
        <w:t>.</w:t>
      </w:r>
    </w:p>
    <w:p w:rsidR="005D7D3B" w:rsidRDefault="00AE4B42" w:rsidP="00324468">
      <w:pPr>
        <w:bidi w:val="0"/>
        <w:jc w:val="both"/>
      </w:pPr>
      <w:r>
        <w:t xml:space="preserve"> </w:t>
      </w:r>
    </w:p>
    <w:p w:rsidR="008C5F5F" w:rsidRDefault="008C5F5F" w:rsidP="008C5F5F">
      <w:pPr>
        <w:bidi w:val="0"/>
        <w:jc w:val="both"/>
      </w:pPr>
    </w:p>
    <w:p w:rsidR="00A21D01" w:rsidRPr="00E932DD" w:rsidRDefault="00472053" w:rsidP="00472053">
      <w:pPr>
        <w:pStyle w:val="af3"/>
        <w:numPr>
          <w:ilvl w:val="0"/>
          <w:numId w:val="10"/>
        </w:numPr>
        <w:bidi w:val="0"/>
        <w:ind w:left="714" w:hanging="357"/>
        <w:jc w:val="both"/>
        <w:rPr>
          <w:b/>
          <w:bCs/>
        </w:rPr>
      </w:pPr>
      <w:r>
        <w:rPr>
          <w:b/>
          <w:bCs/>
        </w:rPr>
        <w:t xml:space="preserve">A situation in which the dispute surrounding the legislative changes regarding the judicial system is resolved in a </w:t>
      </w:r>
      <w:r w:rsidR="00D52059">
        <w:rPr>
          <w:b/>
          <w:bCs/>
        </w:rPr>
        <w:t>way that does not affect economic activity going forward</w:t>
      </w:r>
    </w:p>
    <w:p w:rsidR="00E932DD" w:rsidRDefault="00E932DD" w:rsidP="004675C1">
      <w:pPr>
        <w:bidi w:val="0"/>
        <w:jc w:val="both"/>
      </w:pPr>
    </w:p>
    <w:p w:rsidR="004675C1" w:rsidRPr="00D60117" w:rsidRDefault="004675C1" w:rsidP="00E932DD">
      <w:pPr>
        <w:bidi w:val="0"/>
        <w:jc w:val="both"/>
      </w:pPr>
      <w:r w:rsidRPr="0048372A">
        <w:t>The Bank of Israel Research Department compiles a staff forecast of macroeconomic developments on a quarterly basis. The staff forecast is based on several models, various data sources, and assessments based on economists’ judgment. The Bank’s DSGE (Dynamic Stochastic General Equilibrium) model developed in the Research Department—a structural model based on microeconomic foundations—plays a primary role in formulating the macroeconomic forecast.</w:t>
      </w:r>
      <w:r w:rsidRPr="0048372A">
        <w:rPr>
          <w:rStyle w:val="ac"/>
        </w:rPr>
        <w:footnoteReference w:id="2"/>
      </w:r>
      <w:r w:rsidRPr="0048372A">
        <w:t xml:space="preserve"> The model provides a framework for analyzing the forces that have an effect on the economy, and allows information from various sources to be combined into a macroeconomic forecast of real and nominal variables, with an internally consistent “economic story”.</w:t>
      </w:r>
    </w:p>
    <w:p w:rsidR="00A21D01" w:rsidRPr="00D60117" w:rsidRDefault="00A21D01" w:rsidP="00A21D01">
      <w:pPr>
        <w:bidi w:val="0"/>
        <w:jc w:val="both"/>
      </w:pPr>
    </w:p>
    <w:p w:rsidR="00A21D01" w:rsidRPr="00D60117" w:rsidRDefault="00A21D01" w:rsidP="00A21D01">
      <w:pPr>
        <w:numPr>
          <w:ilvl w:val="0"/>
          <w:numId w:val="9"/>
        </w:numPr>
        <w:bidi w:val="0"/>
        <w:spacing w:line="360" w:lineRule="auto"/>
        <w:ind w:left="357" w:hanging="357"/>
        <w:jc w:val="both"/>
        <w:rPr>
          <w:b/>
          <w:bCs/>
        </w:rPr>
      </w:pPr>
      <w:r w:rsidRPr="00D60117">
        <w:rPr>
          <w:b/>
          <w:bCs/>
        </w:rPr>
        <w:t>The global environment</w:t>
      </w:r>
    </w:p>
    <w:p w:rsidR="00D52059" w:rsidRDefault="00A21D01" w:rsidP="00D52059">
      <w:pPr>
        <w:bidi w:val="0"/>
        <w:jc w:val="both"/>
      </w:pPr>
      <w:r>
        <w:t>Our assessments of expected developments in the global economy are based mainly on projections by international institutions (the International Monetary Fund and the OECD) and foreign investment houses.</w:t>
      </w:r>
      <w:r w:rsidR="00C55EB9">
        <w:t xml:space="preserve">  Their growth forecasts for the advanced economies were revised </w:t>
      </w:r>
      <w:r w:rsidR="00E932DD">
        <w:t>slightly upward</w:t>
      </w:r>
      <w:r w:rsidR="00D52059">
        <w:t xml:space="preserve"> since the previous forecast published in January</w:t>
      </w:r>
      <w:r w:rsidR="00C55EB9">
        <w:t xml:space="preserve">.  </w:t>
      </w:r>
      <w:r w:rsidR="00D52059">
        <w:t>In keeping with the investment houses’ forecasts,</w:t>
      </w:r>
      <w:r>
        <w:t xml:space="preserve"> </w:t>
      </w:r>
      <w:r w:rsidR="00C55EB9">
        <w:t>w</w:t>
      </w:r>
      <w:r w:rsidR="00256A10">
        <w:t xml:space="preserve">e assume that GDP </w:t>
      </w:r>
      <w:r w:rsidR="00256A10" w:rsidRPr="00AD5C82">
        <w:t>growth in the advanced economies</w:t>
      </w:r>
      <w:r w:rsidR="00256A10">
        <w:t xml:space="preserve"> will </w:t>
      </w:r>
      <w:r w:rsidR="00C518BB">
        <w:t>be</w:t>
      </w:r>
      <w:r w:rsidR="00256A10">
        <w:t xml:space="preserve"> </w:t>
      </w:r>
      <w:r w:rsidR="00C55EB9">
        <w:t>0.</w:t>
      </w:r>
      <w:r w:rsidR="00E932DD">
        <w:t>6</w:t>
      </w:r>
      <w:r w:rsidR="00AD5C82">
        <w:t xml:space="preserve"> percent in </w:t>
      </w:r>
      <w:r w:rsidR="00256A10">
        <w:t>2023 (</w:t>
      </w:r>
      <w:r w:rsidR="00C55EB9">
        <w:t xml:space="preserve">compared with </w:t>
      </w:r>
      <w:r w:rsidR="00E96831">
        <w:t>0.</w:t>
      </w:r>
      <w:r w:rsidR="00E932DD">
        <w:t>1</w:t>
      </w:r>
      <w:r w:rsidR="00E96831">
        <w:t xml:space="preserve"> percent</w:t>
      </w:r>
      <w:r w:rsidR="00C55EB9">
        <w:t xml:space="preserve"> in the previous</w:t>
      </w:r>
      <w:r w:rsidR="00E3127C">
        <w:t xml:space="preserve"> </w:t>
      </w:r>
      <w:r w:rsidR="00C55EB9">
        <w:t>forecast)</w:t>
      </w:r>
      <w:r w:rsidR="006F0F8C">
        <w:t>, and 1.</w:t>
      </w:r>
      <w:r w:rsidR="00E932DD">
        <w:t>1</w:t>
      </w:r>
      <w:r w:rsidR="006F0F8C">
        <w:t xml:space="preserve"> percent in 2024</w:t>
      </w:r>
      <w:r w:rsidR="00E932DD">
        <w:t xml:space="preserve"> (compared with 1.4 percent in the previous forecast)</w:t>
      </w:r>
      <w:r w:rsidR="00256A10">
        <w:t xml:space="preserve">. </w:t>
      </w:r>
      <w:r w:rsidR="00E932DD">
        <w:t>World trade is expected to improve during the year in vi</w:t>
      </w:r>
      <w:r w:rsidR="00D52059">
        <w:t>e</w:t>
      </w:r>
      <w:r w:rsidR="00E932DD">
        <w:t>w of the reopening of China and improvement in the global production and supply chains, which have returned to their pre-COVID-19 levels (</w:t>
      </w:r>
      <w:r w:rsidR="00D52059">
        <w:t xml:space="preserve">based on the </w:t>
      </w:r>
      <w:r w:rsidR="00E932DD">
        <w:t>supply chain stress index</w:t>
      </w:r>
      <w:r w:rsidR="00D52059">
        <w:t>,</w:t>
      </w:r>
      <w:r w:rsidR="00E932DD">
        <w:t xml:space="preserve"> cost of shipping</w:t>
      </w:r>
      <w:r w:rsidR="00D52059">
        <w:t>,</w:t>
      </w:r>
      <w:r w:rsidR="00E932DD">
        <w:t xml:space="preserve"> and world trade).  However, the IMF lowered its world trade forecast </w:t>
      </w:r>
      <w:r w:rsidR="00D52059">
        <w:t>slightly in its publication at the end of January</w:t>
      </w:r>
      <w:r w:rsidR="00E932DD">
        <w:t xml:space="preserve">.  Its assessment </w:t>
      </w:r>
      <w:r w:rsidR="00D52059">
        <w:t>wa</w:t>
      </w:r>
      <w:r w:rsidR="00E932DD">
        <w:t>s that trade will grow by 2.4 percent</w:t>
      </w:r>
      <w:r w:rsidR="004B178F">
        <w:t xml:space="preserve"> in 2023 (compared with 2.5</w:t>
      </w:r>
      <w:r w:rsidR="00D52059">
        <w:t xml:space="preserve"> p</w:t>
      </w:r>
      <w:r w:rsidR="004B178F">
        <w:t>ercent in their previous forecast)</w:t>
      </w:r>
      <w:r w:rsidR="00D52059">
        <w:t xml:space="preserve"> and by 3.4 percent in 2024</w:t>
      </w:r>
      <w:r w:rsidR="004B178F">
        <w:t xml:space="preserve">.  It should be noted that these IMF forecasts have not yet included the negative implications of the problems in the US and other banking systems.  </w:t>
      </w:r>
    </w:p>
    <w:p w:rsidR="00D52059" w:rsidRDefault="00D52059" w:rsidP="00D52059">
      <w:pPr>
        <w:bidi w:val="0"/>
        <w:jc w:val="both"/>
      </w:pPr>
    </w:p>
    <w:p w:rsidR="00E932DD" w:rsidRDefault="00472053" w:rsidP="00472053">
      <w:pPr>
        <w:bidi w:val="0"/>
        <w:jc w:val="both"/>
      </w:pPr>
      <w:r>
        <w:t>S</w:t>
      </w:r>
      <w:r w:rsidR="004B178F">
        <w:t>ince the publication of the previous forecast</w:t>
      </w:r>
      <w:r>
        <w:t>,</w:t>
      </w:r>
      <w:r w:rsidR="004B178F">
        <w:t xml:space="preserve"> </w:t>
      </w:r>
      <w:r>
        <w:t>t</w:t>
      </w:r>
      <w:r w:rsidR="004B178F">
        <w:t xml:space="preserve">he price of oil declined by about </w:t>
      </w:r>
      <w:r>
        <w:t>6</w:t>
      </w:r>
      <w:r w:rsidR="004B178F">
        <w:t xml:space="preserve"> percent, and commodity prices (excluding energy) </w:t>
      </w:r>
      <w:r>
        <w:t>remained virtually unchanged</w:t>
      </w:r>
      <w:r w:rsidR="004B178F">
        <w:t xml:space="preserve">.  The recovery in the production and supply chains support a moderation of inflation on imported goods in many countries, including Israel.  In contrast, core inflation in a number of countries is persisting.  During this period, investment houses’ inflation forecasts for the G4 economies remain stable, and inflation in one year (in the first quarter of 2024) is expected to be 2.8 percent, similar to their assessments </w:t>
      </w:r>
      <w:r w:rsidR="00D52059">
        <w:t>in</w:t>
      </w:r>
      <w:r w:rsidR="004B178F">
        <w:t xml:space="preserve"> January.  However, the decline in expected inflation globally is accompanied by a higher interest rate path.  The investment houses’ forecast for the average interest rate in the G4 economies is 4.</w:t>
      </w:r>
      <w:r w:rsidR="00D52059">
        <w:t>1</w:t>
      </w:r>
      <w:r w:rsidR="004B178F">
        <w:t xml:space="preserve"> percent in the first quarter of 2024 (4.</w:t>
      </w:r>
      <w:r w:rsidR="00D52059">
        <w:t>65</w:t>
      </w:r>
      <w:r w:rsidR="004B178F">
        <w:t xml:space="preserve"> percent in the US and 4 percent in the eurozone), compared with 3.5 percent when the January forecast was published.</w:t>
      </w:r>
    </w:p>
    <w:p w:rsidR="007E443D" w:rsidRDefault="007E443D" w:rsidP="007E443D">
      <w:pPr>
        <w:bidi w:val="0"/>
        <w:jc w:val="both"/>
      </w:pPr>
    </w:p>
    <w:p w:rsidR="00A21D01" w:rsidRDefault="00A21D01" w:rsidP="0087184F">
      <w:pPr>
        <w:numPr>
          <w:ilvl w:val="0"/>
          <w:numId w:val="9"/>
        </w:numPr>
        <w:bidi w:val="0"/>
        <w:spacing w:line="360" w:lineRule="auto"/>
        <w:ind w:left="357" w:hanging="357"/>
        <w:jc w:val="both"/>
        <w:rPr>
          <w:b/>
          <w:bCs/>
        </w:rPr>
      </w:pPr>
      <w:r w:rsidRPr="00D66FAE">
        <w:rPr>
          <w:b/>
          <w:bCs/>
        </w:rPr>
        <w:t>Real activity in</w:t>
      </w:r>
      <w:r w:rsidRPr="00D60117">
        <w:rPr>
          <w:b/>
          <w:bCs/>
        </w:rPr>
        <w:t xml:space="preserve"> Israel</w:t>
      </w:r>
    </w:p>
    <w:p w:rsidR="00D52059" w:rsidRDefault="009A24EF" w:rsidP="00D52059">
      <w:pPr>
        <w:bidi w:val="0"/>
        <w:jc w:val="both"/>
      </w:pPr>
      <w:r>
        <w:rPr>
          <w:b/>
          <w:bCs/>
        </w:rPr>
        <w:t xml:space="preserve">GDP </w:t>
      </w:r>
      <w:r w:rsidR="00A379B9">
        <w:rPr>
          <w:b/>
          <w:bCs/>
        </w:rPr>
        <w:t>is expected to</w:t>
      </w:r>
      <w:r>
        <w:rPr>
          <w:b/>
          <w:bCs/>
        </w:rPr>
        <w:t xml:space="preserve"> increase by </w:t>
      </w:r>
      <w:r w:rsidR="006F0F8C">
        <w:rPr>
          <w:b/>
          <w:bCs/>
        </w:rPr>
        <w:t>2.</w:t>
      </w:r>
      <w:r w:rsidR="004B178F">
        <w:rPr>
          <w:b/>
          <w:bCs/>
        </w:rPr>
        <w:t>5</w:t>
      </w:r>
      <w:r w:rsidR="00763FAB" w:rsidRPr="00BA6033">
        <w:rPr>
          <w:b/>
          <w:bCs/>
        </w:rPr>
        <w:t xml:space="preserve"> percent in 2023</w:t>
      </w:r>
      <w:r w:rsidR="006F0F8C">
        <w:rPr>
          <w:b/>
          <w:bCs/>
        </w:rPr>
        <w:t xml:space="preserve"> and 3.5 percent in 2024</w:t>
      </w:r>
      <w:r w:rsidRPr="00BA6033">
        <w:t>.</w:t>
      </w:r>
      <w:r w:rsidR="00D52059">
        <w:t xml:space="preserve">  </w:t>
      </w:r>
      <w:r w:rsidR="00407E88">
        <w:t xml:space="preserve">  </w:t>
      </w:r>
    </w:p>
    <w:p w:rsidR="00D52059" w:rsidRDefault="00D52059" w:rsidP="00D52059">
      <w:pPr>
        <w:bidi w:val="0"/>
        <w:jc w:val="both"/>
      </w:pPr>
    </w:p>
    <w:p w:rsidR="00D52059" w:rsidRDefault="00D52059" w:rsidP="00D52059">
      <w:pPr>
        <w:bidi w:val="0"/>
        <w:jc w:val="both"/>
      </w:pPr>
      <w:r>
        <w:t>National Accounts data published since the previous forecast (for the fourth quarter of 2022) were higher than expected.  However, net of vehicle imports—purchases of which were brought forward for tax reasons</w:t>
      </w:r>
      <w:r>
        <w:rPr>
          <w:rStyle w:val="ac"/>
        </w:rPr>
        <w:footnoteReference w:id="3"/>
      </w:r>
      <w:r>
        <w:t xml:space="preserve">—fourth quarter growth was estimated at about 2.6 percent, similar to our January assessment (2.4 percent).  </w:t>
      </w:r>
    </w:p>
    <w:p w:rsidR="00D52059" w:rsidRDefault="00D52059" w:rsidP="00D52059">
      <w:pPr>
        <w:bidi w:val="0"/>
        <w:jc w:val="both"/>
      </w:pPr>
    </w:p>
    <w:p w:rsidR="004B178F" w:rsidRDefault="00130360" w:rsidP="00472053">
      <w:pPr>
        <w:bidi w:val="0"/>
        <w:jc w:val="both"/>
      </w:pPr>
      <w:r>
        <w:t xml:space="preserve">Despite some improvement in the global growth forecasts, the 2023 growth forecast for Israel was revised slightly downward.  </w:t>
      </w:r>
      <w:r w:rsidR="004B178F">
        <w:t xml:space="preserve">The </w:t>
      </w:r>
      <w:r>
        <w:t>expected</w:t>
      </w:r>
      <w:r w:rsidR="004B178F">
        <w:t xml:space="preserve"> growth rate </w:t>
      </w:r>
      <w:r>
        <w:t xml:space="preserve">in 2023 </w:t>
      </w:r>
      <w:r w:rsidR="004B178F">
        <w:t>is lower than the average growth rate of recent years (about 4.0 percent)</w:t>
      </w:r>
      <w:r>
        <w:t>, and is expected to be reflected in a decline of the GDP level to slightly below the trend</w:t>
      </w:r>
      <w:r w:rsidR="004B178F">
        <w:t xml:space="preserve">.  </w:t>
      </w:r>
      <w:r w:rsidR="00472053">
        <w:t>One reason</w:t>
      </w:r>
      <w:r w:rsidR="004B178F">
        <w:t xml:space="preserve"> for </w:t>
      </w:r>
      <w:r w:rsidR="00472053">
        <w:t>the slowdown in the growth rate is</w:t>
      </w:r>
      <w:r w:rsidR="004B178F">
        <w:t xml:space="preserve"> the expected slowdown in world trade (which weighs on Israeli exports)</w:t>
      </w:r>
      <w:r w:rsidR="00472053">
        <w:t>.</w:t>
      </w:r>
      <w:r w:rsidR="004B178F">
        <w:t xml:space="preserve"> </w:t>
      </w:r>
      <w:r w:rsidR="00472053">
        <w:t xml:space="preserve">Another reason is </w:t>
      </w:r>
      <w:r w:rsidR="004B178F">
        <w:t xml:space="preserve">the fact that at the starting point, the level of economic activity is high (as reflected in GDP being higher than the </w:t>
      </w:r>
      <w:proofErr w:type="spellStart"/>
      <w:r w:rsidR="004B178F">
        <w:t>precrisis</w:t>
      </w:r>
      <w:proofErr w:type="spellEnd"/>
      <w:r w:rsidR="004B178F">
        <w:t xml:space="preserve"> trend).  </w:t>
      </w:r>
      <w:r w:rsidR="00472053">
        <w:t>These reasons are relevant for the downward revision of the forecast.</w:t>
      </w:r>
    </w:p>
    <w:p w:rsidR="004B178F" w:rsidRDefault="004B178F" w:rsidP="004B178F">
      <w:pPr>
        <w:bidi w:val="0"/>
        <w:jc w:val="both"/>
      </w:pPr>
    </w:p>
    <w:p w:rsidR="003723AE" w:rsidRDefault="00130360" w:rsidP="00130360">
      <w:pPr>
        <w:bidi w:val="0"/>
        <w:jc w:val="both"/>
      </w:pPr>
      <w:r>
        <w:t>Another explanation is</w:t>
      </w:r>
      <w:r w:rsidR="003723AE">
        <w:t xml:space="preserve"> the upward revision in the expected interest rate that will be required in Israel and abroad in order to reduce inflation, which seems more sticky than in the past</w:t>
      </w:r>
      <w:r>
        <w:t xml:space="preserve"> and is expected to moderate demand for consumption and investments (more than our January assessment).</w:t>
      </w:r>
      <w:r w:rsidR="003723AE">
        <w:t xml:space="preserve">  There are also indications that the capital available to the business sector, and particularly to high-tech, is less than what we previously estimated.  This is reflected, for instance, in a decline in the capital raised for high-tech at the end of 2022, and </w:t>
      </w:r>
      <w:r>
        <w:t>there are</w:t>
      </w:r>
      <w:r w:rsidR="003723AE">
        <w:t xml:space="preserve"> initial indications of this in early 2023 as well</w:t>
      </w:r>
      <w:r>
        <w:t>.</w:t>
      </w:r>
      <w:r w:rsidR="003723AE">
        <w:t xml:space="preserve"> </w:t>
      </w:r>
      <w:r>
        <w:t>A</w:t>
      </w:r>
      <w:r w:rsidR="003723AE">
        <w:t>longside</w:t>
      </w:r>
      <w:r>
        <w:t xml:space="preserve"> this, there is</w:t>
      </w:r>
      <w:r w:rsidR="003723AE">
        <w:t xml:space="preserve"> a decline in building starts.  In addition, the continuation of inflation is contributing to some reduction in the forecast of private consumption—due to its moderating impact on real wages.</w:t>
      </w:r>
    </w:p>
    <w:p w:rsidR="003723AE" w:rsidRDefault="003723AE" w:rsidP="003723AE">
      <w:pPr>
        <w:bidi w:val="0"/>
        <w:jc w:val="both"/>
      </w:pPr>
    </w:p>
    <w:tbl>
      <w:tblPr>
        <w:tblStyle w:val="a7"/>
        <w:tblpPr w:leftFromText="180" w:rightFromText="180" w:vertAnchor="page" w:horzAnchor="margin" w:tblpXSpec="center" w:tblpY="9106"/>
        <w:tblW w:w="10631" w:type="dxa"/>
        <w:tblLayout w:type="fixed"/>
        <w:tblLook w:val="04A0" w:firstRow="1" w:lastRow="0" w:firstColumn="1" w:lastColumn="0" w:noHBand="0" w:noVBand="1"/>
      </w:tblPr>
      <w:tblGrid>
        <w:gridCol w:w="4680"/>
        <w:gridCol w:w="1269"/>
        <w:gridCol w:w="992"/>
        <w:gridCol w:w="1276"/>
        <w:gridCol w:w="992"/>
        <w:gridCol w:w="1422"/>
      </w:tblGrid>
      <w:tr w:rsidR="00130360" w:rsidRPr="007A4B17" w:rsidTr="00472053">
        <w:trPr>
          <w:trHeight w:val="200"/>
        </w:trPr>
        <w:tc>
          <w:tcPr>
            <w:tcW w:w="10631" w:type="dxa"/>
            <w:gridSpan w:val="6"/>
            <w:tcBorders>
              <w:top w:val="single" w:sz="4" w:space="0" w:color="auto"/>
              <w:bottom w:val="single" w:sz="4" w:space="0" w:color="auto"/>
              <w:right w:val="single" w:sz="4" w:space="0" w:color="auto"/>
            </w:tcBorders>
          </w:tcPr>
          <w:p w:rsidR="00130360" w:rsidRPr="00B13C35" w:rsidRDefault="00130360" w:rsidP="00472053">
            <w:pPr>
              <w:bidi w:val="0"/>
              <w:rPr>
                <w:b/>
                <w:bCs/>
                <w:color w:val="0070C0"/>
              </w:rPr>
            </w:pPr>
            <w:r w:rsidRPr="00B13C35">
              <w:rPr>
                <w:b/>
                <w:bCs/>
                <w:color w:val="0070C0"/>
              </w:rPr>
              <w:t>Table 1</w:t>
            </w:r>
          </w:p>
          <w:p w:rsidR="00130360" w:rsidRDefault="00130360" w:rsidP="00472053">
            <w:pPr>
              <w:bidi w:val="0"/>
              <w:rPr>
                <w:b/>
                <w:bCs/>
                <w:color w:val="0070C0"/>
              </w:rPr>
            </w:pPr>
            <w:r w:rsidRPr="00B13C35">
              <w:rPr>
                <w:b/>
                <w:bCs/>
                <w:color w:val="0070C0"/>
              </w:rPr>
              <w:t>Research Department Staff Forecast for 20</w:t>
            </w:r>
            <w:r>
              <w:rPr>
                <w:b/>
                <w:bCs/>
                <w:color w:val="0070C0"/>
              </w:rPr>
              <w:t>22–</w:t>
            </w:r>
            <w:r w:rsidRPr="00B13C35">
              <w:rPr>
                <w:b/>
                <w:bCs/>
                <w:color w:val="0070C0"/>
              </w:rPr>
              <w:t>20</w:t>
            </w:r>
            <w:r>
              <w:rPr>
                <w:b/>
                <w:bCs/>
                <w:color w:val="0070C0"/>
              </w:rPr>
              <w:t>24</w:t>
            </w:r>
          </w:p>
          <w:p w:rsidR="00130360" w:rsidRPr="00B13C35" w:rsidRDefault="00130360" w:rsidP="00472053">
            <w:pPr>
              <w:bidi w:val="0"/>
              <w:jc w:val="right"/>
              <w:rPr>
                <w:b/>
                <w:bCs/>
                <w:color w:val="0070C0"/>
              </w:rPr>
            </w:pPr>
            <w:r w:rsidRPr="00B13C35">
              <w:rPr>
                <w:color w:val="0070C0"/>
                <w:sz w:val="22"/>
                <w:szCs w:val="22"/>
              </w:rPr>
              <w:t xml:space="preserve">(rates of change, </w:t>
            </w:r>
            <w:proofErr w:type="spellStart"/>
            <w:r w:rsidRPr="00B13C35">
              <w:rPr>
                <w:color w:val="0070C0"/>
                <w:sz w:val="22"/>
                <w:szCs w:val="22"/>
              </w:rPr>
              <w:t>percent</w:t>
            </w:r>
            <w:r>
              <w:rPr>
                <w:color w:val="0070C0"/>
                <w:sz w:val="22"/>
                <w:szCs w:val="22"/>
                <w:vertAlign w:val="superscript"/>
              </w:rPr>
              <w:t>a</w:t>
            </w:r>
            <w:proofErr w:type="spellEnd"/>
            <w:r w:rsidRPr="00B13C35">
              <w:rPr>
                <w:color w:val="0070C0"/>
                <w:sz w:val="22"/>
                <w:szCs w:val="22"/>
              </w:rPr>
              <w:t>, unless stated otherwise</w:t>
            </w:r>
            <w:r>
              <w:rPr>
                <w:color w:val="0070C0"/>
                <w:sz w:val="22"/>
                <w:szCs w:val="22"/>
              </w:rPr>
              <w:t>)</w:t>
            </w:r>
          </w:p>
        </w:tc>
      </w:tr>
      <w:tr w:rsidR="00130360" w:rsidRPr="007A4B17" w:rsidTr="00472053">
        <w:tc>
          <w:tcPr>
            <w:tcW w:w="4680" w:type="dxa"/>
            <w:tcBorders>
              <w:bottom w:val="nil"/>
            </w:tcBorders>
            <w:vAlign w:val="bottom"/>
          </w:tcPr>
          <w:p w:rsidR="00130360" w:rsidRPr="00A50C95" w:rsidRDefault="00130360" w:rsidP="00472053">
            <w:pPr>
              <w:bidi w:val="0"/>
              <w:rPr>
                <w:sz w:val="20"/>
                <w:szCs w:val="20"/>
              </w:rPr>
            </w:pPr>
          </w:p>
        </w:tc>
        <w:tc>
          <w:tcPr>
            <w:tcW w:w="1269" w:type="dxa"/>
            <w:tcBorders>
              <w:bottom w:val="single" w:sz="4" w:space="0" w:color="auto"/>
              <w:right w:val="single" w:sz="4" w:space="0" w:color="auto"/>
            </w:tcBorders>
          </w:tcPr>
          <w:p w:rsidR="00130360" w:rsidRDefault="00130360" w:rsidP="00472053">
            <w:pPr>
              <w:bidi w:val="0"/>
              <w:jc w:val="center"/>
              <w:rPr>
                <w:rFonts w:asciiTheme="majorBidi" w:hAnsiTheme="majorBidi" w:cstheme="majorBidi"/>
                <w:sz w:val="20"/>
                <w:szCs w:val="20"/>
              </w:rPr>
            </w:pPr>
            <w:r>
              <w:rPr>
                <w:rFonts w:asciiTheme="majorBidi" w:hAnsiTheme="majorBidi" w:cstheme="majorBidi"/>
                <w:sz w:val="20"/>
                <w:szCs w:val="20"/>
              </w:rPr>
              <w:t>2022</w:t>
            </w:r>
          </w:p>
          <w:p w:rsidR="00130360" w:rsidRPr="00A50C95" w:rsidRDefault="00130360" w:rsidP="00472053">
            <w:pPr>
              <w:bidi w:val="0"/>
              <w:jc w:val="center"/>
              <w:rPr>
                <w:rFonts w:asciiTheme="majorBidi" w:hAnsiTheme="majorBidi" w:cstheme="majorBidi"/>
                <w:sz w:val="20"/>
                <w:szCs w:val="20"/>
              </w:rPr>
            </w:pPr>
            <w:r>
              <w:rPr>
                <w:rFonts w:asciiTheme="majorBidi" w:hAnsiTheme="majorBidi" w:cstheme="majorBidi"/>
                <w:sz w:val="20"/>
                <w:szCs w:val="20"/>
              </w:rPr>
              <w:t>Actual</w:t>
            </w:r>
          </w:p>
        </w:tc>
        <w:tc>
          <w:tcPr>
            <w:tcW w:w="992" w:type="dxa"/>
            <w:tcBorders>
              <w:left w:val="single" w:sz="4" w:space="0" w:color="auto"/>
              <w:bottom w:val="nil"/>
              <w:right w:val="nil"/>
            </w:tcBorders>
            <w:shd w:val="clear" w:color="auto" w:fill="auto"/>
          </w:tcPr>
          <w:p w:rsidR="00130360" w:rsidRPr="003C7BEB" w:rsidRDefault="00130360" w:rsidP="00472053">
            <w:pPr>
              <w:bidi w:val="0"/>
              <w:jc w:val="center"/>
              <w:rPr>
                <w:rFonts w:asciiTheme="majorBidi" w:hAnsiTheme="majorBidi" w:cstheme="majorBidi"/>
                <w:sz w:val="20"/>
                <w:szCs w:val="20"/>
              </w:rPr>
            </w:pPr>
            <w:r>
              <w:rPr>
                <w:rFonts w:asciiTheme="majorBidi" w:hAnsiTheme="majorBidi" w:cstheme="majorBidi"/>
                <w:sz w:val="20"/>
                <w:szCs w:val="20"/>
              </w:rPr>
              <w:t>Forecast for 2023</w:t>
            </w:r>
          </w:p>
        </w:tc>
        <w:tc>
          <w:tcPr>
            <w:tcW w:w="1276" w:type="dxa"/>
            <w:tcBorders>
              <w:left w:val="nil"/>
              <w:bottom w:val="single" w:sz="4" w:space="0" w:color="auto"/>
              <w:right w:val="single" w:sz="4" w:space="0" w:color="auto"/>
            </w:tcBorders>
            <w:shd w:val="clear" w:color="auto" w:fill="C6D9F1" w:themeFill="text2" w:themeFillTint="33"/>
          </w:tcPr>
          <w:p w:rsidR="00130360" w:rsidRPr="003C7BEB" w:rsidRDefault="00130360" w:rsidP="00472053">
            <w:pPr>
              <w:bidi w:val="0"/>
              <w:jc w:val="center"/>
              <w:rPr>
                <w:rFonts w:asciiTheme="majorBidi" w:hAnsiTheme="majorBidi" w:cstheme="majorBidi"/>
                <w:sz w:val="20"/>
                <w:szCs w:val="20"/>
              </w:rPr>
            </w:pPr>
            <w:r>
              <w:rPr>
                <w:rFonts w:asciiTheme="majorBidi" w:hAnsiTheme="majorBidi" w:cstheme="majorBidi"/>
                <w:sz w:val="20"/>
                <w:szCs w:val="20"/>
              </w:rPr>
              <w:t>Change from the  January forecast</w:t>
            </w:r>
          </w:p>
        </w:tc>
        <w:tc>
          <w:tcPr>
            <w:tcW w:w="992" w:type="dxa"/>
            <w:tcBorders>
              <w:left w:val="single" w:sz="4" w:space="0" w:color="auto"/>
              <w:bottom w:val="nil"/>
              <w:right w:val="nil"/>
            </w:tcBorders>
            <w:shd w:val="clear" w:color="auto" w:fill="auto"/>
          </w:tcPr>
          <w:p w:rsidR="00130360" w:rsidRPr="003C7BEB" w:rsidRDefault="00130360" w:rsidP="00472053">
            <w:pPr>
              <w:bidi w:val="0"/>
              <w:jc w:val="center"/>
              <w:rPr>
                <w:rFonts w:asciiTheme="majorBidi" w:hAnsiTheme="majorBidi" w:cstheme="majorBidi"/>
                <w:sz w:val="20"/>
                <w:szCs w:val="20"/>
              </w:rPr>
            </w:pPr>
            <w:r>
              <w:rPr>
                <w:rFonts w:asciiTheme="majorBidi" w:hAnsiTheme="majorBidi" w:cstheme="majorBidi"/>
                <w:sz w:val="20"/>
                <w:szCs w:val="20"/>
              </w:rPr>
              <w:t>Forecast for 2024</w:t>
            </w:r>
          </w:p>
        </w:tc>
        <w:tc>
          <w:tcPr>
            <w:tcW w:w="1422" w:type="dxa"/>
            <w:tcBorders>
              <w:left w:val="nil"/>
              <w:bottom w:val="single" w:sz="4" w:space="0" w:color="auto"/>
              <w:right w:val="single" w:sz="4" w:space="0" w:color="auto"/>
            </w:tcBorders>
            <w:shd w:val="clear" w:color="auto" w:fill="C6D9F1" w:themeFill="text2" w:themeFillTint="33"/>
          </w:tcPr>
          <w:p w:rsidR="00130360" w:rsidRDefault="00130360" w:rsidP="00472053">
            <w:pPr>
              <w:bidi w:val="0"/>
              <w:jc w:val="center"/>
              <w:rPr>
                <w:rFonts w:asciiTheme="majorBidi" w:hAnsiTheme="majorBidi" w:cstheme="majorBidi"/>
                <w:sz w:val="20"/>
                <w:szCs w:val="20"/>
              </w:rPr>
            </w:pPr>
            <w:r>
              <w:rPr>
                <w:rFonts w:asciiTheme="majorBidi" w:hAnsiTheme="majorBidi" w:cstheme="majorBidi"/>
                <w:sz w:val="20"/>
                <w:szCs w:val="20"/>
              </w:rPr>
              <w:t>Change from the  January forecast</w:t>
            </w:r>
          </w:p>
        </w:tc>
      </w:tr>
      <w:tr w:rsidR="00130360" w:rsidRPr="007A4B17" w:rsidTr="00472053">
        <w:tc>
          <w:tcPr>
            <w:tcW w:w="4680" w:type="dxa"/>
            <w:tcBorders>
              <w:bottom w:val="single" w:sz="4" w:space="0" w:color="auto"/>
            </w:tcBorders>
            <w:vAlign w:val="bottom"/>
          </w:tcPr>
          <w:p w:rsidR="00130360" w:rsidRPr="00404ACD" w:rsidRDefault="00130360" w:rsidP="00472053">
            <w:pPr>
              <w:bidi w:val="0"/>
              <w:rPr>
                <w:b/>
                <w:bCs/>
                <w:sz w:val="20"/>
                <w:szCs w:val="20"/>
              </w:rPr>
            </w:pPr>
            <w:r w:rsidRPr="00404ACD">
              <w:rPr>
                <w:b/>
                <w:bCs/>
                <w:sz w:val="20"/>
                <w:szCs w:val="20"/>
              </w:rPr>
              <w:t>GDP</w:t>
            </w:r>
          </w:p>
        </w:tc>
        <w:tc>
          <w:tcPr>
            <w:tcW w:w="1269" w:type="dxa"/>
            <w:tcBorders>
              <w:bottom w:val="single" w:sz="4" w:space="0" w:color="auto"/>
              <w:right w:val="single" w:sz="4" w:space="0" w:color="auto"/>
            </w:tcBorders>
          </w:tcPr>
          <w:p w:rsidR="00130360" w:rsidRPr="00404ACD" w:rsidRDefault="00130360" w:rsidP="00472053">
            <w:pPr>
              <w:bidi w:val="0"/>
              <w:jc w:val="center"/>
              <w:rPr>
                <w:rFonts w:asciiTheme="majorBidi" w:hAnsiTheme="majorBidi" w:cstheme="majorBidi"/>
                <w:b/>
                <w:bCs/>
                <w:sz w:val="20"/>
                <w:szCs w:val="20"/>
              </w:rPr>
            </w:pPr>
            <w:r>
              <w:rPr>
                <w:rFonts w:asciiTheme="majorBidi" w:hAnsiTheme="majorBidi" w:cstheme="majorBidi"/>
                <w:b/>
                <w:bCs/>
                <w:sz w:val="20"/>
                <w:szCs w:val="20"/>
              </w:rPr>
              <w:t>6.4</w:t>
            </w:r>
          </w:p>
        </w:tc>
        <w:tc>
          <w:tcPr>
            <w:tcW w:w="992" w:type="dxa"/>
            <w:tcBorders>
              <w:left w:val="single" w:sz="4" w:space="0" w:color="auto"/>
              <w:bottom w:val="single" w:sz="4" w:space="0" w:color="auto"/>
              <w:right w:val="nil"/>
            </w:tcBorders>
            <w:shd w:val="clear" w:color="auto" w:fill="auto"/>
          </w:tcPr>
          <w:p w:rsidR="00130360" w:rsidRPr="00404ACD" w:rsidRDefault="00130360" w:rsidP="00472053">
            <w:pPr>
              <w:bidi w:val="0"/>
              <w:jc w:val="center"/>
              <w:rPr>
                <w:rFonts w:asciiTheme="majorBidi" w:hAnsiTheme="majorBidi" w:cstheme="majorBidi"/>
                <w:b/>
                <w:bCs/>
                <w:sz w:val="20"/>
                <w:szCs w:val="20"/>
              </w:rPr>
            </w:pPr>
            <w:r>
              <w:rPr>
                <w:rFonts w:asciiTheme="majorBidi" w:hAnsiTheme="majorBidi" w:cstheme="majorBidi"/>
                <w:b/>
                <w:bCs/>
                <w:sz w:val="20"/>
                <w:szCs w:val="20"/>
              </w:rPr>
              <w:t>2.5</w:t>
            </w:r>
          </w:p>
        </w:tc>
        <w:tc>
          <w:tcPr>
            <w:tcW w:w="1276" w:type="dxa"/>
            <w:tcBorders>
              <w:left w:val="nil"/>
              <w:bottom w:val="single" w:sz="4" w:space="0" w:color="auto"/>
              <w:right w:val="single" w:sz="4" w:space="0" w:color="auto"/>
            </w:tcBorders>
            <w:shd w:val="clear" w:color="auto" w:fill="C6D9F1" w:themeFill="text2" w:themeFillTint="33"/>
            <w:vAlign w:val="bottom"/>
          </w:tcPr>
          <w:p w:rsidR="00130360" w:rsidRPr="00404ACD" w:rsidRDefault="00130360" w:rsidP="00472053">
            <w:pPr>
              <w:bidi w:val="0"/>
              <w:jc w:val="center"/>
              <w:rPr>
                <w:rFonts w:asciiTheme="majorBidi" w:hAnsiTheme="majorBidi" w:cstheme="majorBidi"/>
                <w:b/>
                <w:bCs/>
                <w:sz w:val="20"/>
                <w:szCs w:val="20"/>
              </w:rPr>
            </w:pPr>
            <w:r>
              <w:rPr>
                <w:rFonts w:asciiTheme="majorBidi" w:hAnsiTheme="majorBidi" w:cstheme="majorBidi"/>
                <w:b/>
                <w:bCs/>
                <w:sz w:val="20"/>
                <w:szCs w:val="20"/>
              </w:rPr>
              <w:t>-0.3</w:t>
            </w:r>
          </w:p>
        </w:tc>
        <w:tc>
          <w:tcPr>
            <w:tcW w:w="992" w:type="dxa"/>
            <w:tcBorders>
              <w:left w:val="single" w:sz="4" w:space="0" w:color="auto"/>
              <w:bottom w:val="single" w:sz="4" w:space="0" w:color="auto"/>
              <w:right w:val="nil"/>
            </w:tcBorders>
            <w:shd w:val="clear" w:color="auto" w:fill="auto"/>
          </w:tcPr>
          <w:p w:rsidR="00130360" w:rsidRPr="00404ACD" w:rsidRDefault="00130360" w:rsidP="00472053">
            <w:pPr>
              <w:bidi w:val="0"/>
              <w:jc w:val="center"/>
              <w:rPr>
                <w:rFonts w:asciiTheme="majorBidi" w:hAnsiTheme="majorBidi" w:cstheme="majorBidi"/>
                <w:b/>
                <w:bCs/>
                <w:sz w:val="20"/>
                <w:szCs w:val="20"/>
              </w:rPr>
            </w:pPr>
            <w:r>
              <w:rPr>
                <w:rFonts w:asciiTheme="majorBidi" w:hAnsiTheme="majorBidi" w:cstheme="majorBidi"/>
                <w:b/>
                <w:bCs/>
                <w:sz w:val="20"/>
                <w:szCs w:val="20"/>
              </w:rPr>
              <w:t>3.5</w:t>
            </w:r>
          </w:p>
        </w:tc>
        <w:tc>
          <w:tcPr>
            <w:tcW w:w="1422" w:type="dxa"/>
            <w:tcBorders>
              <w:left w:val="nil"/>
              <w:bottom w:val="single" w:sz="4" w:space="0" w:color="auto"/>
              <w:right w:val="single" w:sz="4" w:space="0" w:color="auto"/>
            </w:tcBorders>
            <w:shd w:val="clear" w:color="auto" w:fill="C6D9F1" w:themeFill="text2" w:themeFillTint="33"/>
          </w:tcPr>
          <w:p w:rsidR="00130360" w:rsidRDefault="00130360" w:rsidP="00472053">
            <w:pPr>
              <w:bidi w:val="0"/>
              <w:jc w:val="center"/>
              <w:rPr>
                <w:rFonts w:asciiTheme="majorBidi" w:hAnsiTheme="majorBidi" w:cstheme="majorBidi"/>
                <w:b/>
                <w:bCs/>
                <w:sz w:val="20"/>
                <w:szCs w:val="20"/>
              </w:rPr>
            </w:pPr>
            <w:r>
              <w:rPr>
                <w:rFonts w:asciiTheme="majorBidi" w:hAnsiTheme="majorBidi" w:cstheme="majorBidi"/>
                <w:b/>
                <w:bCs/>
                <w:sz w:val="20"/>
                <w:szCs w:val="20"/>
              </w:rPr>
              <w:t>0.0</w:t>
            </w:r>
          </w:p>
        </w:tc>
      </w:tr>
      <w:tr w:rsidR="00130360" w:rsidRPr="007A4B17" w:rsidTr="00472053">
        <w:tc>
          <w:tcPr>
            <w:tcW w:w="4680" w:type="dxa"/>
            <w:tcBorders>
              <w:bottom w:val="single" w:sz="4" w:space="0" w:color="auto"/>
            </w:tcBorders>
            <w:vAlign w:val="bottom"/>
          </w:tcPr>
          <w:p w:rsidR="00130360" w:rsidRPr="00A50C95" w:rsidRDefault="00130360" w:rsidP="00472053">
            <w:pPr>
              <w:bidi w:val="0"/>
              <w:rPr>
                <w:sz w:val="20"/>
                <w:szCs w:val="20"/>
              </w:rPr>
            </w:pPr>
            <w:r>
              <w:rPr>
                <w:sz w:val="20"/>
                <w:szCs w:val="20"/>
              </w:rPr>
              <w:t>Private consumption</w:t>
            </w:r>
          </w:p>
        </w:tc>
        <w:tc>
          <w:tcPr>
            <w:tcW w:w="1269" w:type="dxa"/>
            <w:tcBorders>
              <w:bottom w:val="single" w:sz="4" w:space="0" w:color="auto"/>
              <w:right w:val="single" w:sz="4" w:space="0" w:color="auto"/>
            </w:tcBorders>
          </w:tcPr>
          <w:p w:rsidR="00130360" w:rsidRDefault="00130360" w:rsidP="00472053">
            <w:pPr>
              <w:bidi w:val="0"/>
              <w:jc w:val="center"/>
              <w:rPr>
                <w:rFonts w:asciiTheme="majorBidi" w:hAnsiTheme="majorBidi" w:cstheme="majorBidi"/>
                <w:sz w:val="20"/>
                <w:szCs w:val="20"/>
              </w:rPr>
            </w:pPr>
            <w:r>
              <w:rPr>
                <w:rFonts w:asciiTheme="majorBidi" w:hAnsiTheme="majorBidi" w:cstheme="majorBidi"/>
                <w:sz w:val="20"/>
                <w:szCs w:val="20"/>
              </w:rPr>
              <w:t>7.7</w:t>
            </w:r>
          </w:p>
        </w:tc>
        <w:tc>
          <w:tcPr>
            <w:tcW w:w="992" w:type="dxa"/>
            <w:tcBorders>
              <w:left w:val="single" w:sz="4" w:space="0" w:color="auto"/>
              <w:bottom w:val="single" w:sz="4" w:space="0" w:color="auto"/>
              <w:right w:val="nil"/>
            </w:tcBorders>
            <w:shd w:val="clear" w:color="auto" w:fill="auto"/>
          </w:tcPr>
          <w:p w:rsidR="00130360" w:rsidRDefault="00130360" w:rsidP="00472053">
            <w:pPr>
              <w:bidi w:val="0"/>
              <w:jc w:val="center"/>
              <w:rPr>
                <w:rFonts w:asciiTheme="majorBidi" w:hAnsiTheme="majorBidi" w:cstheme="majorBidi"/>
                <w:sz w:val="20"/>
                <w:szCs w:val="20"/>
              </w:rPr>
            </w:pPr>
            <w:r>
              <w:rPr>
                <w:rFonts w:asciiTheme="majorBidi" w:hAnsiTheme="majorBidi" w:cstheme="majorBidi"/>
                <w:sz w:val="20"/>
                <w:szCs w:val="20"/>
              </w:rPr>
              <w:t>3.5</w:t>
            </w:r>
          </w:p>
        </w:tc>
        <w:tc>
          <w:tcPr>
            <w:tcW w:w="1276" w:type="dxa"/>
            <w:tcBorders>
              <w:left w:val="nil"/>
              <w:bottom w:val="single" w:sz="4" w:space="0" w:color="auto"/>
              <w:right w:val="single" w:sz="4" w:space="0" w:color="auto"/>
            </w:tcBorders>
            <w:shd w:val="clear" w:color="auto" w:fill="C6D9F1" w:themeFill="text2" w:themeFillTint="33"/>
            <w:vAlign w:val="bottom"/>
          </w:tcPr>
          <w:p w:rsidR="00130360" w:rsidRDefault="00130360" w:rsidP="00472053">
            <w:pPr>
              <w:bidi w:val="0"/>
              <w:jc w:val="center"/>
              <w:rPr>
                <w:rFonts w:asciiTheme="majorBidi" w:hAnsiTheme="majorBidi" w:cstheme="majorBidi"/>
                <w:sz w:val="20"/>
                <w:szCs w:val="20"/>
              </w:rPr>
            </w:pPr>
            <w:r>
              <w:rPr>
                <w:rFonts w:asciiTheme="majorBidi" w:hAnsiTheme="majorBidi" w:cstheme="majorBidi"/>
                <w:sz w:val="20"/>
                <w:szCs w:val="20"/>
              </w:rPr>
              <w:t>-0.5</w:t>
            </w:r>
          </w:p>
        </w:tc>
        <w:tc>
          <w:tcPr>
            <w:tcW w:w="992" w:type="dxa"/>
            <w:tcBorders>
              <w:left w:val="single" w:sz="4" w:space="0" w:color="auto"/>
              <w:bottom w:val="single" w:sz="4" w:space="0" w:color="auto"/>
              <w:right w:val="nil"/>
            </w:tcBorders>
            <w:shd w:val="clear" w:color="auto" w:fill="auto"/>
          </w:tcPr>
          <w:p w:rsidR="00130360" w:rsidRDefault="00130360" w:rsidP="00472053">
            <w:pPr>
              <w:bidi w:val="0"/>
              <w:jc w:val="center"/>
              <w:rPr>
                <w:rFonts w:asciiTheme="majorBidi" w:hAnsiTheme="majorBidi" w:cstheme="majorBidi"/>
                <w:sz w:val="20"/>
                <w:szCs w:val="20"/>
              </w:rPr>
            </w:pPr>
            <w:r>
              <w:rPr>
                <w:rFonts w:asciiTheme="majorBidi" w:hAnsiTheme="majorBidi" w:cstheme="majorBidi"/>
                <w:sz w:val="20"/>
                <w:szCs w:val="20"/>
              </w:rPr>
              <w:t>4.5</w:t>
            </w:r>
          </w:p>
        </w:tc>
        <w:tc>
          <w:tcPr>
            <w:tcW w:w="1422" w:type="dxa"/>
            <w:tcBorders>
              <w:left w:val="nil"/>
              <w:bottom w:val="single" w:sz="4" w:space="0" w:color="auto"/>
              <w:right w:val="single" w:sz="4" w:space="0" w:color="auto"/>
            </w:tcBorders>
            <w:shd w:val="clear" w:color="auto" w:fill="C6D9F1" w:themeFill="text2" w:themeFillTint="33"/>
          </w:tcPr>
          <w:p w:rsidR="00130360" w:rsidRDefault="00130360" w:rsidP="00472053">
            <w:pPr>
              <w:bidi w:val="0"/>
              <w:jc w:val="center"/>
              <w:rPr>
                <w:rFonts w:asciiTheme="majorBidi" w:hAnsiTheme="majorBidi" w:cstheme="majorBidi"/>
                <w:sz w:val="20"/>
                <w:szCs w:val="20"/>
              </w:rPr>
            </w:pPr>
            <w:r>
              <w:rPr>
                <w:rFonts w:asciiTheme="majorBidi" w:hAnsiTheme="majorBidi" w:cstheme="majorBidi"/>
                <w:sz w:val="20"/>
                <w:szCs w:val="20"/>
              </w:rPr>
              <w:t>0.0</w:t>
            </w:r>
          </w:p>
        </w:tc>
      </w:tr>
      <w:tr w:rsidR="00130360" w:rsidRPr="007A4B17" w:rsidTr="00472053">
        <w:tc>
          <w:tcPr>
            <w:tcW w:w="4680" w:type="dxa"/>
            <w:tcBorders>
              <w:bottom w:val="single" w:sz="4" w:space="0" w:color="auto"/>
            </w:tcBorders>
            <w:vAlign w:val="bottom"/>
          </w:tcPr>
          <w:p w:rsidR="00130360" w:rsidRDefault="00130360" w:rsidP="00472053">
            <w:pPr>
              <w:bidi w:val="0"/>
              <w:rPr>
                <w:sz w:val="20"/>
                <w:szCs w:val="20"/>
              </w:rPr>
            </w:pPr>
            <w:r>
              <w:rPr>
                <w:sz w:val="20"/>
                <w:szCs w:val="20"/>
              </w:rPr>
              <w:t>Fixed capital formation (excl. ships and aircraft)</w:t>
            </w:r>
          </w:p>
        </w:tc>
        <w:tc>
          <w:tcPr>
            <w:tcW w:w="1269" w:type="dxa"/>
            <w:tcBorders>
              <w:bottom w:val="single" w:sz="4" w:space="0" w:color="auto"/>
              <w:right w:val="single" w:sz="4" w:space="0" w:color="auto"/>
            </w:tcBorders>
          </w:tcPr>
          <w:p w:rsidR="00130360" w:rsidRDefault="00130360" w:rsidP="00472053">
            <w:pPr>
              <w:bidi w:val="0"/>
              <w:jc w:val="center"/>
              <w:rPr>
                <w:rFonts w:asciiTheme="majorBidi" w:hAnsiTheme="majorBidi" w:cstheme="majorBidi"/>
                <w:sz w:val="20"/>
                <w:szCs w:val="20"/>
              </w:rPr>
            </w:pPr>
            <w:r>
              <w:rPr>
                <w:rFonts w:asciiTheme="majorBidi" w:hAnsiTheme="majorBidi" w:cstheme="majorBidi"/>
                <w:sz w:val="20"/>
                <w:szCs w:val="20"/>
              </w:rPr>
              <w:t>9.7</w:t>
            </w:r>
          </w:p>
        </w:tc>
        <w:tc>
          <w:tcPr>
            <w:tcW w:w="992" w:type="dxa"/>
            <w:tcBorders>
              <w:left w:val="single" w:sz="4" w:space="0" w:color="auto"/>
              <w:bottom w:val="single" w:sz="4" w:space="0" w:color="auto"/>
              <w:right w:val="nil"/>
            </w:tcBorders>
            <w:shd w:val="clear" w:color="auto" w:fill="auto"/>
          </w:tcPr>
          <w:p w:rsidR="00130360" w:rsidRDefault="00130360" w:rsidP="00472053">
            <w:pPr>
              <w:bidi w:val="0"/>
              <w:jc w:val="center"/>
              <w:rPr>
                <w:rFonts w:asciiTheme="majorBidi" w:hAnsiTheme="majorBidi" w:cstheme="majorBidi"/>
                <w:sz w:val="20"/>
                <w:szCs w:val="20"/>
              </w:rPr>
            </w:pPr>
            <w:r>
              <w:rPr>
                <w:rFonts w:asciiTheme="majorBidi" w:hAnsiTheme="majorBidi" w:cstheme="majorBidi"/>
                <w:sz w:val="20"/>
                <w:szCs w:val="20"/>
              </w:rPr>
              <w:t>1.5</w:t>
            </w:r>
          </w:p>
        </w:tc>
        <w:tc>
          <w:tcPr>
            <w:tcW w:w="1276" w:type="dxa"/>
            <w:tcBorders>
              <w:left w:val="nil"/>
              <w:bottom w:val="single" w:sz="4" w:space="0" w:color="auto"/>
              <w:right w:val="single" w:sz="4" w:space="0" w:color="auto"/>
            </w:tcBorders>
            <w:shd w:val="clear" w:color="auto" w:fill="C6D9F1" w:themeFill="text2" w:themeFillTint="33"/>
            <w:vAlign w:val="bottom"/>
          </w:tcPr>
          <w:p w:rsidR="00130360" w:rsidRDefault="00130360" w:rsidP="00472053">
            <w:pPr>
              <w:bidi w:val="0"/>
              <w:jc w:val="center"/>
              <w:rPr>
                <w:rFonts w:asciiTheme="majorBidi" w:hAnsiTheme="majorBidi" w:cstheme="majorBidi"/>
                <w:sz w:val="20"/>
                <w:szCs w:val="20"/>
              </w:rPr>
            </w:pPr>
            <w:r>
              <w:rPr>
                <w:rFonts w:asciiTheme="majorBidi" w:hAnsiTheme="majorBidi" w:cstheme="majorBidi"/>
                <w:sz w:val="20"/>
                <w:szCs w:val="20"/>
              </w:rPr>
              <w:t>-1.5</w:t>
            </w:r>
          </w:p>
        </w:tc>
        <w:tc>
          <w:tcPr>
            <w:tcW w:w="992" w:type="dxa"/>
            <w:tcBorders>
              <w:left w:val="single" w:sz="4" w:space="0" w:color="auto"/>
              <w:bottom w:val="single" w:sz="4" w:space="0" w:color="auto"/>
              <w:right w:val="nil"/>
            </w:tcBorders>
            <w:shd w:val="clear" w:color="auto" w:fill="auto"/>
          </w:tcPr>
          <w:p w:rsidR="00130360" w:rsidRDefault="00130360" w:rsidP="00472053">
            <w:pPr>
              <w:bidi w:val="0"/>
              <w:jc w:val="center"/>
              <w:rPr>
                <w:rFonts w:asciiTheme="majorBidi" w:hAnsiTheme="majorBidi" w:cstheme="majorBidi"/>
                <w:sz w:val="20"/>
                <w:szCs w:val="20"/>
              </w:rPr>
            </w:pPr>
            <w:r>
              <w:rPr>
                <w:rFonts w:asciiTheme="majorBidi" w:hAnsiTheme="majorBidi" w:cstheme="majorBidi"/>
                <w:sz w:val="20"/>
                <w:szCs w:val="20"/>
              </w:rPr>
              <w:t>4.5</w:t>
            </w:r>
          </w:p>
        </w:tc>
        <w:tc>
          <w:tcPr>
            <w:tcW w:w="1422" w:type="dxa"/>
            <w:tcBorders>
              <w:left w:val="nil"/>
              <w:bottom w:val="single" w:sz="4" w:space="0" w:color="auto"/>
              <w:right w:val="single" w:sz="4" w:space="0" w:color="auto"/>
            </w:tcBorders>
            <w:shd w:val="clear" w:color="auto" w:fill="C6D9F1" w:themeFill="text2" w:themeFillTint="33"/>
          </w:tcPr>
          <w:p w:rsidR="00130360" w:rsidRDefault="00130360" w:rsidP="00472053">
            <w:pPr>
              <w:bidi w:val="0"/>
              <w:jc w:val="center"/>
              <w:rPr>
                <w:rFonts w:asciiTheme="majorBidi" w:hAnsiTheme="majorBidi" w:cstheme="majorBidi"/>
                <w:sz w:val="20"/>
                <w:szCs w:val="20"/>
              </w:rPr>
            </w:pPr>
            <w:r>
              <w:rPr>
                <w:rFonts w:asciiTheme="majorBidi" w:hAnsiTheme="majorBidi" w:cstheme="majorBidi"/>
                <w:sz w:val="20"/>
                <w:szCs w:val="20"/>
              </w:rPr>
              <w:t>0.5</w:t>
            </w:r>
          </w:p>
        </w:tc>
      </w:tr>
      <w:tr w:rsidR="00130360" w:rsidRPr="007A4B17" w:rsidTr="00472053">
        <w:tc>
          <w:tcPr>
            <w:tcW w:w="4680" w:type="dxa"/>
            <w:tcBorders>
              <w:bottom w:val="single" w:sz="4" w:space="0" w:color="auto"/>
            </w:tcBorders>
            <w:vAlign w:val="bottom"/>
          </w:tcPr>
          <w:p w:rsidR="00130360" w:rsidRDefault="00130360" w:rsidP="00472053">
            <w:pPr>
              <w:bidi w:val="0"/>
              <w:rPr>
                <w:sz w:val="20"/>
                <w:szCs w:val="20"/>
              </w:rPr>
            </w:pPr>
            <w:r>
              <w:rPr>
                <w:sz w:val="20"/>
                <w:szCs w:val="20"/>
              </w:rPr>
              <w:t>Public consumption (excl. defense imports)</w:t>
            </w:r>
          </w:p>
        </w:tc>
        <w:tc>
          <w:tcPr>
            <w:tcW w:w="1269" w:type="dxa"/>
            <w:tcBorders>
              <w:bottom w:val="single" w:sz="4" w:space="0" w:color="auto"/>
              <w:right w:val="single" w:sz="4" w:space="0" w:color="auto"/>
            </w:tcBorders>
          </w:tcPr>
          <w:p w:rsidR="00130360" w:rsidRDefault="00130360" w:rsidP="00472053">
            <w:pPr>
              <w:bidi w:val="0"/>
              <w:jc w:val="center"/>
              <w:rPr>
                <w:rFonts w:asciiTheme="majorBidi" w:hAnsiTheme="majorBidi" w:cstheme="majorBidi"/>
                <w:sz w:val="20"/>
                <w:szCs w:val="20"/>
              </w:rPr>
            </w:pPr>
            <w:r>
              <w:rPr>
                <w:rFonts w:asciiTheme="majorBidi" w:hAnsiTheme="majorBidi" w:cstheme="majorBidi"/>
                <w:sz w:val="20"/>
                <w:szCs w:val="20"/>
              </w:rPr>
              <w:t>1.0</w:t>
            </w:r>
          </w:p>
        </w:tc>
        <w:tc>
          <w:tcPr>
            <w:tcW w:w="992" w:type="dxa"/>
            <w:tcBorders>
              <w:left w:val="single" w:sz="4" w:space="0" w:color="auto"/>
              <w:bottom w:val="single" w:sz="4" w:space="0" w:color="auto"/>
              <w:right w:val="nil"/>
            </w:tcBorders>
            <w:shd w:val="clear" w:color="auto" w:fill="auto"/>
          </w:tcPr>
          <w:p w:rsidR="00130360" w:rsidRDefault="00130360" w:rsidP="00472053">
            <w:pPr>
              <w:bidi w:val="0"/>
              <w:jc w:val="center"/>
              <w:rPr>
                <w:rFonts w:asciiTheme="majorBidi" w:hAnsiTheme="majorBidi" w:cstheme="majorBidi"/>
                <w:sz w:val="20"/>
                <w:szCs w:val="20"/>
              </w:rPr>
            </w:pPr>
            <w:r>
              <w:rPr>
                <w:rFonts w:asciiTheme="majorBidi" w:hAnsiTheme="majorBidi" w:cstheme="majorBidi"/>
                <w:sz w:val="20"/>
                <w:szCs w:val="20"/>
              </w:rPr>
              <w:t>2.0</w:t>
            </w:r>
          </w:p>
        </w:tc>
        <w:tc>
          <w:tcPr>
            <w:tcW w:w="1276" w:type="dxa"/>
            <w:tcBorders>
              <w:left w:val="nil"/>
              <w:bottom w:val="single" w:sz="4" w:space="0" w:color="auto"/>
              <w:right w:val="single" w:sz="4" w:space="0" w:color="auto"/>
            </w:tcBorders>
            <w:shd w:val="clear" w:color="auto" w:fill="C6D9F1" w:themeFill="text2" w:themeFillTint="33"/>
            <w:vAlign w:val="bottom"/>
          </w:tcPr>
          <w:p w:rsidR="00130360" w:rsidRDefault="00130360" w:rsidP="00472053">
            <w:pPr>
              <w:bidi w:val="0"/>
              <w:jc w:val="center"/>
              <w:rPr>
                <w:rFonts w:asciiTheme="majorBidi" w:hAnsiTheme="majorBidi" w:cstheme="majorBidi"/>
                <w:sz w:val="20"/>
                <w:szCs w:val="20"/>
              </w:rPr>
            </w:pPr>
            <w:r>
              <w:rPr>
                <w:rFonts w:asciiTheme="majorBidi" w:hAnsiTheme="majorBidi" w:cstheme="majorBidi"/>
                <w:sz w:val="20"/>
                <w:szCs w:val="20"/>
              </w:rPr>
              <w:t>-1.5</w:t>
            </w:r>
          </w:p>
        </w:tc>
        <w:tc>
          <w:tcPr>
            <w:tcW w:w="992" w:type="dxa"/>
            <w:tcBorders>
              <w:left w:val="single" w:sz="4" w:space="0" w:color="auto"/>
              <w:bottom w:val="single" w:sz="4" w:space="0" w:color="auto"/>
              <w:right w:val="nil"/>
            </w:tcBorders>
            <w:shd w:val="clear" w:color="auto" w:fill="auto"/>
          </w:tcPr>
          <w:p w:rsidR="00130360" w:rsidRDefault="00130360" w:rsidP="00472053">
            <w:pPr>
              <w:bidi w:val="0"/>
              <w:jc w:val="center"/>
              <w:rPr>
                <w:rFonts w:asciiTheme="majorBidi" w:hAnsiTheme="majorBidi" w:cstheme="majorBidi"/>
                <w:sz w:val="20"/>
                <w:szCs w:val="20"/>
              </w:rPr>
            </w:pPr>
            <w:r>
              <w:rPr>
                <w:rFonts w:asciiTheme="majorBidi" w:hAnsiTheme="majorBidi" w:cstheme="majorBidi"/>
                <w:sz w:val="20"/>
                <w:szCs w:val="20"/>
              </w:rPr>
              <w:t>3.0</w:t>
            </w:r>
          </w:p>
        </w:tc>
        <w:tc>
          <w:tcPr>
            <w:tcW w:w="1422" w:type="dxa"/>
            <w:tcBorders>
              <w:left w:val="nil"/>
              <w:bottom w:val="single" w:sz="4" w:space="0" w:color="auto"/>
              <w:right w:val="single" w:sz="4" w:space="0" w:color="auto"/>
            </w:tcBorders>
            <w:shd w:val="clear" w:color="auto" w:fill="C6D9F1" w:themeFill="text2" w:themeFillTint="33"/>
          </w:tcPr>
          <w:p w:rsidR="00130360" w:rsidRDefault="00130360" w:rsidP="00472053">
            <w:pPr>
              <w:bidi w:val="0"/>
              <w:jc w:val="center"/>
              <w:rPr>
                <w:rFonts w:asciiTheme="majorBidi" w:hAnsiTheme="majorBidi" w:cstheme="majorBidi"/>
                <w:sz w:val="20"/>
                <w:szCs w:val="20"/>
              </w:rPr>
            </w:pPr>
            <w:r>
              <w:rPr>
                <w:rFonts w:asciiTheme="majorBidi" w:hAnsiTheme="majorBidi" w:cstheme="majorBidi"/>
                <w:sz w:val="20"/>
                <w:szCs w:val="20"/>
              </w:rPr>
              <w:t>0.0</w:t>
            </w:r>
          </w:p>
        </w:tc>
      </w:tr>
      <w:tr w:rsidR="00130360" w:rsidRPr="007A4B17" w:rsidTr="00472053">
        <w:tc>
          <w:tcPr>
            <w:tcW w:w="4680" w:type="dxa"/>
            <w:tcBorders>
              <w:bottom w:val="single" w:sz="4" w:space="0" w:color="auto"/>
            </w:tcBorders>
            <w:vAlign w:val="bottom"/>
          </w:tcPr>
          <w:p w:rsidR="00130360" w:rsidRDefault="00130360" w:rsidP="00472053">
            <w:pPr>
              <w:bidi w:val="0"/>
              <w:rPr>
                <w:sz w:val="20"/>
                <w:szCs w:val="20"/>
              </w:rPr>
            </w:pPr>
            <w:r>
              <w:rPr>
                <w:sz w:val="20"/>
                <w:szCs w:val="20"/>
              </w:rPr>
              <w:t>Exports (excl. diamonds and startups)</w:t>
            </w:r>
          </w:p>
        </w:tc>
        <w:tc>
          <w:tcPr>
            <w:tcW w:w="1269" w:type="dxa"/>
            <w:tcBorders>
              <w:bottom w:val="single" w:sz="4" w:space="0" w:color="auto"/>
              <w:right w:val="single" w:sz="4" w:space="0" w:color="auto"/>
            </w:tcBorders>
          </w:tcPr>
          <w:p w:rsidR="00130360" w:rsidRDefault="00130360" w:rsidP="00472053">
            <w:pPr>
              <w:bidi w:val="0"/>
              <w:jc w:val="center"/>
              <w:rPr>
                <w:rFonts w:asciiTheme="majorBidi" w:hAnsiTheme="majorBidi" w:cstheme="majorBidi"/>
                <w:sz w:val="20"/>
                <w:szCs w:val="20"/>
              </w:rPr>
            </w:pPr>
            <w:r>
              <w:rPr>
                <w:rFonts w:asciiTheme="majorBidi" w:hAnsiTheme="majorBidi" w:cstheme="majorBidi"/>
                <w:sz w:val="20"/>
                <w:szCs w:val="20"/>
              </w:rPr>
              <w:t>8.9</w:t>
            </w:r>
          </w:p>
        </w:tc>
        <w:tc>
          <w:tcPr>
            <w:tcW w:w="992" w:type="dxa"/>
            <w:tcBorders>
              <w:left w:val="single" w:sz="4" w:space="0" w:color="auto"/>
              <w:bottom w:val="single" w:sz="4" w:space="0" w:color="auto"/>
              <w:right w:val="nil"/>
            </w:tcBorders>
            <w:shd w:val="clear" w:color="auto" w:fill="auto"/>
          </w:tcPr>
          <w:p w:rsidR="00130360" w:rsidRDefault="00130360" w:rsidP="00472053">
            <w:pPr>
              <w:bidi w:val="0"/>
              <w:jc w:val="center"/>
              <w:rPr>
                <w:rFonts w:asciiTheme="majorBidi" w:hAnsiTheme="majorBidi" w:cstheme="majorBidi"/>
                <w:sz w:val="20"/>
                <w:szCs w:val="20"/>
              </w:rPr>
            </w:pPr>
            <w:r>
              <w:rPr>
                <w:rFonts w:asciiTheme="majorBidi" w:hAnsiTheme="majorBidi" w:cstheme="majorBidi"/>
                <w:sz w:val="20"/>
                <w:szCs w:val="20"/>
              </w:rPr>
              <w:t>2.0</w:t>
            </w:r>
          </w:p>
        </w:tc>
        <w:tc>
          <w:tcPr>
            <w:tcW w:w="1276" w:type="dxa"/>
            <w:tcBorders>
              <w:left w:val="nil"/>
              <w:bottom w:val="single" w:sz="4" w:space="0" w:color="auto"/>
              <w:right w:val="single" w:sz="4" w:space="0" w:color="auto"/>
            </w:tcBorders>
            <w:shd w:val="clear" w:color="auto" w:fill="C6D9F1" w:themeFill="text2" w:themeFillTint="33"/>
            <w:vAlign w:val="bottom"/>
          </w:tcPr>
          <w:p w:rsidR="00130360" w:rsidRDefault="00130360" w:rsidP="00472053">
            <w:pPr>
              <w:bidi w:val="0"/>
              <w:jc w:val="center"/>
              <w:rPr>
                <w:rFonts w:asciiTheme="majorBidi" w:hAnsiTheme="majorBidi" w:cstheme="majorBidi"/>
                <w:sz w:val="20"/>
                <w:szCs w:val="20"/>
              </w:rPr>
            </w:pPr>
            <w:r>
              <w:rPr>
                <w:rFonts w:asciiTheme="majorBidi" w:hAnsiTheme="majorBidi" w:cstheme="majorBidi"/>
                <w:sz w:val="20"/>
                <w:szCs w:val="20"/>
              </w:rPr>
              <w:t>0.0</w:t>
            </w:r>
          </w:p>
        </w:tc>
        <w:tc>
          <w:tcPr>
            <w:tcW w:w="992" w:type="dxa"/>
            <w:tcBorders>
              <w:left w:val="single" w:sz="4" w:space="0" w:color="auto"/>
              <w:bottom w:val="single" w:sz="4" w:space="0" w:color="auto"/>
              <w:right w:val="nil"/>
            </w:tcBorders>
            <w:shd w:val="clear" w:color="auto" w:fill="auto"/>
          </w:tcPr>
          <w:p w:rsidR="00130360" w:rsidRDefault="00130360" w:rsidP="00472053">
            <w:pPr>
              <w:bidi w:val="0"/>
              <w:jc w:val="center"/>
              <w:rPr>
                <w:rFonts w:asciiTheme="majorBidi" w:hAnsiTheme="majorBidi" w:cstheme="majorBidi"/>
                <w:sz w:val="20"/>
                <w:szCs w:val="20"/>
              </w:rPr>
            </w:pPr>
            <w:r>
              <w:rPr>
                <w:rFonts w:asciiTheme="majorBidi" w:hAnsiTheme="majorBidi" w:cstheme="majorBidi"/>
                <w:sz w:val="20"/>
                <w:szCs w:val="20"/>
              </w:rPr>
              <w:t>3.0</w:t>
            </w:r>
          </w:p>
        </w:tc>
        <w:tc>
          <w:tcPr>
            <w:tcW w:w="1422" w:type="dxa"/>
            <w:tcBorders>
              <w:left w:val="nil"/>
              <w:bottom w:val="single" w:sz="4" w:space="0" w:color="auto"/>
              <w:right w:val="single" w:sz="4" w:space="0" w:color="auto"/>
            </w:tcBorders>
            <w:shd w:val="clear" w:color="auto" w:fill="C6D9F1" w:themeFill="text2" w:themeFillTint="33"/>
          </w:tcPr>
          <w:p w:rsidR="00130360" w:rsidRDefault="00130360" w:rsidP="00472053">
            <w:pPr>
              <w:bidi w:val="0"/>
              <w:jc w:val="center"/>
              <w:rPr>
                <w:rFonts w:asciiTheme="majorBidi" w:hAnsiTheme="majorBidi" w:cstheme="majorBidi"/>
                <w:sz w:val="20"/>
                <w:szCs w:val="20"/>
              </w:rPr>
            </w:pPr>
            <w:r>
              <w:rPr>
                <w:rFonts w:asciiTheme="majorBidi" w:hAnsiTheme="majorBidi" w:cstheme="majorBidi"/>
                <w:sz w:val="20"/>
                <w:szCs w:val="20"/>
              </w:rPr>
              <w:t>0.5</w:t>
            </w:r>
          </w:p>
        </w:tc>
      </w:tr>
      <w:tr w:rsidR="00130360" w:rsidRPr="007A4B17" w:rsidTr="00472053">
        <w:tc>
          <w:tcPr>
            <w:tcW w:w="4680" w:type="dxa"/>
            <w:tcBorders>
              <w:bottom w:val="nil"/>
            </w:tcBorders>
            <w:vAlign w:val="bottom"/>
          </w:tcPr>
          <w:p w:rsidR="00130360" w:rsidRPr="00A50C95" w:rsidRDefault="00130360" w:rsidP="00472053">
            <w:pPr>
              <w:bidi w:val="0"/>
              <w:rPr>
                <w:sz w:val="20"/>
                <w:szCs w:val="20"/>
              </w:rPr>
            </w:pPr>
            <w:r>
              <w:rPr>
                <w:sz w:val="20"/>
                <w:szCs w:val="20"/>
              </w:rPr>
              <w:t>Civilian imports (excl. diamonds, ships, and aircraft)</w:t>
            </w:r>
          </w:p>
        </w:tc>
        <w:tc>
          <w:tcPr>
            <w:tcW w:w="1269" w:type="dxa"/>
            <w:tcBorders>
              <w:bottom w:val="single" w:sz="4" w:space="0" w:color="auto"/>
              <w:right w:val="single" w:sz="4" w:space="0" w:color="auto"/>
            </w:tcBorders>
          </w:tcPr>
          <w:p w:rsidR="00130360" w:rsidRPr="00A50C95" w:rsidRDefault="00130360" w:rsidP="00472053">
            <w:pPr>
              <w:bidi w:val="0"/>
              <w:jc w:val="center"/>
              <w:rPr>
                <w:rFonts w:asciiTheme="majorBidi" w:hAnsiTheme="majorBidi" w:cstheme="majorBidi"/>
                <w:sz w:val="20"/>
                <w:szCs w:val="20"/>
              </w:rPr>
            </w:pPr>
            <w:r>
              <w:rPr>
                <w:rFonts w:asciiTheme="majorBidi" w:hAnsiTheme="majorBidi" w:cstheme="majorBidi"/>
                <w:sz w:val="20"/>
                <w:szCs w:val="20"/>
              </w:rPr>
              <w:t>12.0</w:t>
            </w:r>
          </w:p>
        </w:tc>
        <w:tc>
          <w:tcPr>
            <w:tcW w:w="992" w:type="dxa"/>
            <w:tcBorders>
              <w:left w:val="single" w:sz="4" w:space="0" w:color="auto"/>
              <w:bottom w:val="nil"/>
              <w:right w:val="nil"/>
            </w:tcBorders>
            <w:shd w:val="clear" w:color="auto" w:fill="auto"/>
          </w:tcPr>
          <w:p w:rsidR="00130360" w:rsidRPr="003C7BEB" w:rsidRDefault="00130360" w:rsidP="00472053">
            <w:pPr>
              <w:bidi w:val="0"/>
              <w:jc w:val="center"/>
              <w:rPr>
                <w:rFonts w:asciiTheme="majorBidi" w:hAnsiTheme="majorBidi" w:cstheme="majorBidi"/>
                <w:sz w:val="20"/>
                <w:szCs w:val="20"/>
              </w:rPr>
            </w:pPr>
            <w:r>
              <w:rPr>
                <w:rFonts w:asciiTheme="majorBidi" w:hAnsiTheme="majorBidi" w:cstheme="majorBidi"/>
                <w:sz w:val="20"/>
                <w:szCs w:val="20"/>
              </w:rPr>
              <w:t>3.0</w:t>
            </w:r>
          </w:p>
        </w:tc>
        <w:tc>
          <w:tcPr>
            <w:tcW w:w="1276" w:type="dxa"/>
            <w:tcBorders>
              <w:left w:val="nil"/>
              <w:bottom w:val="single" w:sz="4" w:space="0" w:color="auto"/>
              <w:right w:val="single" w:sz="4" w:space="0" w:color="auto"/>
            </w:tcBorders>
            <w:shd w:val="clear" w:color="auto" w:fill="C6D9F1" w:themeFill="text2" w:themeFillTint="33"/>
            <w:vAlign w:val="bottom"/>
          </w:tcPr>
          <w:p w:rsidR="00130360" w:rsidRPr="003C7BEB" w:rsidRDefault="00130360" w:rsidP="00472053">
            <w:pPr>
              <w:bidi w:val="0"/>
              <w:jc w:val="center"/>
              <w:rPr>
                <w:rFonts w:asciiTheme="majorBidi" w:hAnsiTheme="majorBidi" w:cstheme="majorBidi"/>
                <w:sz w:val="20"/>
                <w:szCs w:val="20"/>
              </w:rPr>
            </w:pPr>
            <w:r>
              <w:rPr>
                <w:rFonts w:asciiTheme="majorBidi" w:hAnsiTheme="majorBidi" w:cstheme="majorBidi"/>
                <w:sz w:val="20"/>
                <w:szCs w:val="20"/>
              </w:rPr>
              <w:t>-1.0</w:t>
            </w:r>
          </w:p>
        </w:tc>
        <w:tc>
          <w:tcPr>
            <w:tcW w:w="992" w:type="dxa"/>
            <w:tcBorders>
              <w:left w:val="single" w:sz="4" w:space="0" w:color="auto"/>
              <w:bottom w:val="nil"/>
              <w:right w:val="nil"/>
            </w:tcBorders>
            <w:shd w:val="clear" w:color="auto" w:fill="auto"/>
          </w:tcPr>
          <w:p w:rsidR="00130360" w:rsidRPr="003C7BEB" w:rsidRDefault="00130360" w:rsidP="00472053">
            <w:pPr>
              <w:bidi w:val="0"/>
              <w:jc w:val="center"/>
              <w:rPr>
                <w:rFonts w:asciiTheme="majorBidi" w:hAnsiTheme="majorBidi" w:cstheme="majorBidi"/>
                <w:sz w:val="20"/>
                <w:szCs w:val="20"/>
              </w:rPr>
            </w:pPr>
            <w:r>
              <w:rPr>
                <w:rFonts w:asciiTheme="majorBidi" w:hAnsiTheme="majorBidi" w:cstheme="majorBidi"/>
                <w:sz w:val="20"/>
                <w:szCs w:val="20"/>
              </w:rPr>
              <w:t>6.0</w:t>
            </w:r>
          </w:p>
        </w:tc>
        <w:tc>
          <w:tcPr>
            <w:tcW w:w="1422" w:type="dxa"/>
            <w:tcBorders>
              <w:left w:val="nil"/>
              <w:bottom w:val="single" w:sz="4" w:space="0" w:color="auto"/>
              <w:right w:val="single" w:sz="4" w:space="0" w:color="auto"/>
            </w:tcBorders>
            <w:shd w:val="clear" w:color="auto" w:fill="C6D9F1" w:themeFill="text2" w:themeFillTint="33"/>
          </w:tcPr>
          <w:p w:rsidR="00130360" w:rsidRDefault="00130360" w:rsidP="00472053">
            <w:pPr>
              <w:bidi w:val="0"/>
              <w:jc w:val="center"/>
              <w:rPr>
                <w:rFonts w:asciiTheme="majorBidi" w:hAnsiTheme="majorBidi" w:cstheme="majorBidi"/>
                <w:sz w:val="20"/>
                <w:szCs w:val="20"/>
              </w:rPr>
            </w:pPr>
            <w:r>
              <w:rPr>
                <w:rFonts w:asciiTheme="majorBidi" w:hAnsiTheme="majorBidi" w:cstheme="majorBidi"/>
                <w:sz w:val="20"/>
                <w:szCs w:val="20"/>
              </w:rPr>
              <w:t>0.5</w:t>
            </w:r>
          </w:p>
        </w:tc>
      </w:tr>
      <w:tr w:rsidR="00130360" w:rsidRPr="007A4B17" w:rsidTr="00472053">
        <w:tc>
          <w:tcPr>
            <w:tcW w:w="4680" w:type="dxa"/>
            <w:tcBorders>
              <w:bottom w:val="single" w:sz="4" w:space="0" w:color="auto"/>
            </w:tcBorders>
            <w:vAlign w:val="bottom"/>
          </w:tcPr>
          <w:p w:rsidR="00130360" w:rsidRPr="00404ACD" w:rsidRDefault="00130360" w:rsidP="00472053">
            <w:pPr>
              <w:bidi w:val="0"/>
              <w:rPr>
                <w:b/>
                <w:bCs/>
                <w:sz w:val="20"/>
                <w:szCs w:val="20"/>
              </w:rPr>
            </w:pPr>
            <w:r>
              <w:rPr>
                <w:b/>
                <w:bCs/>
                <w:sz w:val="20"/>
                <w:szCs w:val="20"/>
              </w:rPr>
              <w:t xml:space="preserve">GDP deviation from the </w:t>
            </w:r>
            <w:proofErr w:type="spellStart"/>
            <w:r>
              <w:rPr>
                <w:b/>
                <w:bCs/>
                <w:sz w:val="20"/>
                <w:szCs w:val="20"/>
              </w:rPr>
              <w:t>precrisis</w:t>
            </w:r>
            <w:proofErr w:type="spellEnd"/>
            <w:r>
              <w:rPr>
                <w:b/>
                <w:bCs/>
                <w:sz w:val="20"/>
                <w:szCs w:val="20"/>
              </w:rPr>
              <w:t xml:space="preserve"> trend (percent)</w:t>
            </w:r>
          </w:p>
        </w:tc>
        <w:tc>
          <w:tcPr>
            <w:tcW w:w="1269" w:type="dxa"/>
            <w:tcBorders>
              <w:bottom w:val="single" w:sz="4" w:space="0" w:color="auto"/>
              <w:right w:val="single" w:sz="4" w:space="0" w:color="auto"/>
            </w:tcBorders>
          </w:tcPr>
          <w:p w:rsidR="00130360" w:rsidRPr="00404ACD" w:rsidRDefault="00130360" w:rsidP="00472053">
            <w:pPr>
              <w:bidi w:val="0"/>
              <w:jc w:val="center"/>
              <w:rPr>
                <w:rFonts w:asciiTheme="majorBidi" w:hAnsiTheme="majorBidi" w:cstheme="majorBidi"/>
                <w:b/>
                <w:bCs/>
                <w:sz w:val="20"/>
                <w:szCs w:val="20"/>
              </w:rPr>
            </w:pPr>
            <w:r>
              <w:rPr>
                <w:rFonts w:asciiTheme="majorBidi" w:hAnsiTheme="majorBidi" w:cstheme="majorBidi"/>
                <w:b/>
                <w:bCs/>
                <w:sz w:val="20"/>
                <w:szCs w:val="20"/>
              </w:rPr>
              <w:t>0.9</w:t>
            </w:r>
          </w:p>
        </w:tc>
        <w:tc>
          <w:tcPr>
            <w:tcW w:w="992" w:type="dxa"/>
            <w:tcBorders>
              <w:left w:val="single" w:sz="4" w:space="0" w:color="auto"/>
              <w:bottom w:val="single" w:sz="4" w:space="0" w:color="auto"/>
              <w:right w:val="nil"/>
            </w:tcBorders>
            <w:shd w:val="clear" w:color="auto" w:fill="auto"/>
          </w:tcPr>
          <w:p w:rsidR="00130360" w:rsidRPr="00404ACD" w:rsidRDefault="00130360" w:rsidP="00472053">
            <w:pPr>
              <w:bidi w:val="0"/>
              <w:jc w:val="center"/>
              <w:rPr>
                <w:rFonts w:asciiTheme="majorBidi" w:hAnsiTheme="majorBidi" w:cstheme="majorBidi"/>
                <w:b/>
                <w:bCs/>
                <w:sz w:val="20"/>
                <w:szCs w:val="20"/>
              </w:rPr>
            </w:pPr>
            <w:r>
              <w:rPr>
                <w:rFonts w:asciiTheme="majorBidi" w:hAnsiTheme="majorBidi" w:cstheme="majorBidi"/>
                <w:b/>
                <w:bCs/>
                <w:sz w:val="20"/>
                <w:szCs w:val="20"/>
              </w:rPr>
              <w:t>-0.5</w:t>
            </w:r>
          </w:p>
        </w:tc>
        <w:tc>
          <w:tcPr>
            <w:tcW w:w="1276" w:type="dxa"/>
            <w:tcBorders>
              <w:left w:val="nil"/>
              <w:bottom w:val="single" w:sz="4" w:space="0" w:color="auto"/>
              <w:right w:val="single" w:sz="4" w:space="0" w:color="auto"/>
            </w:tcBorders>
            <w:shd w:val="clear" w:color="auto" w:fill="C6D9F1" w:themeFill="text2" w:themeFillTint="33"/>
            <w:vAlign w:val="bottom"/>
          </w:tcPr>
          <w:p w:rsidR="00130360" w:rsidRPr="00404ACD" w:rsidRDefault="00130360" w:rsidP="00472053">
            <w:pPr>
              <w:bidi w:val="0"/>
              <w:jc w:val="center"/>
              <w:rPr>
                <w:rFonts w:asciiTheme="majorBidi" w:hAnsiTheme="majorBidi" w:cstheme="majorBidi"/>
                <w:b/>
                <w:bCs/>
                <w:sz w:val="20"/>
                <w:szCs w:val="20"/>
              </w:rPr>
            </w:pPr>
            <w:r>
              <w:rPr>
                <w:rFonts w:asciiTheme="majorBidi" w:hAnsiTheme="majorBidi" w:cstheme="majorBidi"/>
                <w:b/>
                <w:bCs/>
                <w:sz w:val="20"/>
                <w:szCs w:val="20"/>
              </w:rPr>
              <w:t>0.0</w:t>
            </w:r>
          </w:p>
        </w:tc>
        <w:tc>
          <w:tcPr>
            <w:tcW w:w="992" w:type="dxa"/>
            <w:tcBorders>
              <w:left w:val="single" w:sz="4" w:space="0" w:color="auto"/>
              <w:bottom w:val="single" w:sz="4" w:space="0" w:color="auto"/>
              <w:right w:val="nil"/>
            </w:tcBorders>
            <w:shd w:val="clear" w:color="auto" w:fill="auto"/>
          </w:tcPr>
          <w:p w:rsidR="00130360" w:rsidRPr="00404ACD" w:rsidRDefault="00130360" w:rsidP="00472053">
            <w:pPr>
              <w:bidi w:val="0"/>
              <w:jc w:val="center"/>
              <w:rPr>
                <w:rFonts w:asciiTheme="majorBidi" w:hAnsiTheme="majorBidi" w:cstheme="majorBidi"/>
                <w:b/>
                <w:bCs/>
                <w:sz w:val="20"/>
                <w:szCs w:val="20"/>
              </w:rPr>
            </w:pPr>
            <w:r>
              <w:rPr>
                <w:rFonts w:asciiTheme="majorBidi" w:hAnsiTheme="majorBidi" w:cstheme="majorBidi"/>
                <w:b/>
                <w:bCs/>
                <w:sz w:val="20"/>
                <w:szCs w:val="20"/>
              </w:rPr>
              <w:t>-1.0</w:t>
            </w:r>
          </w:p>
        </w:tc>
        <w:tc>
          <w:tcPr>
            <w:tcW w:w="1422" w:type="dxa"/>
            <w:tcBorders>
              <w:left w:val="nil"/>
              <w:bottom w:val="single" w:sz="4" w:space="0" w:color="auto"/>
              <w:right w:val="single" w:sz="4" w:space="0" w:color="auto"/>
            </w:tcBorders>
            <w:shd w:val="clear" w:color="auto" w:fill="C6D9F1" w:themeFill="text2" w:themeFillTint="33"/>
          </w:tcPr>
          <w:p w:rsidR="00130360" w:rsidRPr="002C2B40" w:rsidRDefault="00130360" w:rsidP="00472053">
            <w:pPr>
              <w:bidi w:val="0"/>
              <w:jc w:val="center"/>
              <w:rPr>
                <w:rFonts w:asciiTheme="majorBidi" w:hAnsiTheme="majorBidi" w:cstheme="majorBidi"/>
                <w:b/>
                <w:bCs/>
                <w:color w:val="FF0000"/>
                <w:sz w:val="20"/>
                <w:szCs w:val="20"/>
              </w:rPr>
            </w:pPr>
            <w:r w:rsidRPr="00472053">
              <w:rPr>
                <w:rFonts w:asciiTheme="majorBidi" w:hAnsiTheme="majorBidi" w:cstheme="majorBidi"/>
                <w:b/>
                <w:bCs/>
                <w:sz w:val="20"/>
                <w:szCs w:val="20"/>
              </w:rPr>
              <w:t>-0.1</w:t>
            </w:r>
          </w:p>
        </w:tc>
      </w:tr>
      <w:tr w:rsidR="00130360" w:rsidRPr="007A4B17" w:rsidTr="00472053">
        <w:tc>
          <w:tcPr>
            <w:tcW w:w="4680" w:type="dxa"/>
            <w:tcBorders>
              <w:bottom w:val="single" w:sz="4" w:space="0" w:color="auto"/>
            </w:tcBorders>
            <w:vAlign w:val="bottom"/>
          </w:tcPr>
          <w:p w:rsidR="00130360" w:rsidRPr="00A50C95" w:rsidRDefault="00130360" w:rsidP="00472053">
            <w:pPr>
              <w:bidi w:val="0"/>
              <w:rPr>
                <w:sz w:val="20"/>
                <w:szCs w:val="20"/>
              </w:rPr>
            </w:pPr>
            <w:r>
              <w:rPr>
                <w:sz w:val="20"/>
                <w:szCs w:val="20"/>
              </w:rPr>
              <w:t>Unemployment</w:t>
            </w:r>
            <w:r w:rsidRPr="00A50C95">
              <w:rPr>
                <w:sz w:val="20"/>
                <w:szCs w:val="20"/>
              </w:rPr>
              <w:t xml:space="preserve"> rat</w:t>
            </w:r>
            <w:r>
              <w:rPr>
                <w:sz w:val="20"/>
                <w:szCs w:val="20"/>
              </w:rPr>
              <w:t>e (average for the year, age 25–64)</w:t>
            </w:r>
          </w:p>
        </w:tc>
        <w:tc>
          <w:tcPr>
            <w:tcW w:w="1269" w:type="dxa"/>
            <w:tcBorders>
              <w:bottom w:val="single" w:sz="4" w:space="0" w:color="auto"/>
              <w:right w:val="single" w:sz="4" w:space="0" w:color="auto"/>
            </w:tcBorders>
          </w:tcPr>
          <w:p w:rsidR="00130360" w:rsidRPr="00A50C95" w:rsidRDefault="00130360" w:rsidP="00472053">
            <w:pPr>
              <w:bidi w:val="0"/>
              <w:jc w:val="center"/>
              <w:rPr>
                <w:rFonts w:asciiTheme="majorBidi" w:hAnsiTheme="majorBidi" w:cstheme="majorBidi"/>
                <w:sz w:val="20"/>
                <w:szCs w:val="20"/>
              </w:rPr>
            </w:pPr>
            <w:r>
              <w:rPr>
                <w:rFonts w:asciiTheme="majorBidi" w:hAnsiTheme="majorBidi" w:cstheme="majorBidi"/>
                <w:sz w:val="20"/>
                <w:szCs w:val="20"/>
              </w:rPr>
              <w:t>3.3</w:t>
            </w:r>
          </w:p>
        </w:tc>
        <w:tc>
          <w:tcPr>
            <w:tcW w:w="992" w:type="dxa"/>
            <w:tcBorders>
              <w:left w:val="single" w:sz="4" w:space="0" w:color="auto"/>
              <w:bottom w:val="single" w:sz="4" w:space="0" w:color="auto"/>
              <w:right w:val="nil"/>
            </w:tcBorders>
            <w:shd w:val="clear" w:color="auto" w:fill="auto"/>
          </w:tcPr>
          <w:p w:rsidR="00130360" w:rsidRPr="003C7BEB" w:rsidRDefault="00130360" w:rsidP="00472053">
            <w:pPr>
              <w:bidi w:val="0"/>
              <w:jc w:val="center"/>
              <w:rPr>
                <w:rFonts w:asciiTheme="majorBidi" w:hAnsiTheme="majorBidi" w:cstheme="majorBidi"/>
                <w:sz w:val="20"/>
                <w:szCs w:val="20"/>
              </w:rPr>
            </w:pPr>
            <w:r>
              <w:rPr>
                <w:rFonts w:asciiTheme="majorBidi" w:hAnsiTheme="majorBidi" w:cstheme="majorBidi"/>
                <w:sz w:val="20"/>
                <w:szCs w:val="20"/>
              </w:rPr>
              <w:t>4.1</w:t>
            </w:r>
          </w:p>
        </w:tc>
        <w:tc>
          <w:tcPr>
            <w:tcW w:w="1276" w:type="dxa"/>
            <w:tcBorders>
              <w:left w:val="nil"/>
              <w:bottom w:val="single" w:sz="4" w:space="0" w:color="auto"/>
              <w:right w:val="single" w:sz="4" w:space="0" w:color="auto"/>
            </w:tcBorders>
            <w:shd w:val="clear" w:color="auto" w:fill="C6D9F1" w:themeFill="text2" w:themeFillTint="33"/>
            <w:vAlign w:val="bottom"/>
          </w:tcPr>
          <w:p w:rsidR="00130360" w:rsidRPr="003C7BEB" w:rsidRDefault="00130360" w:rsidP="00472053">
            <w:pPr>
              <w:bidi w:val="0"/>
              <w:jc w:val="center"/>
              <w:rPr>
                <w:rFonts w:asciiTheme="majorBidi" w:hAnsiTheme="majorBidi" w:cstheme="majorBidi"/>
                <w:sz w:val="20"/>
                <w:szCs w:val="20"/>
              </w:rPr>
            </w:pPr>
            <w:r>
              <w:rPr>
                <w:rFonts w:asciiTheme="majorBidi" w:hAnsiTheme="majorBidi" w:cstheme="majorBidi"/>
                <w:sz w:val="20"/>
                <w:szCs w:val="20"/>
              </w:rPr>
              <w:t>0.1</w:t>
            </w:r>
          </w:p>
        </w:tc>
        <w:tc>
          <w:tcPr>
            <w:tcW w:w="992" w:type="dxa"/>
            <w:tcBorders>
              <w:left w:val="single" w:sz="4" w:space="0" w:color="auto"/>
              <w:bottom w:val="single" w:sz="4" w:space="0" w:color="auto"/>
              <w:right w:val="nil"/>
            </w:tcBorders>
            <w:shd w:val="clear" w:color="auto" w:fill="auto"/>
          </w:tcPr>
          <w:p w:rsidR="00130360" w:rsidRPr="003C7BEB" w:rsidRDefault="00130360" w:rsidP="00472053">
            <w:pPr>
              <w:bidi w:val="0"/>
              <w:jc w:val="center"/>
              <w:rPr>
                <w:rFonts w:asciiTheme="majorBidi" w:hAnsiTheme="majorBidi" w:cstheme="majorBidi"/>
                <w:sz w:val="20"/>
                <w:szCs w:val="20"/>
              </w:rPr>
            </w:pPr>
            <w:r>
              <w:rPr>
                <w:rFonts w:asciiTheme="majorBidi" w:hAnsiTheme="majorBidi" w:cstheme="majorBidi"/>
                <w:sz w:val="20"/>
                <w:szCs w:val="20"/>
              </w:rPr>
              <w:t>4.0</w:t>
            </w:r>
          </w:p>
        </w:tc>
        <w:tc>
          <w:tcPr>
            <w:tcW w:w="1422" w:type="dxa"/>
            <w:tcBorders>
              <w:left w:val="nil"/>
              <w:bottom w:val="single" w:sz="4" w:space="0" w:color="auto"/>
              <w:right w:val="single" w:sz="4" w:space="0" w:color="auto"/>
            </w:tcBorders>
            <w:shd w:val="clear" w:color="auto" w:fill="C6D9F1" w:themeFill="text2" w:themeFillTint="33"/>
          </w:tcPr>
          <w:p w:rsidR="00130360" w:rsidRDefault="00130360" w:rsidP="00472053">
            <w:pPr>
              <w:bidi w:val="0"/>
              <w:jc w:val="center"/>
              <w:rPr>
                <w:rFonts w:asciiTheme="majorBidi" w:hAnsiTheme="majorBidi" w:cstheme="majorBidi"/>
                <w:sz w:val="20"/>
                <w:szCs w:val="20"/>
              </w:rPr>
            </w:pPr>
            <w:r>
              <w:rPr>
                <w:rFonts w:asciiTheme="majorBidi" w:hAnsiTheme="majorBidi" w:cstheme="majorBidi"/>
                <w:sz w:val="20"/>
                <w:szCs w:val="20"/>
              </w:rPr>
              <w:t>0.0</w:t>
            </w:r>
          </w:p>
        </w:tc>
      </w:tr>
      <w:tr w:rsidR="00130360" w:rsidRPr="007A4B17" w:rsidTr="00472053">
        <w:tc>
          <w:tcPr>
            <w:tcW w:w="4680" w:type="dxa"/>
            <w:tcBorders>
              <w:top w:val="single" w:sz="4" w:space="0" w:color="auto"/>
              <w:bottom w:val="single" w:sz="4" w:space="0" w:color="auto"/>
            </w:tcBorders>
            <w:vAlign w:val="bottom"/>
          </w:tcPr>
          <w:p w:rsidR="00130360" w:rsidRPr="00DC3F7B" w:rsidRDefault="00130360" w:rsidP="00472053">
            <w:pPr>
              <w:bidi w:val="0"/>
              <w:rPr>
                <w:b/>
                <w:bCs/>
                <w:sz w:val="20"/>
                <w:szCs w:val="20"/>
              </w:rPr>
            </w:pPr>
            <w:r>
              <w:rPr>
                <w:sz w:val="20"/>
                <w:szCs w:val="20"/>
              </w:rPr>
              <w:t>Employment rate (average for the year, ages 25–64)</w:t>
            </w:r>
          </w:p>
        </w:tc>
        <w:tc>
          <w:tcPr>
            <w:tcW w:w="1269" w:type="dxa"/>
            <w:tcBorders>
              <w:top w:val="single" w:sz="4" w:space="0" w:color="auto"/>
              <w:bottom w:val="single" w:sz="4" w:space="0" w:color="auto"/>
              <w:right w:val="single" w:sz="4" w:space="0" w:color="auto"/>
            </w:tcBorders>
          </w:tcPr>
          <w:p w:rsidR="00130360" w:rsidRPr="00404ACD" w:rsidRDefault="00130360" w:rsidP="00472053">
            <w:pPr>
              <w:bidi w:val="0"/>
              <w:jc w:val="center"/>
              <w:rPr>
                <w:rFonts w:asciiTheme="majorBidi" w:hAnsiTheme="majorBidi" w:cstheme="majorBidi"/>
                <w:b/>
                <w:bCs/>
                <w:sz w:val="20"/>
                <w:szCs w:val="20"/>
              </w:rPr>
            </w:pPr>
            <w:r>
              <w:rPr>
                <w:rFonts w:asciiTheme="majorBidi" w:hAnsiTheme="majorBidi" w:cstheme="majorBidi"/>
                <w:b/>
                <w:bCs/>
                <w:sz w:val="20"/>
                <w:szCs w:val="20"/>
              </w:rPr>
              <w:t>78.6</w:t>
            </w:r>
          </w:p>
        </w:tc>
        <w:tc>
          <w:tcPr>
            <w:tcW w:w="992" w:type="dxa"/>
            <w:tcBorders>
              <w:top w:val="single" w:sz="4" w:space="0" w:color="auto"/>
              <w:left w:val="single" w:sz="4" w:space="0" w:color="auto"/>
              <w:bottom w:val="single" w:sz="4" w:space="0" w:color="auto"/>
              <w:right w:val="nil"/>
            </w:tcBorders>
            <w:shd w:val="clear" w:color="auto" w:fill="auto"/>
          </w:tcPr>
          <w:p w:rsidR="00130360" w:rsidRPr="00404ACD" w:rsidRDefault="00130360" w:rsidP="00472053">
            <w:pPr>
              <w:bidi w:val="0"/>
              <w:jc w:val="center"/>
              <w:rPr>
                <w:rFonts w:asciiTheme="majorBidi" w:hAnsiTheme="majorBidi" w:cstheme="majorBidi"/>
                <w:b/>
                <w:bCs/>
                <w:sz w:val="20"/>
                <w:szCs w:val="20"/>
              </w:rPr>
            </w:pPr>
            <w:r>
              <w:rPr>
                <w:rFonts w:asciiTheme="majorBidi" w:hAnsiTheme="majorBidi" w:cstheme="majorBidi"/>
                <w:b/>
                <w:bCs/>
                <w:sz w:val="20"/>
                <w:szCs w:val="20"/>
              </w:rPr>
              <w:t>77.5</w:t>
            </w:r>
          </w:p>
        </w:tc>
        <w:tc>
          <w:tcPr>
            <w:tcW w:w="1276" w:type="dxa"/>
            <w:tcBorders>
              <w:top w:val="single" w:sz="4" w:space="0" w:color="auto"/>
              <w:left w:val="nil"/>
              <w:bottom w:val="single" w:sz="4" w:space="0" w:color="auto"/>
              <w:right w:val="single" w:sz="4" w:space="0" w:color="auto"/>
            </w:tcBorders>
            <w:shd w:val="clear" w:color="auto" w:fill="C6D9F1" w:themeFill="text2" w:themeFillTint="33"/>
            <w:vAlign w:val="bottom"/>
          </w:tcPr>
          <w:p w:rsidR="00130360" w:rsidRPr="00404ACD" w:rsidRDefault="00130360" w:rsidP="00472053">
            <w:pPr>
              <w:bidi w:val="0"/>
              <w:jc w:val="center"/>
              <w:rPr>
                <w:rFonts w:asciiTheme="majorBidi" w:hAnsiTheme="majorBidi" w:cstheme="majorBidi"/>
                <w:b/>
                <w:bCs/>
                <w:sz w:val="20"/>
                <w:szCs w:val="20"/>
              </w:rPr>
            </w:pPr>
            <w:r>
              <w:rPr>
                <w:rFonts w:asciiTheme="majorBidi" w:hAnsiTheme="majorBidi" w:cstheme="majorBidi"/>
                <w:b/>
                <w:bCs/>
                <w:sz w:val="20"/>
                <w:szCs w:val="20"/>
              </w:rPr>
              <w:t>0.0</w:t>
            </w:r>
          </w:p>
        </w:tc>
        <w:tc>
          <w:tcPr>
            <w:tcW w:w="992" w:type="dxa"/>
            <w:tcBorders>
              <w:top w:val="single" w:sz="4" w:space="0" w:color="auto"/>
              <w:left w:val="single" w:sz="4" w:space="0" w:color="auto"/>
              <w:bottom w:val="single" w:sz="4" w:space="0" w:color="auto"/>
              <w:right w:val="nil"/>
            </w:tcBorders>
            <w:shd w:val="clear" w:color="auto" w:fill="auto"/>
          </w:tcPr>
          <w:p w:rsidR="00130360" w:rsidRPr="00404ACD" w:rsidRDefault="00130360" w:rsidP="00472053">
            <w:pPr>
              <w:bidi w:val="0"/>
              <w:jc w:val="center"/>
              <w:rPr>
                <w:rFonts w:asciiTheme="majorBidi" w:hAnsiTheme="majorBidi" w:cstheme="majorBidi"/>
                <w:b/>
                <w:bCs/>
                <w:sz w:val="20"/>
                <w:szCs w:val="20"/>
              </w:rPr>
            </w:pPr>
            <w:r>
              <w:rPr>
                <w:rFonts w:asciiTheme="majorBidi" w:hAnsiTheme="majorBidi" w:cstheme="majorBidi"/>
                <w:b/>
                <w:bCs/>
                <w:sz w:val="20"/>
                <w:szCs w:val="20"/>
              </w:rPr>
              <w:t>77.4</w:t>
            </w:r>
          </w:p>
        </w:tc>
        <w:tc>
          <w:tcPr>
            <w:tcW w:w="1422" w:type="dxa"/>
            <w:tcBorders>
              <w:top w:val="single" w:sz="4" w:space="0" w:color="auto"/>
              <w:left w:val="nil"/>
              <w:bottom w:val="single" w:sz="4" w:space="0" w:color="auto"/>
              <w:right w:val="single" w:sz="4" w:space="0" w:color="auto"/>
            </w:tcBorders>
            <w:shd w:val="clear" w:color="auto" w:fill="C6D9F1" w:themeFill="text2" w:themeFillTint="33"/>
          </w:tcPr>
          <w:p w:rsidR="00130360" w:rsidRDefault="00130360" w:rsidP="00472053">
            <w:pPr>
              <w:bidi w:val="0"/>
              <w:jc w:val="center"/>
              <w:rPr>
                <w:rFonts w:asciiTheme="majorBidi" w:hAnsiTheme="majorBidi" w:cstheme="majorBidi"/>
                <w:b/>
                <w:bCs/>
                <w:sz w:val="20"/>
                <w:szCs w:val="20"/>
              </w:rPr>
            </w:pPr>
            <w:r>
              <w:rPr>
                <w:rFonts w:asciiTheme="majorBidi" w:hAnsiTheme="majorBidi" w:cstheme="majorBidi" w:hint="cs"/>
                <w:b/>
                <w:bCs/>
                <w:sz w:val="20"/>
                <w:szCs w:val="20"/>
                <w:rtl/>
              </w:rPr>
              <w:t>0.0</w:t>
            </w:r>
          </w:p>
        </w:tc>
      </w:tr>
      <w:tr w:rsidR="00130360" w:rsidRPr="007A4B17" w:rsidTr="00472053">
        <w:tc>
          <w:tcPr>
            <w:tcW w:w="4680" w:type="dxa"/>
            <w:tcBorders>
              <w:top w:val="single" w:sz="4" w:space="0" w:color="auto"/>
              <w:bottom w:val="single" w:sz="4" w:space="0" w:color="auto"/>
            </w:tcBorders>
            <w:vAlign w:val="bottom"/>
          </w:tcPr>
          <w:p w:rsidR="00130360" w:rsidRPr="00A50C95" w:rsidRDefault="00130360" w:rsidP="00472053">
            <w:pPr>
              <w:bidi w:val="0"/>
              <w:rPr>
                <w:sz w:val="20"/>
                <w:szCs w:val="20"/>
              </w:rPr>
            </w:pPr>
            <w:r>
              <w:rPr>
                <w:sz w:val="20"/>
                <w:szCs w:val="20"/>
              </w:rPr>
              <w:t>Government deficit (percent of GDP)</w:t>
            </w:r>
          </w:p>
        </w:tc>
        <w:tc>
          <w:tcPr>
            <w:tcW w:w="1269" w:type="dxa"/>
            <w:tcBorders>
              <w:top w:val="single" w:sz="4" w:space="0" w:color="auto"/>
              <w:bottom w:val="single" w:sz="4" w:space="0" w:color="auto"/>
              <w:right w:val="single" w:sz="4" w:space="0" w:color="auto"/>
            </w:tcBorders>
          </w:tcPr>
          <w:p w:rsidR="00130360" w:rsidRDefault="00130360" w:rsidP="00472053">
            <w:pPr>
              <w:bidi w:val="0"/>
              <w:jc w:val="center"/>
              <w:rPr>
                <w:rFonts w:asciiTheme="majorBidi" w:hAnsiTheme="majorBidi" w:cstheme="majorBidi"/>
                <w:sz w:val="20"/>
                <w:szCs w:val="20"/>
              </w:rPr>
            </w:pPr>
            <w:r>
              <w:rPr>
                <w:rFonts w:asciiTheme="majorBidi" w:hAnsiTheme="majorBidi" w:cstheme="majorBidi"/>
                <w:sz w:val="20"/>
                <w:szCs w:val="20"/>
              </w:rPr>
              <w:t>-0.6</w:t>
            </w:r>
          </w:p>
        </w:tc>
        <w:tc>
          <w:tcPr>
            <w:tcW w:w="992" w:type="dxa"/>
            <w:tcBorders>
              <w:top w:val="single" w:sz="4" w:space="0" w:color="auto"/>
              <w:left w:val="single" w:sz="4" w:space="0" w:color="auto"/>
              <w:bottom w:val="single" w:sz="4" w:space="0" w:color="auto"/>
              <w:right w:val="nil"/>
            </w:tcBorders>
            <w:shd w:val="clear" w:color="auto" w:fill="auto"/>
          </w:tcPr>
          <w:p w:rsidR="00130360" w:rsidRDefault="00130360" w:rsidP="00472053">
            <w:pPr>
              <w:bidi w:val="0"/>
              <w:jc w:val="center"/>
              <w:rPr>
                <w:rFonts w:asciiTheme="majorBidi" w:hAnsiTheme="majorBidi" w:cstheme="majorBidi"/>
                <w:sz w:val="20"/>
                <w:szCs w:val="20"/>
              </w:rPr>
            </w:pPr>
            <w:r>
              <w:rPr>
                <w:rFonts w:asciiTheme="majorBidi" w:hAnsiTheme="majorBidi" w:cstheme="majorBidi"/>
                <w:sz w:val="20"/>
                <w:szCs w:val="20"/>
              </w:rPr>
              <w:t>0.9</w:t>
            </w:r>
          </w:p>
        </w:tc>
        <w:tc>
          <w:tcPr>
            <w:tcW w:w="1276" w:type="dxa"/>
            <w:tcBorders>
              <w:top w:val="single" w:sz="4" w:space="0" w:color="auto"/>
              <w:left w:val="nil"/>
              <w:bottom w:val="single" w:sz="4" w:space="0" w:color="auto"/>
              <w:right w:val="single" w:sz="4" w:space="0" w:color="auto"/>
            </w:tcBorders>
            <w:shd w:val="clear" w:color="auto" w:fill="C6D9F1" w:themeFill="text2" w:themeFillTint="33"/>
            <w:vAlign w:val="bottom"/>
          </w:tcPr>
          <w:p w:rsidR="00130360" w:rsidRDefault="00130360" w:rsidP="00472053">
            <w:pPr>
              <w:bidi w:val="0"/>
              <w:jc w:val="center"/>
              <w:rPr>
                <w:rFonts w:asciiTheme="majorBidi" w:hAnsiTheme="majorBidi" w:cstheme="majorBidi"/>
                <w:sz w:val="20"/>
                <w:szCs w:val="20"/>
              </w:rPr>
            </w:pPr>
            <w:r>
              <w:rPr>
                <w:rFonts w:asciiTheme="majorBidi" w:hAnsiTheme="majorBidi" w:cstheme="majorBidi"/>
                <w:sz w:val="20"/>
                <w:szCs w:val="20"/>
              </w:rPr>
              <w:t>-0.9</w:t>
            </w:r>
          </w:p>
        </w:tc>
        <w:tc>
          <w:tcPr>
            <w:tcW w:w="992" w:type="dxa"/>
            <w:tcBorders>
              <w:top w:val="single" w:sz="4" w:space="0" w:color="auto"/>
              <w:left w:val="single" w:sz="4" w:space="0" w:color="auto"/>
              <w:bottom w:val="single" w:sz="4" w:space="0" w:color="auto"/>
              <w:right w:val="nil"/>
            </w:tcBorders>
            <w:shd w:val="clear" w:color="auto" w:fill="auto"/>
          </w:tcPr>
          <w:p w:rsidR="00130360" w:rsidRDefault="00130360" w:rsidP="00472053">
            <w:pPr>
              <w:bidi w:val="0"/>
              <w:jc w:val="center"/>
              <w:rPr>
                <w:rFonts w:asciiTheme="majorBidi" w:hAnsiTheme="majorBidi" w:cstheme="majorBidi"/>
                <w:sz w:val="20"/>
                <w:szCs w:val="20"/>
              </w:rPr>
            </w:pPr>
            <w:r>
              <w:rPr>
                <w:rFonts w:asciiTheme="majorBidi" w:hAnsiTheme="majorBidi" w:cstheme="majorBidi"/>
                <w:sz w:val="20"/>
                <w:szCs w:val="20"/>
              </w:rPr>
              <w:t>0.9</w:t>
            </w:r>
          </w:p>
        </w:tc>
        <w:tc>
          <w:tcPr>
            <w:tcW w:w="1422" w:type="dxa"/>
            <w:tcBorders>
              <w:top w:val="single" w:sz="4" w:space="0" w:color="auto"/>
              <w:left w:val="nil"/>
              <w:bottom w:val="single" w:sz="4" w:space="0" w:color="auto"/>
              <w:right w:val="single" w:sz="4" w:space="0" w:color="auto"/>
            </w:tcBorders>
            <w:shd w:val="clear" w:color="auto" w:fill="C6D9F1" w:themeFill="text2" w:themeFillTint="33"/>
          </w:tcPr>
          <w:p w:rsidR="00130360" w:rsidRDefault="00130360" w:rsidP="00472053">
            <w:pPr>
              <w:bidi w:val="0"/>
              <w:jc w:val="center"/>
              <w:rPr>
                <w:rFonts w:asciiTheme="majorBidi" w:hAnsiTheme="majorBidi" w:cstheme="majorBidi"/>
                <w:sz w:val="20"/>
                <w:szCs w:val="20"/>
              </w:rPr>
            </w:pPr>
            <w:r>
              <w:rPr>
                <w:rFonts w:asciiTheme="majorBidi" w:hAnsiTheme="majorBidi" w:cstheme="majorBidi"/>
                <w:sz w:val="20"/>
                <w:szCs w:val="20"/>
              </w:rPr>
              <w:t>-1.2</w:t>
            </w:r>
          </w:p>
        </w:tc>
      </w:tr>
      <w:tr w:rsidR="00130360" w:rsidRPr="007A4B17" w:rsidTr="00472053">
        <w:tc>
          <w:tcPr>
            <w:tcW w:w="4680" w:type="dxa"/>
            <w:tcBorders>
              <w:top w:val="single" w:sz="4" w:space="0" w:color="auto"/>
              <w:bottom w:val="single" w:sz="4" w:space="0" w:color="auto"/>
            </w:tcBorders>
            <w:vAlign w:val="bottom"/>
          </w:tcPr>
          <w:p w:rsidR="00130360" w:rsidRDefault="00130360" w:rsidP="00472053">
            <w:pPr>
              <w:bidi w:val="0"/>
              <w:rPr>
                <w:sz w:val="20"/>
                <w:szCs w:val="20"/>
              </w:rPr>
            </w:pPr>
            <w:r>
              <w:rPr>
                <w:sz w:val="20"/>
                <w:szCs w:val="20"/>
              </w:rPr>
              <w:t>Debt to GDP ratio (percent)</w:t>
            </w:r>
          </w:p>
        </w:tc>
        <w:tc>
          <w:tcPr>
            <w:tcW w:w="1269" w:type="dxa"/>
            <w:tcBorders>
              <w:top w:val="single" w:sz="4" w:space="0" w:color="auto"/>
              <w:bottom w:val="single" w:sz="4" w:space="0" w:color="auto"/>
              <w:right w:val="single" w:sz="4" w:space="0" w:color="auto"/>
            </w:tcBorders>
          </w:tcPr>
          <w:p w:rsidR="00130360" w:rsidRDefault="00130360" w:rsidP="00472053">
            <w:pPr>
              <w:bidi w:val="0"/>
              <w:jc w:val="center"/>
              <w:rPr>
                <w:rFonts w:asciiTheme="majorBidi" w:hAnsiTheme="majorBidi" w:cstheme="majorBidi"/>
                <w:sz w:val="20"/>
                <w:szCs w:val="20"/>
                <w:rtl/>
              </w:rPr>
            </w:pPr>
            <w:r>
              <w:rPr>
                <w:rFonts w:asciiTheme="majorBidi" w:hAnsiTheme="majorBidi" w:cstheme="majorBidi"/>
                <w:sz w:val="20"/>
                <w:szCs w:val="20"/>
              </w:rPr>
              <w:t>60.7</w:t>
            </w:r>
          </w:p>
        </w:tc>
        <w:tc>
          <w:tcPr>
            <w:tcW w:w="992" w:type="dxa"/>
            <w:tcBorders>
              <w:top w:val="single" w:sz="4" w:space="0" w:color="auto"/>
              <w:left w:val="single" w:sz="4" w:space="0" w:color="auto"/>
              <w:bottom w:val="single" w:sz="4" w:space="0" w:color="auto"/>
              <w:right w:val="nil"/>
            </w:tcBorders>
            <w:shd w:val="clear" w:color="auto" w:fill="auto"/>
          </w:tcPr>
          <w:p w:rsidR="00130360" w:rsidRDefault="00130360" w:rsidP="00472053">
            <w:pPr>
              <w:bidi w:val="0"/>
              <w:jc w:val="center"/>
              <w:rPr>
                <w:rFonts w:asciiTheme="majorBidi" w:hAnsiTheme="majorBidi" w:cstheme="majorBidi"/>
                <w:sz w:val="20"/>
                <w:szCs w:val="20"/>
              </w:rPr>
            </w:pPr>
            <w:r>
              <w:rPr>
                <w:rFonts w:asciiTheme="majorBidi" w:hAnsiTheme="majorBidi" w:cstheme="majorBidi"/>
                <w:sz w:val="20"/>
                <w:szCs w:val="20"/>
              </w:rPr>
              <w:t>59</w:t>
            </w:r>
          </w:p>
        </w:tc>
        <w:tc>
          <w:tcPr>
            <w:tcW w:w="1276" w:type="dxa"/>
            <w:tcBorders>
              <w:top w:val="single" w:sz="4" w:space="0" w:color="auto"/>
              <w:left w:val="nil"/>
              <w:bottom w:val="single" w:sz="4" w:space="0" w:color="auto"/>
              <w:right w:val="single" w:sz="4" w:space="0" w:color="auto"/>
            </w:tcBorders>
            <w:shd w:val="clear" w:color="auto" w:fill="C6D9F1" w:themeFill="text2" w:themeFillTint="33"/>
            <w:vAlign w:val="bottom"/>
          </w:tcPr>
          <w:p w:rsidR="00130360" w:rsidRDefault="00130360" w:rsidP="00472053">
            <w:pPr>
              <w:bidi w:val="0"/>
              <w:jc w:val="center"/>
              <w:rPr>
                <w:rFonts w:asciiTheme="majorBidi" w:hAnsiTheme="majorBidi" w:cstheme="majorBidi"/>
                <w:sz w:val="20"/>
                <w:szCs w:val="20"/>
              </w:rPr>
            </w:pPr>
            <w:r>
              <w:rPr>
                <w:rFonts w:asciiTheme="majorBidi" w:hAnsiTheme="majorBidi" w:cstheme="majorBidi"/>
                <w:sz w:val="20"/>
                <w:szCs w:val="20"/>
              </w:rPr>
              <w:t>-3.0</w:t>
            </w:r>
          </w:p>
        </w:tc>
        <w:tc>
          <w:tcPr>
            <w:tcW w:w="992" w:type="dxa"/>
            <w:tcBorders>
              <w:top w:val="single" w:sz="4" w:space="0" w:color="auto"/>
              <w:left w:val="single" w:sz="4" w:space="0" w:color="auto"/>
              <w:bottom w:val="single" w:sz="4" w:space="0" w:color="auto"/>
              <w:right w:val="nil"/>
            </w:tcBorders>
            <w:shd w:val="clear" w:color="auto" w:fill="auto"/>
          </w:tcPr>
          <w:p w:rsidR="00130360" w:rsidRDefault="00130360" w:rsidP="00472053">
            <w:pPr>
              <w:bidi w:val="0"/>
              <w:jc w:val="center"/>
              <w:rPr>
                <w:rFonts w:asciiTheme="majorBidi" w:hAnsiTheme="majorBidi" w:cstheme="majorBidi"/>
                <w:sz w:val="20"/>
                <w:szCs w:val="20"/>
              </w:rPr>
            </w:pPr>
            <w:r>
              <w:rPr>
                <w:rFonts w:asciiTheme="majorBidi" w:hAnsiTheme="majorBidi" w:cstheme="majorBidi"/>
                <w:sz w:val="20"/>
                <w:szCs w:val="20"/>
              </w:rPr>
              <w:t>58</w:t>
            </w:r>
          </w:p>
        </w:tc>
        <w:tc>
          <w:tcPr>
            <w:tcW w:w="1422" w:type="dxa"/>
            <w:tcBorders>
              <w:top w:val="single" w:sz="4" w:space="0" w:color="auto"/>
              <w:left w:val="nil"/>
              <w:bottom w:val="single" w:sz="4" w:space="0" w:color="auto"/>
              <w:right w:val="single" w:sz="4" w:space="0" w:color="auto"/>
            </w:tcBorders>
            <w:shd w:val="clear" w:color="auto" w:fill="C6D9F1" w:themeFill="text2" w:themeFillTint="33"/>
          </w:tcPr>
          <w:p w:rsidR="00130360" w:rsidRDefault="00130360" w:rsidP="00472053">
            <w:pPr>
              <w:bidi w:val="0"/>
              <w:jc w:val="center"/>
              <w:rPr>
                <w:rFonts w:asciiTheme="majorBidi" w:hAnsiTheme="majorBidi" w:cstheme="majorBidi"/>
                <w:sz w:val="20"/>
                <w:szCs w:val="20"/>
              </w:rPr>
            </w:pPr>
            <w:r>
              <w:rPr>
                <w:rFonts w:asciiTheme="majorBidi" w:hAnsiTheme="majorBidi" w:cstheme="majorBidi"/>
                <w:sz w:val="20"/>
                <w:szCs w:val="20"/>
              </w:rPr>
              <w:t>-</w:t>
            </w:r>
            <w:r w:rsidR="00472053">
              <w:rPr>
                <w:rFonts w:asciiTheme="majorBidi" w:hAnsiTheme="majorBidi" w:cstheme="majorBidi"/>
                <w:sz w:val="20"/>
                <w:szCs w:val="20"/>
              </w:rPr>
              <w:t>3</w:t>
            </w:r>
            <w:r>
              <w:rPr>
                <w:rFonts w:asciiTheme="majorBidi" w:hAnsiTheme="majorBidi" w:cstheme="majorBidi"/>
                <w:sz w:val="20"/>
                <w:szCs w:val="20"/>
              </w:rPr>
              <w:t>.0</w:t>
            </w:r>
          </w:p>
        </w:tc>
      </w:tr>
      <w:tr w:rsidR="00130360" w:rsidRPr="007A4B17" w:rsidTr="00472053">
        <w:tc>
          <w:tcPr>
            <w:tcW w:w="4680" w:type="dxa"/>
            <w:tcBorders>
              <w:top w:val="single" w:sz="4" w:space="0" w:color="auto"/>
              <w:bottom w:val="single" w:sz="4" w:space="0" w:color="auto"/>
            </w:tcBorders>
            <w:vAlign w:val="bottom"/>
          </w:tcPr>
          <w:p w:rsidR="00130360" w:rsidRPr="009F1F95" w:rsidRDefault="00130360" w:rsidP="00472053">
            <w:pPr>
              <w:bidi w:val="0"/>
              <w:rPr>
                <w:sz w:val="20"/>
                <w:szCs w:val="20"/>
                <w:vertAlign w:val="superscript"/>
              </w:rPr>
            </w:pPr>
            <w:r>
              <w:rPr>
                <w:sz w:val="20"/>
                <w:szCs w:val="20"/>
              </w:rPr>
              <w:t>Inflation (percent)</w:t>
            </w:r>
            <w:r>
              <w:rPr>
                <w:sz w:val="20"/>
                <w:szCs w:val="20"/>
                <w:vertAlign w:val="superscript"/>
              </w:rPr>
              <w:t>b</w:t>
            </w:r>
          </w:p>
        </w:tc>
        <w:tc>
          <w:tcPr>
            <w:tcW w:w="1269" w:type="dxa"/>
            <w:tcBorders>
              <w:top w:val="single" w:sz="4" w:space="0" w:color="auto"/>
              <w:bottom w:val="single" w:sz="4" w:space="0" w:color="auto"/>
              <w:right w:val="single" w:sz="4" w:space="0" w:color="auto"/>
            </w:tcBorders>
          </w:tcPr>
          <w:p w:rsidR="00130360" w:rsidRDefault="00130360" w:rsidP="00472053">
            <w:pPr>
              <w:bidi w:val="0"/>
              <w:jc w:val="center"/>
              <w:rPr>
                <w:rFonts w:asciiTheme="majorBidi" w:hAnsiTheme="majorBidi" w:cstheme="majorBidi"/>
                <w:sz w:val="20"/>
                <w:szCs w:val="20"/>
              </w:rPr>
            </w:pPr>
            <w:r>
              <w:rPr>
                <w:rFonts w:asciiTheme="majorBidi" w:hAnsiTheme="majorBidi" w:cstheme="majorBidi"/>
                <w:sz w:val="20"/>
                <w:szCs w:val="20"/>
              </w:rPr>
              <w:t>5.2</w:t>
            </w:r>
          </w:p>
        </w:tc>
        <w:tc>
          <w:tcPr>
            <w:tcW w:w="992" w:type="dxa"/>
            <w:tcBorders>
              <w:top w:val="single" w:sz="4" w:space="0" w:color="auto"/>
              <w:left w:val="single" w:sz="4" w:space="0" w:color="auto"/>
              <w:bottom w:val="single" w:sz="4" w:space="0" w:color="auto"/>
              <w:right w:val="nil"/>
            </w:tcBorders>
            <w:shd w:val="clear" w:color="auto" w:fill="auto"/>
          </w:tcPr>
          <w:p w:rsidR="00130360" w:rsidRDefault="00130360" w:rsidP="00472053">
            <w:pPr>
              <w:bidi w:val="0"/>
              <w:jc w:val="center"/>
              <w:rPr>
                <w:rFonts w:asciiTheme="majorBidi" w:hAnsiTheme="majorBidi" w:cstheme="majorBidi"/>
                <w:sz w:val="20"/>
                <w:szCs w:val="20"/>
              </w:rPr>
            </w:pPr>
            <w:r>
              <w:rPr>
                <w:rFonts w:asciiTheme="majorBidi" w:hAnsiTheme="majorBidi" w:cstheme="majorBidi"/>
                <w:sz w:val="20"/>
                <w:szCs w:val="20"/>
              </w:rPr>
              <w:t>3.9</w:t>
            </w:r>
          </w:p>
        </w:tc>
        <w:tc>
          <w:tcPr>
            <w:tcW w:w="1276" w:type="dxa"/>
            <w:tcBorders>
              <w:top w:val="single" w:sz="4" w:space="0" w:color="auto"/>
              <w:left w:val="nil"/>
              <w:bottom w:val="single" w:sz="4" w:space="0" w:color="auto"/>
              <w:right w:val="single" w:sz="4" w:space="0" w:color="auto"/>
            </w:tcBorders>
            <w:shd w:val="clear" w:color="auto" w:fill="C6D9F1" w:themeFill="text2" w:themeFillTint="33"/>
            <w:vAlign w:val="bottom"/>
          </w:tcPr>
          <w:p w:rsidR="00130360" w:rsidRDefault="00130360" w:rsidP="00472053">
            <w:pPr>
              <w:bidi w:val="0"/>
              <w:jc w:val="center"/>
              <w:rPr>
                <w:rFonts w:asciiTheme="majorBidi" w:hAnsiTheme="majorBidi" w:cstheme="majorBidi"/>
                <w:sz w:val="20"/>
                <w:szCs w:val="20"/>
              </w:rPr>
            </w:pPr>
            <w:r>
              <w:rPr>
                <w:rFonts w:asciiTheme="majorBidi" w:hAnsiTheme="majorBidi" w:cstheme="majorBidi"/>
                <w:sz w:val="20"/>
                <w:szCs w:val="20"/>
              </w:rPr>
              <w:t>0.9</w:t>
            </w:r>
          </w:p>
        </w:tc>
        <w:tc>
          <w:tcPr>
            <w:tcW w:w="992" w:type="dxa"/>
            <w:tcBorders>
              <w:top w:val="single" w:sz="4" w:space="0" w:color="auto"/>
              <w:left w:val="single" w:sz="4" w:space="0" w:color="auto"/>
              <w:bottom w:val="single" w:sz="4" w:space="0" w:color="auto"/>
              <w:right w:val="nil"/>
            </w:tcBorders>
            <w:shd w:val="clear" w:color="auto" w:fill="auto"/>
          </w:tcPr>
          <w:p w:rsidR="00130360" w:rsidRDefault="00130360" w:rsidP="00472053">
            <w:pPr>
              <w:bidi w:val="0"/>
              <w:jc w:val="center"/>
              <w:rPr>
                <w:rFonts w:asciiTheme="majorBidi" w:hAnsiTheme="majorBidi" w:cstheme="majorBidi"/>
                <w:sz w:val="20"/>
                <w:szCs w:val="20"/>
              </w:rPr>
            </w:pPr>
            <w:r>
              <w:rPr>
                <w:rFonts w:asciiTheme="majorBidi" w:hAnsiTheme="majorBidi" w:cstheme="majorBidi"/>
                <w:sz w:val="20"/>
                <w:szCs w:val="20"/>
              </w:rPr>
              <w:t>2.3</w:t>
            </w:r>
          </w:p>
        </w:tc>
        <w:tc>
          <w:tcPr>
            <w:tcW w:w="1422" w:type="dxa"/>
            <w:tcBorders>
              <w:top w:val="single" w:sz="4" w:space="0" w:color="auto"/>
              <w:left w:val="nil"/>
              <w:bottom w:val="single" w:sz="4" w:space="0" w:color="auto"/>
              <w:right w:val="single" w:sz="4" w:space="0" w:color="auto"/>
            </w:tcBorders>
            <w:shd w:val="clear" w:color="auto" w:fill="C6D9F1" w:themeFill="text2" w:themeFillTint="33"/>
          </w:tcPr>
          <w:p w:rsidR="00130360" w:rsidRDefault="00130360" w:rsidP="00472053">
            <w:pPr>
              <w:bidi w:val="0"/>
              <w:jc w:val="center"/>
              <w:rPr>
                <w:rFonts w:asciiTheme="majorBidi" w:hAnsiTheme="majorBidi" w:cstheme="majorBidi"/>
                <w:sz w:val="20"/>
                <w:szCs w:val="20"/>
              </w:rPr>
            </w:pPr>
            <w:r>
              <w:rPr>
                <w:rFonts w:asciiTheme="majorBidi" w:hAnsiTheme="majorBidi" w:cstheme="majorBidi"/>
                <w:sz w:val="20"/>
                <w:szCs w:val="20"/>
              </w:rPr>
              <w:t>0.3</w:t>
            </w:r>
          </w:p>
        </w:tc>
      </w:tr>
      <w:tr w:rsidR="00130360" w:rsidRPr="007A4B17" w:rsidTr="00472053">
        <w:tc>
          <w:tcPr>
            <w:tcW w:w="10631" w:type="dxa"/>
            <w:gridSpan w:val="6"/>
            <w:tcBorders>
              <w:top w:val="single" w:sz="4" w:space="0" w:color="auto"/>
              <w:bottom w:val="single" w:sz="4" w:space="0" w:color="auto"/>
              <w:right w:val="single" w:sz="4" w:space="0" w:color="auto"/>
            </w:tcBorders>
            <w:vAlign w:val="bottom"/>
          </w:tcPr>
          <w:p w:rsidR="00130360" w:rsidRDefault="00130360" w:rsidP="00472053">
            <w:pPr>
              <w:bidi w:val="0"/>
              <w:rPr>
                <w:rFonts w:asciiTheme="majorBidi" w:hAnsiTheme="majorBidi" w:cstheme="majorBidi"/>
                <w:sz w:val="18"/>
                <w:szCs w:val="18"/>
              </w:rPr>
            </w:pPr>
            <w:proofErr w:type="spellStart"/>
            <w:proofErr w:type="gramStart"/>
            <w:r w:rsidRPr="009F1F95">
              <w:rPr>
                <w:rFonts w:asciiTheme="majorBidi" w:hAnsiTheme="majorBidi" w:cstheme="majorBidi"/>
                <w:sz w:val="18"/>
                <w:szCs w:val="18"/>
                <w:vertAlign w:val="superscript"/>
              </w:rPr>
              <w:t>a</w:t>
            </w:r>
            <w:proofErr w:type="spellEnd"/>
            <w:proofErr w:type="gramEnd"/>
            <w:r w:rsidRPr="009F1F95">
              <w:rPr>
                <w:rFonts w:asciiTheme="majorBidi" w:hAnsiTheme="majorBidi" w:cstheme="majorBidi"/>
                <w:sz w:val="18"/>
                <w:szCs w:val="18"/>
                <w:vertAlign w:val="superscript"/>
              </w:rPr>
              <w:t xml:space="preserve"> </w:t>
            </w:r>
            <w:r w:rsidRPr="009F1F95">
              <w:rPr>
                <w:rFonts w:asciiTheme="majorBidi" w:hAnsiTheme="majorBidi" w:cstheme="majorBidi"/>
                <w:sz w:val="18"/>
                <w:szCs w:val="18"/>
              </w:rPr>
              <w:t>In the forecast of National Accounts components, the rate of change is rounded to the nearest half percentage point.</w:t>
            </w:r>
          </w:p>
          <w:p w:rsidR="00130360" w:rsidRPr="009F1F95" w:rsidRDefault="00130360" w:rsidP="00472053">
            <w:pPr>
              <w:bidi w:val="0"/>
              <w:rPr>
                <w:rFonts w:asciiTheme="majorBidi" w:hAnsiTheme="majorBidi" w:cstheme="majorBidi"/>
                <w:sz w:val="18"/>
                <w:szCs w:val="18"/>
                <w:vertAlign w:val="superscript"/>
              </w:rPr>
            </w:pPr>
            <w:proofErr w:type="gramStart"/>
            <w:r>
              <w:rPr>
                <w:rFonts w:asciiTheme="majorBidi" w:hAnsiTheme="majorBidi" w:cstheme="majorBidi"/>
                <w:sz w:val="18"/>
                <w:szCs w:val="18"/>
                <w:vertAlign w:val="superscript"/>
              </w:rPr>
              <w:t>b</w:t>
            </w:r>
            <w:proofErr w:type="gramEnd"/>
            <w:r>
              <w:rPr>
                <w:rFonts w:asciiTheme="majorBidi" w:hAnsiTheme="majorBidi" w:cstheme="majorBidi"/>
                <w:sz w:val="18"/>
                <w:szCs w:val="18"/>
              </w:rPr>
              <w:t xml:space="preserve"> The average of the Consumer Price Index in the last quarter of the year compared with the average in the last quarter of the previous year.</w:t>
            </w:r>
          </w:p>
        </w:tc>
      </w:tr>
    </w:tbl>
    <w:p w:rsidR="00407E88" w:rsidRDefault="003723AE" w:rsidP="00472053">
      <w:pPr>
        <w:bidi w:val="0"/>
        <w:jc w:val="both"/>
      </w:pPr>
      <w:r>
        <w:lastRenderedPageBreak/>
        <w:t xml:space="preserve">The forecast’s starting point is an economy that features a tight labor market.  Despite the moderation in job vacancies, </w:t>
      </w:r>
      <w:r w:rsidR="00130360">
        <w:t>the job vacancy</w:t>
      </w:r>
      <w:r>
        <w:t xml:space="preserve"> rate and the employment rate in the primary working ages are higher than before the COVID-19 crisis, while the unemployment rate is only slightly higher than it was before the crisis.  </w:t>
      </w:r>
      <w:r w:rsidR="00407E88">
        <w:t xml:space="preserve">Within the forecast period, our assessment is that the labor market will remain tight, but will gradually return to the typical </w:t>
      </w:r>
      <w:proofErr w:type="spellStart"/>
      <w:r w:rsidR="00407E88">
        <w:t>precrisis</w:t>
      </w:r>
      <w:proofErr w:type="spellEnd"/>
      <w:r w:rsidR="00407E88">
        <w:t xml:space="preserve"> rates.  In particular, </w:t>
      </w:r>
      <w:r w:rsidR="00DD3474">
        <w:t xml:space="preserve">we forecast that </w:t>
      </w:r>
      <w:r w:rsidR="00407E88">
        <w:t xml:space="preserve">the employment rate </w:t>
      </w:r>
      <w:r w:rsidR="00DD3474">
        <w:t>among the primary working ages will</w:t>
      </w:r>
      <w:r w:rsidR="00407E88">
        <w:t xml:space="preserve"> decline to</w:t>
      </w:r>
      <w:r w:rsidR="00DD3474">
        <w:t xml:space="preserve"> an average of</w:t>
      </w:r>
      <w:r w:rsidR="00407E88">
        <w:t xml:space="preserve"> 77.</w:t>
      </w:r>
      <w:r w:rsidR="00787523">
        <w:t>4</w:t>
      </w:r>
      <w:r w:rsidR="00407E88">
        <w:t xml:space="preserve"> percent</w:t>
      </w:r>
      <w:r w:rsidR="00DD3474">
        <w:t xml:space="preserve"> in 202</w:t>
      </w:r>
      <w:r w:rsidR="00787523">
        <w:t>4</w:t>
      </w:r>
      <w:r w:rsidR="00407E88">
        <w:t xml:space="preserve">, and the unemployment rate </w:t>
      </w:r>
      <w:r w:rsidR="00DD3474">
        <w:t>will</w:t>
      </w:r>
      <w:r w:rsidR="00407E88">
        <w:t xml:space="preserve"> </w:t>
      </w:r>
      <w:r w:rsidR="00DD3474">
        <w:t xml:space="preserve">average </w:t>
      </w:r>
      <w:r w:rsidR="00787523">
        <w:t>4.0</w:t>
      </w:r>
      <w:r w:rsidR="00407E88">
        <w:t xml:space="preserve"> percent</w:t>
      </w:r>
      <w:r w:rsidR="00DD3474">
        <w:t xml:space="preserve"> in the same year</w:t>
      </w:r>
      <w:r w:rsidR="00407E88">
        <w:t>.</w:t>
      </w:r>
    </w:p>
    <w:p w:rsidR="00A379B9" w:rsidRDefault="00A379B9" w:rsidP="00407E88">
      <w:pPr>
        <w:bidi w:val="0"/>
        <w:jc w:val="both"/>
      </w:pPr>
    </w:p>
    <w:p w:rsidR="00A379B9" w:rsidRDefault="00A379B9" w:rsidP="00472053">
      <w:pPr>
        <w:bidi w:val="0"/>
        <w:jc w:val="both"/>
      </w:pPr>
      <w:r>
        <w:t xml:space="preserve">Regarding </w:t>
      </w:r>
      <w:r w:rsidR="003723AE">
        <w:t>fiscal policy</w:t>
      </w:r>
      <w:r>
        <w:t>,</w:t>
      </w:r>
      <w:r w:rsidR="00CC3BC3">
        <w:t xml:space="preserve"> </w:t>
      </w:r>
      <w:r w:rsidR="003723AE">
        <w:t>the budget framework that was approved reflects real public consumption that is lower than in the January forecast</w:t>
      </w:r>
      <w:r w:rsidR="00DA623D">
        <w:t>, and the revised revenue forecast is slightly lower than in January</w:t>
      </w:r>
      <w:r w:rsidR="003723AE">
        <w:t xml:space="preserve">. </w:t>
      </w:r>
      <w:r w:rsidR="00EA5E1C">
        <w:t xml:space="preserve"> </w:t>
      </w:r>
      <w:r w:rsidR="00DA623D">
        <w:t>According to the wage agreements, t</w:t>
      </w:r>
      <w:r w:rsidR="00EA5E1C">
        <w:t xml:space="preserve">he wage increment in </w:t>
      </w:r>
      <w:r w:rsidR="00DA623D">
        <w:t xml:space="preserve">2023 will be similar to our assessment from the previous forecast, but the increment in </w:t>
      </w:r>
      <w:r w:rsidR="00EA5E1C">
        <w:t xml:space="preserve">2024 </w:t>
      </w:r>
      <w:r w:rsidR="00DA623D">
        <w:t>will be lower</w:t>
      </w:r>
      <w:r w:rsidR="00EA5E1C">
        <w:t xml:space="preserve">.  </w:t>
      </w:r>
      <w:r w:rsidR="002C2B40">
        <w:t>The m</w:t>
      </w:r>
      <w:r w:rsidR="00EA5E1C">
        <w:t>inimum wage</w:t>
      </w:r>
      <w:r w:rsidR="00DA623D">
        <w:t xml:space="preserve"> will</w:t>
      </w:r>
      <w:r w:rsidR="00EA5E1C">
        <w:t xml:space="preserve"> increase in April 2023 from NIS 5300 to NIS 5572—an increase of 5.1 percent.  In our assessment, in each of the years 2023 and 2024, the deficit will be 0.9 percent of GDP, and </w:t>
      </w:r>
      <w:r w:rsidR="00DA623D">
        <w:t xml:space="preserve">the </w:t>
      </w:r>
      <w:r w:rsidR="00EA5E1C">
        <w:t xml:space="preserve">debt </w:t>
      </w:r>
      <w:r w:rsidR="00DA623D">
        <w:t xml:space="preserve">to GDP ratio </w:t>
      </w:r>
      <w:r w:rsidR="00EA5E1C">
        <w:t xml:space="preserve">will </w:t>
      </w:r>
      <w:r w:rsidR="00472053">
        <w:t>decline to below 60</w:t>
      </w:r>
      <w:r w:rsidR="00DA623D">
        <w:t xml:space="preserve"> percent</w:t>
      </w:r>
      <w:r w:rsidR="00EA5E1C">
        <w:t>.</w:t>
      </w:r>
      <w:r w:rsidR="00E64B7F">
        <w:t xml:space="preserve"> </w:t>
      </w:r>
    </w:p>
    <w:p w:rsidR="00B32D05" w:rsidRDefault="00B32D05" w:rsidP="00B32D05">
      <w:pPr>
        <w:bidi w:val="0"/>
        <w:jc w:val="both"/>
      </w:pPr>
    </w:p>
    <w:p w:rsidR="00A21D01" w:rsidRPr="005C08DC" w:rsidRDefault="00A21D01" w:rsidP="00184744">
      <w:pPr>
        <w:numPr>
          <w:ilvl w:val="0"/>
          <w:numId w:val="9"/>
        </w:numPr>
        <w:bidi w:val="0"/>
        <w:spacing w:line="360" w:lineRule="auto"/>
        <w:ind w:left="357" w:hanging="357"/>
        <w:jc w:val="both"/>
        <w:rPr>
          <w:b/>
          <w:bCs/>
        </w:rPr>
      </w:pPr>
      <w:r w:rsidRPr="005C08DC">
        <w:rPr>
          <w:b/>
          <w:bCs/>
        </w:rPr>
        <w:t xml:space="preserve">Inflation and interest rates </w:t>
      </w:r>
    </w:p>
    <w:p w:rsidR="005A3805" w:rsidRDefault="004F6E9A" w:rsidP="00472053">
      <w:pPr>
        <w:bidi w:val="0"/>
        <w:jc w:val="both"/>
      </w:pPr>
      <w:r>
        <w:t xml:space="preserve">According to our assessment, </w:t>
      </w:r>
      <w:r w:rsidR="002260C5">
        <w:rPr>
          <w:b/>
          <w:bCs/>
        </w:rPr>
        <w:t>inflation in the next four quarters</w:t>
      </w:r>
      <w:r w:rsidR="00541457">
        <w:rPr>
          <w:b/>
          <w:bCs/>
        </w:rPr>
        <w:t xml:space="preserve"> (ending in the </w:t>
      </w:r>
      <w:r w:rsidR="002C2B40">
        <w:rPr>
          <w:b/>
          <w:bCs/>
        </w:rPr>
        <w:t>first</w:t>
      </w:r>
      <w:r w:rsidR="00541457">
        <w:rPr>
          <w:b/>
          <w:bCs/>
        </w:rPr>
        <w:t xml:space="preserve"> quarter of 202</w:t>
      </w:r>
      <w:r w:rsidR="002C2B40">
        <w:rPr>
          <w:b/>
          <w:bCs/>
        </w:rPr>
        <w:t>4</w:t>
      </w:r>
      <w:r w:rsidR="00541457">
        <w:rPr>
          <w:b/>
          <w:bCs/>
        </w:rPr>
        <w:t>)</w:t>
      </w:r>
      <w:r w:rsidR="002260C5">
        <w:rPr>
          <w:b/>
          <w:bCs/>
        </w:rPr>
        <w:t xml:space="preserve"> is expected to be </w:t>
      </w:r>
      <w:r w:rsidR="005A3805">
        <w:rPr>
          <w:b/>
          <w:bCs/>
        </w:rPr>
        <w:t>3.</w:t>
      </w:r>
      <w:r w:rsidR="002C2B40">
        <w:rPr>
          <w:b/>
          <w:bCs/>
        </w:rPr>
        <w:t>4</w:t>
      </w:r>
      <w:r w:rsidR="002260C5">
        <w:rPr>
          <w:b/>
          <w:bCs/>
        </w:rPr>
        <w:t xml:space="preserve"> percent</w:t>
      </w:r>
      <w:r w:rsidR="005A3805">
        <w:rPr>
          <w:b/>
          <w:bCs/>
        </w:rPr>
        <w:t xml:space="preserve"> (compared with </w:t>
      </w:r>
      <w:r w:rsidR="002C2B40">
        <w:rPr>
          <w:b/>
          <w:bCs/>
        </w:rPr>
        <w:t>3.0</w:t>
      </w:r>
      <w:r w:rsidR="005A3805">
        <w:rPr>
          <w:b/>
          <w:bCs/>
        </w:rPr>
        <w:t xml:space="preserve"> percent in the previous forecast)</w:t>
      </w:r>
      <w:r w:rsidR="00B8089B">
        <w:t xml:space="preserve"> (Table 2</w:t>
      </w:r>
      <w:r w:rsidR="00B8089B">
        <w:rPr>
          <w:rFonts w:hint="cs"/>
          <w:rtl/>
        </w:rPr>
        <w:t>(</w:t>
      </w:r>
      <w:r w:rsidR="00F71FEA" w:rsidRPr="00B8089B">
        <w:t>.</w:t>
      </w:r>
      <w:r w:rsidR="009523E0">
        <w:t xml:space="preserve"> Inflation in 202</w:t>
      </w:r>
      <w:r w:rsidR="005A3805">
        <w:t>4</w:t>
      </w:r>
      <w:r w:rsidR="009523E0">
        <w:t xml:space="preserve"> is expected to be </w:t>
      </w:r>
      <w:r w:rsidR="005A3805">
        <w:t>2.</w:t>
      </w:r>
      <w:r w:rsidR="002C2B40">
        <w:t>3 percent (Table 1).</w:t>
      </w:r>
      <w:r w:rsidR="005A3805">
        <w:t xml:space="preserve">  </w:t>
      </w:r>
      <w:r w:rsidR="005A3805" w:rsidRPr="005A3805">
        <w:t>The</w:t>
      </w:r>
      <w:r w:rsidR="002C2B40">
        <w:t xml:space="preserve"> upward revision of the</w:t>
      </w:r>
      <w:r w:rsidR="005A3805" w:rsidRPr="005A3805">
        <w:t xml:space="preserve"> inflation </w:t>
      </w:r>
      <w:r w:rsidR="002C2B40">
        <w:t>forecast is mainly due to the depreciation of the shekel in terms of the nominal effective exchange rate, the pace and volatility of which increased in recent months</w:t>
      </w:r>
      <w:r w:rsidR="00472053">
        <w:t>. The revision of the forecast was also affected by</w:t>
      </w:r>
      <w:r w:rsidR="002C2B40">
        <w:t xml:space="preserve"> the January and February CPI readings, which were surprisingly high and led to a revision in our assessments of the extent of inflation’s persistence.  In contrast, the decline in oil prices </w:t>
      </w:r>
      <w:r w:rsidR="00DA623D">
        <w:t>is</w:t>
      </w:r>
      <w:r w:rsidR="002C2B40">
        <w:t xml:space="preserve"> partly offset</w:t>
      </w:r>
      <w:r w:rsidR="00DA623D">
        <w:t>ting</w:t>
      </w:r>
      <w:r w:rsidR="002C2B40">
        <w:t xml:space="preserve"> these effects on the revision of the forecast. </w:t>
      </w:r>
      <w:r w:rsidR="00060A3E">
        <w:t xml:space="preserve">The inflation rate is expected to </w:t>
      </w:r>
      <w:r w:rsidR="005A3805">
        <w:t>slow</w:t>
      </w:r>
      <w:r w:rsidR="005A3805" w:rsidRPr="005A3805">
        <w:t xml:space="preserve"> during the forecast period </w:t>
      </w:r>
      <w:r w:rsidR="005A3805">
        <w:t>due to</w:t>
      </w:r>
      <w:r w:rsidR="005A3805" w:rsidRPr="005A3805">
        <w:t xml:space="preserve"> more mod</w:t>
      </w:r>
      <w:r w:rsidR="005A3805">
        <w:t xml:space="preserve">erate demand, under the influence of restraining monetary policy in Israel and abroad, </w:t>
      </w:r>
      <w:r w:rsidR="00060A3E">
        <w:t>and</w:t>
      </w:r>
      <w:r w:rsidR="005A3805">
        <w:t xml:space="preserve"> due to the continued </w:t>
      </w:r>
      <w:r w:rsidR="00060A3E">
        <w:t>subsiding</w:t>
      </w:r>
      <w:r w:rsidR="005A3805">
        <w:t xml:space="preserve"> of supply-side pressures. </w:t>
      </w:r>
      <w:r w:rsidR="00012A9C">
        <w:t xml:space="preserve"> </w:t>
      </w:r>
    </w:p>
    <w:p w:rsidR="009523E0" w:rsidRDefault="009523E0" w:rsidP="009523E0">
      <w:pPr>
        <w:bidi w:val="0"/>
        <w:jc w:val="both"/>
      </w:pPr>
    </w:p>
    <w:p w:rsidR="000C3AA1" w:rsidRPr="000C3AA1" w:rsidRDefault="005C4E0D" w:rsidP="00472053">
      <w:pPr>
        <w:bidi w:val="0"/>
        <w:jc w:val="both"/>
      </w:pPr>
      <w:r w:rsidRPr="005C4E0D">
        <w:rPr>
          <w:b/>
          <w:bCs/>
        </w:rPr>
        <w:t>The</w:t>
      </w:r>
      <w:r w:rsidR="000C3AA1" w:rsidRPr="005C4E0D">
        <w:rPr>
          <w:b/>
          <w:bCs/>
        </w:rPr>
        <w:t xml:space="preserve"> </w:t>
      </w:r>
      <w:r w:rsidR="000C3AA1">
        <w:rPr>
          <w:b/>
          <w:bCs/>
        </w:rPr>
        <w:t xml:space="preserve">interest rate </w:t>
      </w:r>
      <w:r>
        <w:rPr>
          <w:b/>
          <w:bCs/>
        </w:rPr>
        <w:t>is expected</w:t>
      </w:r>
      <w:r w:rsidR="000C3AA1">
        <w:rPr>
          <w:b/>
          <w:bCs/>
        </w:rPr>
        <w:t xml:space="preserve"> </w:t>
      </w:r>
      <w:r w:rsidR="00777384">
        <w:rPr>
          <w:b/>
          <w:bCs/>
        </w:rPr>
        <w:t xml:space="preserve">to </w:t>
      </w:r>
      <w:r w:rsidR="007638FC">
        <w:rPr>
          <w:b/>
          <w:bCs/>
        </w:rPr>
        <w:t>average</w:t>
      </w:r>
      <w:r w:rsidR="000C3AA1">
        <w:rPr>
          <w:b/>
          <w:bCs/>
        </w:rPr>
        <w:t xml:space="preserve"> </w:t>
      </w:r>
      <w:r>
        <w:rPr>
          <w:b/>
          <w:bCs/>
        </w:rPr>
        <w:t>4.</w:t>
      </w:r>
      <w:r w:rsidR="00060A3E">
        <w:rPr>
          <w:b/>
          <w:bCs/>
        </w:rPr>
        <w:t>75</w:t>
      </w:r>
      <w:r w:rsidR="000C3AA1">
        <w:rPr>
          <w:b/>
          <w:bCs/>
        </w:rPr>
        <w:t xml:space="preserve"> percent in </w:t>
      </w:r>
      <w:r w:rsidR="009523E0">
        <w:rPr>
          <w:b/>
          <w:bCs/>
        </w:rPr>
        <w:t xml:space="preserve">the </w:t>
      </w:r>
      <w:r>
        <w:rPr>
          <w:b/>
          <w:bCs/>
        </w:rPr>
        <w:t>f</w:t>
      </w:r>
      <w:r w:rsidR="00060A3E">
        <w:rPr>
          <w:b/>
          <w:bCs/>
        </w:rPr>
        <w:t>irst</w:t>
      </w:r>
      <w:r w:rsidR="009523E0">
        <w:rPr>
          <w:b/>
          <w:bCs/>
        </w:rPr>
        <w:t xml:space="preserve"> quarter of 202</w:t>
      </w:r>
      <w:r w:rsidR="00060A3E">
        <w:rPr>
          <w:b/>
          <w:bCs/>
        </w:rPr>
        <w:t>4</w:t>
      </w:r>
      <w:r w:rsidR="000C3AA1">
        <w:t xml:space="preserve"> (Table 2)</w:t>
      </w:r>
      <w:r w:rsidR="00060A3E">
        <w:t xml:space="preserve">, </w:t>
      </w:r>
      <w:r w:rsidR="00472053">
        <w:t>and to</w:t>
      </w:r>
      <w:r w:rsidR="00060A3E">
        <w:t xml:space="preserve"> help inflation converge to the midpoint of the target range during 2024.</w:t>
      </w:r>
      <w:r w:rsidR="009523E0">
        <w:t xml:space="preserve"> </w:t>
      </w:r>
    </w:p>
    <w:p w:rsidR="00C45ED5" w:rsidRDefault="00C45ED5" w:rsidP="00C45ED5">
      <w:pPr>
        <w:bidi w:val="0"/>
        <w:jc w:val="both"/>
      </w:pPr>
    </w:p>
    <w:p w:rsidR="00682563" w:rsidRDefault="00682563" w:rsidP="00060A3E">
      <w:pPr>
        <w:bidi w:val="0"/>
        <w:jc w:val="both"/>
      </w:pPr>
      <w:r>
        <w:t xml:space="preserve">Table 2 shows that the Research Department’s staff forecast regarding </w:t>
      </w:r>
      <w:r w:rsidR="005C4E0D">
        <w:t xml:space="preserve">inflation </w:t>
      </w:r>
      <w:r w:rsidR="00060A3E">
        <w:t xml:space="preserve">and regarding the interest rate </w:t>
      </w:r>
      <w:r w:rsidR="005C4E0D">
        <w:t>i</w:t>
      </w:r>
      <w:r>
        <w:t>s</w:t>
      </w:r>
      <w:r w:rsidR="00472053">
        <w:t xml:space="preserve"> slightly</w:t>
      </w:r>
      <w:r>
        <w:t xml:space="preserve"> </w:t>
      </w:r>
      <w:r w:rsidR="00A2696D">
        <w:t>higher than</w:t>
      </w:r>
      <w:r>
        <w:t xml:space="preserve"> the average of the private forecasters’ projections</w:t>
      </w:r>
      <w:r w:rsidR="005C4E0D">
        <w:t xml:space="preserve"> and expectations derived from the capital market.</w:t>
      </w:r>
      <w:r>
        <w:t xml:space="preserve"> </w:t>
      </w:r>
    </w:p>
    <w:p w:rsidR="0010114F" w:rsidRDefault="0010114F" w:rsidP="006E2552">
      <w:pPr>
        <w:bidi w:val="0"/>
        <w:jc w:val="both"/>
      </w:pPr>
    </w:p>
    <w:p w:rsidR="005F6371" w:rsidRPr="00C031F8" w:rsidRDefault="005F6371" w:rsidP="005F6371">
      <w:pPr>
        <w:bidi w:val="0"/>
        <w:jc w:val="both"/>
      </w:pPr>
    </w:p>
    <w:tbl>
      <w:tblPr>
        <w:tblW w:w="8233" w:type="dxa"/>
        <w:tblInd w:w="93" w:type="dxa"/>
        <w:tblLook w:val="04A0" w:firstRow="1" w:lastRow="0" w:firstColumn="1" w:lastColumn="0" w:noHBand="0" w:noVBand="1"/>
      </w:tblPr>
      <w:tblGrid>
        <w:gridCol w:w="2480"/>
        <w:gridCol w:w="2094"/>
        <w:gridCol w:w="1540"/>
        <w:gridCol w:w="2119"/>
      </w:tblGrid>
      <w:tr w:rsidR="00A21D01" w:rsidRPr="00B23575" w:rsidTr="00211EF7">
        <w:trPr>
          <w:trHeight w:val="316"/>
          <w:tblHeader/>
        </w:trPr>
        <w:tc>
          <w:tcPr>
            <w:tcW w:w="8233" w:type="dxa"/>
            <w:gridSpan w:val="4"/>
            <w:tcBorders>
              <w:top w:val="nil"/>
              <w:left w:val="nil"/>
              <w:bottom w:val="nil"/>
              <w:right w:val="nil"/>
            </w:tcBorders>
            <w:shd w:val="clear" w:color="000000" w:fill="FFFFFF"/>
            <w:noWrap/>
            <w:vAlign w:val="center"/>
            <w:hideMark/>
          </w:tcPr>
          <w:p w:rsidR="00A21D01" w:rsidRPr="00F75C0A" w:rsidRDefault="002945D2" w:rsidP="006E2552">
            <w:pPr>
              <w:bidi w:val="0"/>
              <w:rPr>
                <w:rFonts w:asciiTheme="majorBidi" w:hAnsiTheme="majorBidi" w:cstheme="majorBidi"/>
                <w:b/>
                <w:bCs/>
                <w:color w:val="0070C0"/>
              </w:rPr>
            </w:pPr>
            <w:r w:rsidRPr="00F75C0A">
              <w:rPr>
                <w:color w:val="0070C0"/>
              </w:rPr>
              <w:lastRenderedPageBreak/>
              <w:br w:type="page"/>
            </w:r>
            <w:r w:rsidR="00A21D01" w:rsidRPr="00F75C0A">
              <w:rPr>
                <w:rFonts w:asciiTheme="majorBidi" w:hAnsiTheme="majorBidi" w:cstheme="majorBidi"/>
                <w:b/>
                <w:bCs/>
                <w:color w:val="0070C0"/>
              </w:rPr>
              <w:t xml:space="preserve">Table </w:t>
            </w:r>
            <w:r w:rsidR="006E2552">
              <w:rPr>
                <w:rFonts w:asciiTheme="majorBidi" w:hAnsiTheme="majorBidi" w:cstheme="majorBidi"/>
                <w:b/>
                <w:bCs/>
                <w:color w:val="0070C0"/>
              </w:rPr>
              <w:t>2</w:t>
            </w:r>
          </w:p>
        </w:tc>
      </w:tr>
      <w:tr w:rsidR="00A21D01" w:rsidRPr="00B23575" w:rsidTr="00211EF7">
        <w:trPr>
          <w:trHeight w:val="316"/>
          <w:tblHeader/>
        </w:trPr>
        <w:tc>
          <w:tcPr>
            <w:tcW w:w="8233" w:type="dxa"/>
            <w:gridSpan w:val="4"/>
            <w:tcBorders>
              <w:top w:val="nil"/>
              <w:left w:val="nil"/>
              <w:bottom w:val="nil"/>
              <w:right w:val="nil"/>
            </w:tcBorders>
            <w:shd w:val="clear" w:color="000000" w:fill="FFFFFF"/>
            <w:noWrap/>
            <w:vAlign w:val="center"/>
            <w:hideMark/>
          </w:tcPr>
          <w:p w:rsidR="00A21D01" w:rsidRPr="00F75C0A" w:rsidRDefault="00453D2B" w:rsidP="00D62B59">
            <w:pPr>
              <w:bidi w:val="0"/>
              <w:rPr>
                <w:rFonts w:asciiTheme="majorBidi" w:hAnsiTheme="majorBidi" w:cstheme="majorBidi"/>
                <w:b/>
                <w:bCs/>
                <w:color w:val="0070C0"/>
              </w:rPr>
            </w:pPr>
            <w:r w:rsidRPr="00F75C0A">
              <w:rPr>
                <w:rFonts w:asciiTheme="majorBidi" w:hAnsiTheme="majorBidi" w:cstheme="majorBidi"/>
                <w:b/>
                <w:bCs/>
                <w:color w:val="0070C0"/>
              </w:rPr>
              <w:t>I</w:t>
            </w:r>
            <w:r w:rsidR="00A21D01" w:rsidRPr="00F75C0A">
              <w:rPr>
                <w:rFonts w:asciiTheme="majorBidi" w:hAnsiTheme="majorBidi" w:cstheme="majorBidi"/>
                <w:b/>
                <w:bCs/>
                <w:color w:val="0070C0"/>
              </w:rPr>
              <w:t xml:space="preserve">nflation </w:t>
            </w:r>
            <w:r w:rsidRPr="00F75C0A">
              <w:rPr>
                <w:rFonts w:asciiTheme="majorBidi" w:hAnsiTheme="majorBidi" w:cstheme="majorBidi"/>
                <w:b/>
                <w:bCs/>
                <w:color w:val="0070C0"/>
              </w:rPr>
              <w:t xml:space="preserve">forecast </w:t>
            </w:r>
            <w:r w:rsidR="00A21D01" w:rsidRPr="00F75C0A">
              <w:rPr>
                <w:rFonts w:asciiTheme="majorBidi" w:hAnsiTheme="majorBidi" w:cstheme="majorBidi"/>
                <w:b/>
                <w:bCs/>
                <w:color w:val="0070C0"/>
              </w:rPr>
              <w:t>for the coming year</w:t>
            </w:r>
            <w:r w:rsidR="00D62B59">
              <w:rPr>
                <w:rFonts w:asciiTheme="majorBidi" w:hAnsiTheme="majorBidi" w:cstheme="majorBidi"/>
                <w:b/>
                <w:bCs/>
                <w:color w:val="0070C0"/>
              </w:rPr>
              <w:t xml:space="preserve"> </w:t>
            </w:r>
            <w:r w:rsidR="00D62B59" w:rsidRPr="00F75C0A">
              <w:rPr>
                <w:rFonts w:asciiTheme="majorBidi" w:hAnsiTheme="majorBidi" w:cstheme="majorBidi"/>
                <w:b/>
                <w:bCs/>
                <w:color w:val="0070C0"/>
              </w:rPr>
              <w:t>and interest rate</w:t>
            </w:r>
            <w:r w:rsidR="00D62B59">
              <w:rPr>
                <w:rFonts w:asciiTheme="majorBidi" w:hAnsiTheme="majorBidi" w:cstheme="majorBidi"/>
                <w:b/>
                <w:bCs/>
                <w:color w:val="0070C0"/>
              </w:rPr>
              <w:t xml:space="preserve"> forecast for one year from now</w:t>
            </w:r>
          </w:p>
        </w:tc>
      </w:tr>
      <w:tr w:rsidR="00A21D01" w:rsidRPr="00B23575" w:rsidTr="00211EF7">
        <w:trPr>
          <w:trHeight w:val="316"/>
          <w:tblHeader/>
        </w:trPr>
        <w:tc>
          <w:tcPr>
            <w:tcW w:w="8233" w:type="dxa"/>
            <w:gridSpan w:val="4"/>
            <w:tcBorders>
              <w:top w:val="nil"/>
              <w:left w:val="nil"/>
              <w:bottom w:val="single" w:sz="4" w:space="0" w:color="auto"/>
              <w:right w:val="nil"/>
            </w:tcBorders>
            <w:shd w:val="clear" w:color="000000" w:fill="FFFFFF"/>
            <w:noWrap/>
            <w:vAlign w:val="center"/>
            <w:hideMark/>
          </w:tcPr>
          <w:p w:rsidR="00A21D01" w:rsidRPr="00F75C0A" w:rsidRDefault="00A21D01" w:rsidP="00211EF7">
            <w:pPr>
              <w:bidi w:val="0"/>
              <w:jc w:val="right"/>
              <w:rPr>
                <w:rFonts w:asciiTheme="majorBidi" w:hAnsiTheme="majorBidi" w:cstheme="majorBidi"/>
                <w:color w:val="0070C0"/>
                <w:sz w:val="22"/>
                <w:szCs w:val="22"/>
              </w:rPr>
            </w:pPr>
            <w:r w:rsidRPr="00F75C0A">
              <w:rPr>
                <w:rFonts w:asciiTheme="majorBidi" w:hAnsiTheme="majorBidi" w:cstheme="majorBidi"/>
                <w:color w:val="0070C0"/>
                <w:sz w:val="22"/>
                <w:szCs w:val="22"/>
              </w:rPr>
              <w:t>(percent)</w:t>
            </w:r>
          </w:p>
        </w:tc>
      </w:tr>
      <w:tr w:rsidR="00A21D01" w:rsidRPr="00B23575" w:rsidTr="0044397B">
        <w:trPr>
          <w:trHeight w:val="683"/>
          <w:tblHeader/>
        </w:trPr>
        <w:tc>
          <w:tcPr>
            <w:tcW w:w="2480" w:type="dxa"/>
            <w:tcBorders>
              <w:top w:val="nil"/>
              <w:left w:val="nil"/>
              <w:bottom w:val="nil"/>
              <w:right w:val="nil"/>
            </w:tcBorders>
            <w:shd w:val="clear" w:color="000000" w:fill="FFFFFF"/>
            <w:vAlign w:val="center"/>
            <w:hideMark/>
          </w:tcPr>
          <w:p w:rsidR="00A21D01" w:rsidRPr="00211EF7" w:rsidRDefault="00A21D01" w:rsidP="0044397B">
            <w:pPr>
              <w:bidi w:val="0"/>
              <w:jc w:val="center"/>
              <w:rPr>
                <w:rFonts w:asciiTheme="majorBidi" w:hAnsiTheme="majorBidi" w:cstheme="majorBidi"/>
              </w:rPr>
            </w:pPr>
          </w:p>
        </w:tc>
        <w:tc>
          <w:tcPr>
            <w:tcW w:w="2094" w:type="dxa"/>
            <w:tcBorders>
              <w:top w:val="nil"/>
              <w:left w:val="nil"/>
              <w:bottom w:val="nil"/>
              <w:right w:val="nil"/>
            </w:tcBorders>
            <w:shd w:val="clear" w:color="000000" w:fill="FFFFFF"/>
            <w:vAlign w:val="center"/>
            <w:hideMark/>
          </w:tcPr>
          <w:p w:rsidR="00A21D01" w:rsidRPr="00211EF7" w:rsidRDefault="00A21D01" w:rsidP="0044397B">
            <w:pPr>
              <w:bidi w:val="0"/>
              <w:jc w:val="center"/>
              <w:rPr>
                <w:rFonts w:asciiTheme="majorBidi" w:hAnsiTheme="majorBidi" w:cstheme="majorBidi"/>
              </w:rPr>
            </w:pPr>
            <w:r w:rsidRPr="00211EF7">
              <w:rPr>
                <w:rFonts w:asciiTheme="majorBidi" w:hAnsiTheme="majorBidi" w:cstheme="majorBidi"/>
              </w:rPr>
              <w:t>Bank of Israel Research Department</w:t>
            </w:r>
          </w:p>
        </w:tc>
        <w:tc>
          <w:tcPr>
            <w:tcW w:w="1540" w:type="dxa"/>
            <w:tcBorders>
              <w:top w:val="nil"/>
              <w:left w:val="nil"/>
              <w:bottom w:val="nil"/>
              <w:right w:val="nil"/>
            </w:tcBorders>
            <w:shd w:val="clear" w:color="000000" w:fill="FFFFFF"/>
            <w:vAlign w:val="center"/>
            <w:hideMark/>
          </w:tcPr>
          <w:p w:rsidR="00A21D01" w:rsidRPr="00211EF7" w:rsidRDefault="00A21D01" w:rsidP="0044397B">
            <w:pPr>
              <w:bidi w:val="0"/>
              <w:jc w:val="center"/>
              <w:rPr>
                <w:rFonts w:asciiTheme="majorBidi" w:hAnsiTheme="majorBidi" w:cstheme="majorBidi"/>
              </w:rPr>
            </w:pPr>
            <w:r w:rsidRPr="00211EF7">
              <w:rPr>
                <w:rFonts w:asciiTheme="majorBidi" w:hAnsiTheme="majorBidi" w:cstheme="majorBidi"/>
              </w:rPr>
              <w:t xml:space="preserve">Capital </w:t>
            </w:r>
            <w:proofErr w:type="spellStart"/>
            <w:r w:rsidRPr="00211EF7">
              <w:rPr>
                <w:rFonts w:asciiTheme="majorBidi" w:hAnsiTheme="majorBidi" w:cstheme="majorBidi"/>
              </w:rPr>
              <w:t>markets</w:t>
            </w:r>
            <w:r w:rsidR="00446B32" w:rsidRPr="00211EF7">
              <w:rPr>
                <w:rFonts w:asciiTheme="majorBidi" w:hAnsiTheme="majorBidi" w:cstheme="majorBidi"/>
                <w:vertAlign w:val="superscript"/>
              </w:rPr>
              <w:t>a</w:t>
            </w:r>
            <w:proofErr w:type="spellEnd"/>
          </w:p>
        </w:tc>
        <w:tc>
          <w:tcPr>
            <w:tcW w:w="2119" w:type="dxa"/>
            <w:tcBorders>
              <w:top w:val="nil"/>
              <w:left w:val="nil"/>
              <w:bottom w:val="nil"/>
              <w:right w:val="nil"/>
            </w:tcBorders>
            <w:shd w:val="clear" w:color="000000" w:fill="FFFFFF"/>
            <w:vAlign w:val="center"/>
            <w:hideMark/>
          </w:tcPr>
          <w:p w:rsidR="00A21D01" w:rsidRPr="00211EF7" w:rsidRDefault="00A21D01" w:rsidP="0044397B">
            <w:pPr>
              <w:bidi w:val="0"/>
              <w:jc w:val="center"/>
              <w:rPr>
                <w:rFonts w:asciiTheme="majorBidi" w:hAnsiTheme="majorBidi" w:cstheme="majorBidi"/>
              </w:rPr>
            </w:pPr>
            <w:r w:rsidRPr="00211EF7">
              <w:rPr>
                <w:rFonts w:asciiTheme="majorBidi" w:hAnsiTheme="majorBidi" w:cstheme="majorBidi"/>
              </w:rPr>
              <w:t xml:space="preserve">Private </w:t>
            </w:r>
            <w:proofErr w:type="spellStart"/>
            <w:r w:rsidRPr="00211EF7">
              <w:rPr>
                <w:rFonts w:asciiTheme="majorBidi" w:hAnsiTheme="majorBidi" w:cstheme="majorBidi"/>
              </w:rPr>
              <w:t>forecasters</w:t>
            </w:r>
            <w:r w:rsidR="00446B32" w:rsidRPr="00211EF7">
              <w:rPr>
                <w:rFonts w:asciiTheme="majorBidi" w:hAnsiTheme="majorBidi" w:cstheme="majorBidi"/>
                <w:vertAlign w:val="superscript"/>
              </w:rPr>
              <w:t>b</w:t>
            </w:r>
            <w:proofErr w:type="spellEnd"/>
          </w:p>
        </w:tc>
      </w:tr>
      <w:tr w:rsidR="00F53855" w:rsidRPr="00B23575" w:rsidTr="00BE556B">
        <w:trPr>
          <w:trHeight w:val="280"/>
          <w:tblHeader/>
        </w:trPr>
        <w:tc>
          <w:tcPr>
            <w:tcW w:w="2480" w:type="dxa"/>
            <w:tcBorders>
              <w:top w:val="single" w:sz="4" w:space="0" w:color="auto"/>
              <w:left w:val="nil"/>
              <w:bottom w:val="nil"/>
              <w:right w:val="nil"/>
            </w:tcBorders>
            <w:shd w:val="clear" w:color="auto" w:fill="auto"/>
            <w:vAlign w:val="center"/>
            <w:hideMark/>
          </w:tcPr>
          <w:p w:rsidR="00F53855" w:rsidRPr="00211EF7" w:rsidRDefault="00F53855" w:rsidP="0044397B">
            <w:pPr>
              <w:bidi w:val="0"/>
              <w:jc w:val="center"/>
              <w:rPr>
                <w:rFonts w:asciiTheme="majorBidi" w:hAnsiTheme="majorBidi" w:cstheme="majorBidi"/>
              </w:rPr>
            </w:pPr>
            <w:r w:rsidRPr="00211EF7">
              <w:rPr>
                <w:rFonts w:asciiTheme="majorBidi" w:hAnsiTheme="majorBidi" w:cstheme="majorBidi"/>
              </w:rPr>
              <w:t xml:space="preserve">Inflation </w:t>
            </w:r>
            <w:proofErr w:type="spellStart"/>
            <w:r w:rsidRPr="00211EF7">
              <w:rPr>
                <w:rFonts w:asciiTheme="majorBidi" w:hAnsiTheme="majorBidi" w:cstheme="majorBidi"/>
              </w:rPr>
              <w:t>rate</w:t>
            </w:r>
            <w:r w:rsidR="00446B32" w:rsidRPr="00211EF7">
              <w:rPr>
                <w:rFonts w:asciiTheme="majorBidi" w:hAnsiTheme="majorBidi" w:cstheme="majorBidi"/>
                <w:vertAlign w:val="superscript"/>
              </w:rPr>
              <w:t>c</w:t>
            </w:r>
            <w:proofErr w:type="spellEnd"/>
          </w:p>
        </w:tc>
        <w:tc>
          <w:tcPr>
            <w:tcW w:w="2094" w:type="dxa"/>
            <w:tcBorders>
              <w:top w:val="single" w:sz="4" w:space="0" w:color="auto"/>
              <w:left w:val="nil"/>
              <w:bottom w:val="nil"/>
              <w:right w:val="nil"/>
            </w:tcBorders>
            <w:shd w:val="clear" w:color="auto" w:fill="auto"/>
            <w:vAlign w:val="center"/>
          </w:tcPr>
          <w:p w:rsidR="00A2696D" w:rsidRPr="00211EF7" w:rsidRDefault="00862770" w:rsidP="00060A3E">
            <w:pPr>
              <w:bidi w:val="0"/>
              <w:jc w:val="center"/>
              <w:rPr>
                <w:rFonts w:asciiTheme="majorBidi" w:hAnsiTheme="majorBidi" w:cstheme="majorBidi"/>
              </w:rPr>
            </w:pPr>
            <w:r>
              <w:rPr>
                <w:rFonts w:asciiTheme="majorBidi" w:hAnsiTheme="majorBidi" w:cstheme="majorBidi"/>
              </w:rPr>
              <w:t>3.</w:t>
            </w:r>
            <w:r w:rsidR="00060A3E">
              <w:rPr>
                <w:rFonts w:asciiTheme="majorBidi" w:hAnsiTheme="majorBidi" w:cstheme="majorBidi"/>
              </w:rPr>
              <w:t>4</w:t>
            </w:r>
          </w:p>
        </w:tc>
        <w:tc>
          <w:tcPr>
            <w:tcW w:w="1540" w:type="dxa"/>
            <w:tcBorders>
              <w:top w:val="single" w:sz="4" w:space="0" w:color="auto"/>
              <w:left w:val="nil"/>
              <w:bottom w:val="nil"/>
              <w:right w:val="nil"/>
            </w:tcBorders>
            <w:shd w:val="clear" w:color="auto" w:fill="auto"/>
            <w:vAlign w:val="center"/>
          </w:tcPr>
          <w:p w:rsidR="00F53855" w:rsidRPr="00211EF7" w:rsidRDefault="00060A3E" w:rsidP="00DA623D">
            <w:pPr>
              <w:bidi w:val="0"/>
              <w:jc w:val="center"/>
              <w:rPr>
                <w:rFonts w:asciiTheme="majorBidi" w:hAnsiTheme="majorBidi" w:cstheme="majorBidi"/>
              </w:rPr>
            </w:pPr>
            <w:r>
              <w:rPr>
                <w:rFonts w:asciiTheme="majorBidi" w:hAnsiTheme="majorBidi" w:cstheme="majorBidi"/>
              </w:rPr>
              <w:t>3.</w:t>
            </w:r>
            <w:r w:rsidR="00DA623D">
              <w:rPr>
                <w:rFonts w:asciiTheme="majorBidi" w:hAnsiTheme="majorBidi" w:cstheme="majorBidi"/>
              </w:rPr>
              <w:t>0</w:t>
            </w:r>
          </w:p>
        </w:tc>
        <w:tc>
          <w:tcPr>
            <w:tcW w:w="2119" w:type="dxa"/>
            <w:tcBorders>
              <w:top w:val="single" w:sz="4" w:space="0" w:color="auto"/>
              <w:left w:val="nil"/>
              <w:bottom w:val="nil"/>
              <w:right w:val="nil"/>
            </w:tcBorders>
            <w:shd w:val="clear" w:color="auto" w:fill="auto"/>
            <w:vAlign w:val="center"/>
          </w:tcPr>
          <w:p w:rsidR="00F53855" w:rsidRPr="00211EF7" w:rsidRDefault="00060A3E" w:rsidP="00060A3E">
            <w:pPr>
              <w:bidi w:val="0"/>
              <w:jc w:val="center"/>
              <w:rPr>
                <w:rFonts w:asciiTheme="majorBidi" w:hAnsiTheme="majorBidi" w:cstheme="majorBidi"/>
              </w:rPr>
            </w:pPr>
            <w:r>
              <w:rPr>
                <w:rFonts w:asciiTheme="majorBidi" w:hAnsiTheme="majorBidi" w:cstheme="majorBidi"/>
              </w:rPr>
              <w:t>3</w:t>
            </w:r>
            <w:r w:rsidR="00DA623D">
              <w:rPr>
                <w:rFonts w:asciiTheme="majorBidi" w:hAnsiTheme="majorBidi" w:cstheme="majorBidi"/>
              </w:rPr>
              <w:t>.0</w:t>
            </w:r>
            <w:r w:rsidR="00AD21E2">
              <w:rPr>
                <w:rFonts w:asciiTheme="majorBidi" w:hAnsiTheme="majorBidi" w:cstheme="majorBidi"/>
              </w:rPr>
              <w:t xml:space="preserve"> </w:t>
            </w:r>
            <w:r w:rsidR="00A2696D">
              <w:rPr>
                <w:rFonts w:asciiTheme="majorBidi" w:hAnsiTheme="majorBidi" w:cstheme="majorBidi"/>
              </w:rPr>
              <w:t>(</w:t>
            </w:r>
            <w:r w:rsidR="00862770">
              <w:rPr>
                <w:rFonts w:asciiTheme="majorBidi" w:hAnsiTheme="majorBidi" w:cstheme="majorBidi"/>
              </w:rPr>
              <w:t>2</w:t>
            </w:r>
            <w:r w:rsidR="00A2696D">
              <w:rPr>
                <w:rFonts w:asciiTheme="majorBidi" w:hAnsiTheme="majorBidi" w:cstheme="majorBidi"/>
              </w:rPr>
              <w:t>.</w:t>
            </w:r>
            <w:r>
              <w:rPr>
                <w:rFonts w:asciiTheme="majorBidi" w:hAnsiTheme="majorBidi" w:cstheme="majorBidi"/>
              </w:rPr>
              <w:t>6</w:t>
            </w:r>
            <w:r w:rsidR="00AD21E2">
              <w:rPr>
                <w:rFonts w:asciiTheme="majorBidi" w:hAnsiTheme="majorBidi" w:cstheme="majorBidi"/>
              </w:rPr>
              <w:t>–</w:t>
            </w:r>
            <w:r w:rsidR="00A53FEA">
              <w:rPr>
                <w:rFonts w:asciiTheme="majorBidi" w:hAnsiTheme="majorBidi" w:cstheme="majorBidi"/>
              </w:rPr>
              <w:t>3.</w:t>
            </w:r>
            <w:r>
              <w:rPr>
                <w:rFonts w:asciiTheme="majorBidi" w:hAnsiTheme="majorBidi" w:cstheme="majorBidi"/>
              </w:rPr>
              <w:t>7</w:t>
            </w:r>
            <w:r w:rsidR="00AD21E2">
              <w:rPr>
                <w:rFonts w:asciiTheme="majorBidi" w:hAnsiTheme="majorBidi" w:cstheme="majorBidi"/>
              </w:rPr>
              <w:t>)</w:t>
            </w:r>
          </w:p>
        </w:tc>
      </w:tr>
      <w:tr w:rsidR="00F53855" w:rsidRPr="00B23575" w:rsidTr="00BE556B">
        <w:trPr>
          <w:trHeight w:val="281"/>
          <w:tblHeader/>
        </w:trPr>
        <w:tc>
          <w:tcPr>
            <w:tcW w:w="2480" w:type="dxa"/>
            <w:tcBorders>
              <w:top w:val="nil"/>
              <w:left w:val="nil"/>
              <w:bottom w:val="single" w:sz="4" w:space="0" w:color="auto"/>
              <w:right w:val="nil"/>
            </w:tcBorders>
            <w:shd w:val="clear" w:color="auto" w:fill="auto"/>
            <w:vAlign w:val="center"/>
            <w:hideMark/>
          </w:tcPr>
          <w:p w:rsidR="00F53855" w:rsidRPr="00211EF7" w:rsidRDefault="00F53855" w:rsidP="0044397B">
            <w:pPr>
              <w:bidi w:val="0"/>
              <w:jc w:val="center"/>
              <w:rPr>
                <w:rFonts w:asciiTheme="majorBidi" w:hAnsiTheme="majorBidi" w:cstheme="majorBidi"/>
              </w:rPr>
            </w:pPr>
            <w:r w:rsidRPr="00211EF7">
              <w:rPr>
                <w:rFonts w:asciiTheme="majorBidi" w:hAnsiTheme="majorBidi" w:cstheme="majorBidi"/>
              </w:rPr>
              <w:t>(range of forecasts)</w:t>
            </w:r>
          </w:p>
        </w:tc>
        <w:tc>
          <w:tcPr>
            <w:tcW w:w="2094" w:type="dxa"/>
            <w:tcBorders>
              <w:top w:val="nil"/>
              <w:left w:val="nil"/>
              <w:bottom w:val="single" w:sz="4" w:space="0" w:color="auto"/>
              <w:right w:val="nil"/>
            </w:tcBorders>
            <w:shd w:val="clear" w:color="auto" w:fill="auto"/>
            <w:vAlign w:val="center"/>
          </w:tcPr>
          <w:p w:rsidR="00F53855" w:rsidRPr="00211EF7" w:rsidRDefault="00F53855" w:rsidP="0044397B">
            <w:pPr>
              <w:bidi w:val="0"/>
              <w:jc w:val="center"/>
              <w:rPr>
                <w:rFonts w:asciiTheme="majorBidi" w:hAnsiTheme="majorBidi" w:cstheme="majorBidi"/>
              </w:rPr>
            </w:pPr>
          </w:p>
        </w:tc>
        <w:tc>
          <w:tcPr>
            <w:tcW w:w="1540" w:type="dxa"/>
            <w:tcBorders>
              <w:top w:val="nil"/>
              <w:left w:val="nil"/>
              <w:bottom w:val="single" w:sz="4" w:space="0" w:color="auto"/>
              <w:right w:val="nil"/>
            </w:tcBorders>
            <w:shd w:val="clear" w:color="auto" w:fill="auto"/>
            <w:vAlign w:val="center"/>
          </w:tcPr>
          <w:p w:rsidR="00F53855" w:rsidRPr="00211EF7" w:rsidRDefault="00F53855" w:rsidP="0044397B">
            <w:pPr>
              <w:bidi w:val="0"/>
              <w:jc w:val="center"/>
              <w:rPr>
                <w:rFonts w:asciiTheme="majorBidi" w:hAnsiTheme="majorBidi" w:cstheme="majorBidi"/>
              </w:rPr>
            </w:pPr>
          </w:p>
        </w:tc>
        <w:tc>
          <w:tcPr>
            <w:tcW w:w="2119" w:type="dxa"/>
            <w:tcBorders>
              <w:top w:val="nil"/>
              <w:left w:val="nil"/>
              <w:bottom w:val="nil"/>
              <w:right w:val="nil"/>
            </w:tcBorders>
            <w:shd w:val="clear" w:color="auto" w:fill="auto"/>
            <w:noWrap/>
            <w:vAlign w:val="center"/>
          </w:tcPr>
          <w:p w:rsidR="00F53855" w:rsidRPr="00211EF7" w:rsidRDefault="00F53855" w:rsidP="00B540ED">
            <w:pPr>
              <w:bidi w:val="0"/>
              <w:jc w:val="center"/>
              <w:rPr>
                <w:rFonts w:asciiTheme="majorBidi" w:hAnsiTheme="majorBidi" w:cstheme="majorBidi"/>
              </w:rPr>
            </w:pPr>
          </w:p>
        </w:tc>
      </w:tr>
      <w:tr w:rsidR="00F53855" w:rsidRPr="00B23575" w:rsidTr="004C2B26">
        <w:trPr>
          <w:trHeight w:val="274"/>
          <w:tblHeader/>
        </w:trPr>
        <w:tc>
          <w:tcPr>
            <w:tcW w:w="2480" w:type="dxa"/>
            <w:tcBorders>
              <w:top w:val="nil"/>
              <w:left w:val="nil"/>
              <w:bottom w:val="nil"/>
              <w:right w:val="nil"/>
            </w:tcBorders>
            <w:shd w:val="clear" w:color="auto" w:fill="auto"/>
            <w:vAlign w:val="center"/>
            <w:hideMark/>
          </w:tcPr>
          <w:p w:rsidR="00F53855" w:rsidRPr="00211EF7" w:rsidRDefault="00F53855" w:rsidP="0044397B">
            <w:pPr>
              <w:bidi w:val="0"/>
              <w:jc w:val="center"/>
              <w:rPr>
                <w:rFonts w:asciiTheme="majorBidi" w:hAnsiTheme="majorBidi" w:cstheme="majorBidi"/>
              </w:rPr>
            </w:pPr>
            <w:r w:rsidRPr="00211EF7">
              <w:rPr>
                <w:rFonts w:asciiTheme="majorBidi" w:hAnsiTheme="majorBidi" w:cstheme="majorBidi"/>
              </w:rPr>
              <w:t>Interest rate</w:t>
            </w:r>
            <w:r w:rsidR="00446B32" w:rsidRPr="00211EF7">
              <w:rPr>
                <w:rFonts w:asciiTheme="majorBidi" w:hAnsiTheme="majorBidi" w:cstheme="majorBidi"/>
                <w:vertAlign w:val="superscript"/>
              </w:rPr>
              <w:t>d</w:t>
            </w:r>
          </w:p>
        </w:tc>
        <w:tc>
          <w:tcPr>
            <w:tcW w:w="2094" w:type="dxa"/>
            <w:tcBorders>
              <w:top w:val="nil"/>
              <w:left w:val="nil"/>
              <w:bottom w:val="nil"/>
              <w:right w:val="nil"/>
            </w:tcBorders>
            <w:shd w:val="clear" w:color="auto" w:fill="auto"/>
            <w:vAlign w:val="center"/>
          </w:tcPr>
          <w:p w:rsidR="00F53855" w:rsidRPr="00211EF7" w:rsidRDefault="00862770" w:rsidP="00060A3E">
            <w:pPr>
              <w:bidi w:val="0"/>
              <w:jc w:val="center"/>
              <w:rPr>
                <w:rFonts w:asciiTheme="majorBidi" w:hAnsiTheme="majorBidi" w:cstheme="majorBidi"/>
              </w:rPr>
            </w:pPr>
            <w:r>
              <w:rPr>
                <w:rFonts w:asciiTheme="majorBidi" w:hAnsiTheme="majorBidi" w:cstheme="majorBidi"/>
              </w:rPr>
              <w:t>4.</w:t>
            </w:r>
            <w:r w:rsidR="00060A3E">
              <w:rPr>
                <w:rFonts w:asciiTheme="majorBidi" w:hAnsiTheme="majorBidi" w:cstheme="majorBidi"/>
              </w:rPr>
              <w:t>75</w:t>
            </w:r>
          </w:p>
        </w:tc>
        <w:tc>
          <w:tcPr>
            <w:tcW w:w="1540" w:type="dxa"/>
            <w:tcBorders>
              <w:top w:val="nil"/>
              <w:left w:val="nil"/>
              <w:bottom w:val="nil"/>
              <w:right w:val="nil"/>
            </w:tcBorders>
            <w:shd w:val="clear" w:color="auto" w:fill="auto"/>
            <w:vAlign w:val="center"/>
          </w:tcPr>
          <w:p w:rsidR="004C2B26" w:rsidRPr="00211EF7" w:rsidRDefault="00060A3E" w:rsidP="00DA623D">
            <w:pPr>
              <w:bidi w:val="0"/>
              <w:jc w:val="center"/>
              <w:rPr>
                <w:rFonts w:asciiTheme="majorBidi" w:hAnsiTheme="majorBidi" w:cstheme="majorBidi"/>
              </w:rPr>
            </w:pPr>
            <w:r>
              <w:rPr>
                <w:rFonts w:asciiTheme="majorBidi" w:hAnsiTheme="majorBidi" w:cstheme="majorBidi"/>
              </w:rPr>
              <w:t>4.6</w:t>
            </w:r>
            <w:r w:rsidR="00DA623D">
              <w:rPr>
                <w:rFonts w:asciiTheme="majorBidi" w:hAnsiTheme="majorBidi" w:cstheme="majorBidi"/>
              </w:rPr>
              <w:t>6</w:t>
            </w:r>
          </w:p>
        </w:tc>
        <w:tc>
          <w:tcPr>
            <w:tcW w:w="2119" w:type="dxa"/>
            <w:tcBorders>
              <w:top w:val="single" w:sz="4" w:space="0" w:color="auto"/>
              <w:left w:val="nil"/>
              <w:bottom w:val="nil"/>
              <w:right w:val="nil"/>
            </w:tcBorders>
            <w:shd w:val="clear" w:color="auto" w:fill="auto"/>
            <w:vAlign w:val="center"/>
            <w:hideMark/>
          </w:tcPr>
          <w:p w:rsidR="00F53855" w:rsidRPr="00211EF7" w:rsidRDefault="00060A3E" w:rsidP="00DA623D">
            <w:pPr>
              <w:bidi w:val="0"/>
              <w:jc w:val="center"/>
              <w:rPr>
                <w:rFonts w:asciiTheme="majorBidi" w:hAnsiTheme="majorBidi" w:cstheme="majorBidi"/>
              </w:rPr>
            </w:pPr>
            <w:r>
              <w:rPr>
                <w:rFonts w:asciiTheme="majorBidi" w:hAnsiTheme="majorBidi" w:cstheme="majorBidi"/>
              </w:rPr>
              <w:t>4.3</w:t>
            </w:r>
            <w:r w:rsidR="00DA623D">
              <w:rPr>
                <w:rFonts w:asciiTheme="majorBidi" w:hAnsiTheme="majorBidi" w:cstheme="majorBidi"/>
              </w:rPr>
              <w:t>4</w:t>
            </w:r>
          </w:p>
        </w:tc>
      </w:tr>
      <w:tr w:rsidR="00F53855" w:rsidRPr="00B23575" w:rsidTr="00211EF7">
        <w:trPr>
          <w:trHeight w:val="275"/>
          <w:tblHeader/>
        </w:trPr>
        <w:tc>
          <w:tcPr>
            <w:tcW w:w="2480" w:type="dxa"/>
            <w:tcBorders>
              <w:top w:val="nil"/>
              <w:left w:val="nil"/>
              <w:bottom w:val="single" w:sz="4" w:space="0" w:color="auto"/>
              <w:right w:val="nil"/>
            </w:tcBorders>
            <w:shd w:val="clear" w:color="auto" w:fill="auto"/>
            <w:vAlign w:val="center"/>
            <w:hideMark/>
          </w:tcPr>
          <w:p w:rsidR="00F53855" w:rsidRPr="00211EF7" w:rsidRDefault="00F53855" w:rsidP="0044397B">
            <w:pPr>
              <w:bidi w:val="0"/>
              <w:jc w:val="center"/>
              <w:rPr>
                <w:rFonts w:asciiTheme="majorBidi" w:hAnsiTheme="majorBidi" w:cstheme="majorBidi"/>
              </w:rPr>
            </w:pPr>
            <w:r w:rsidRPr="00211EF7">
              <w:rPr>
                <w:rFonts w:asciiTheme="majorBidi" w:hAnsiTheme="majorBidi" w:cstheme="majorBidi"/>
              </w:rPr>
              <w:t>(range of forecasts)</w:t>
            </w:r>
          </w:p>
        </w:tc>
        <w:tc>
          <w:tcPr>
            <w:tcW w:w="2094" w:type="dxa"/>
            <w:tcBorders>
              <w:top w:val="nil"/>
              <w:left w:val="nil"/>
              <w:bottom w:val="single" w:sz="4" w:space="0" w:color="auto"/>
              <w:right w:val="nil"/>
            </w:tcBorders>
            <w:shd w:val="clear" w:color="auto" w:fill="auto"/>
            <w:vAlign w:val="center"/>
            <w:hideMark/>
          </w:tcPr>
          <w:p w:rsidR="00F53855" w:rsidRPr="00211EF7" w:rsidRDefault="00F53855" w:rsidP="0044397B">
            <w:pPr>
              <w:bidi w:val="0"/>
              <w:jc w:val="center"/>
              <w:rPr>
                <w:rFonts w:asciiTheme="majorBidi" w:hAnsiTheme="majorBidi" w:cstheme="majorBidi"/>
              </w:rPr>
            </w:pPr>
          </w:p>
        </w:tc>
        <w:tc>
          <w:tcPr>
            <w:tcW w:w="1540" w:type="dxa"/>
            <w:tcBorders>
              <w:top w:val="nil"/>
              <w:left w:val="nil"/>
              <w:bottom w:val="single" w:sz="4" w:space="0" w:color="auto"/>
              <w:right w:val="nil"/>
            </w:tcBorders>
            <w:shd w:val="clear" w:color="auto" w:fill="auto"/>
            <w:vAlign w:val="center"/>
            <w:hideMark/>
          </w:tcPr>
          <w:p w:rsidR="00F53855" w:rsidRPr="00211EF7" w:rsidRDefault="00F53855" w:rsidP="0044397B">
            <w:pPr>
              <w:bidi w:val="0"/>
              <w:jc w:val="center"/>
              <w:rPr>
                <w:rFonts w:asciiTheme="majorBidi" w:hAnsiTheme="majorBidi" w:cstheme="majorBidi"/>
              </w:rPr>
            </w:pPr>
          </w:p>
        </w:tc>
        <w:tc>
          <w:tcPr>
            <w:tcW w:w="2119" w:type="dxa"/>
            <w:tcBorders>
              <w:top w:val="nil"/>
              <w:left w:val="nil"/>
              <w:bottom w:val="single" w:sz="4" w:space="0" w:color="auto"/>
              <w:right w:val="nil"/>
            </w:tcBorders>
            <w:shd w:val="clear" w:color="auto" w:fill="auto"/>
            <w:noWrap/>
            <w:vAlign w:val="center"/>
            <w:hideMark/>
          </w:tcPr>
          <w:p w:rsidR="00F53855" w:rsidRPr="00211EF7" w:rsidRDefault="00F53855" w:rsidP="00060A3E">
            <w:pPr>
              <w:bidi w:val="0"/>
              <w:jc w:val="center"/>
              <w:rPr>
                <w:rFonts w:asciiTheme="majorBidi" w:hAnsiTheme="majorBidi" w:cstheme="majorBidi"/>
              </w:rPr>
            </w:pPr>
            <w:r w:rsidRPr="00211EF7">
              <w:rPr>
                <w:rFonts w:asciiTheme="majorBidi" w:hAnsiTheme="majorBidi" w:cstheme="majorBidi"/>
              </w:rPr>
              <w:t>(</w:t>
            </w:r>
            <w:r w:rsidR="00060A3E">
              <w:rPr>
                <w:rFonts w:asciiTheme="majorBidi" w:hAnsiTheme="majorBidi" w:cstheme="majorBidi"/>
              </w:rPr>
              <w:t>3.0</w:t>
            </w:r>
            <w:r w:rsidR="00A2696D">
              <w:rPr>
                <w:rFonts w:asciiTheme="majorBidi" w:hAnsiTheme="majorBidi" w:cstheme="majorBidi"/>
              </w:rPr>
              <w:t>–</w:t>
            </w:r>
            <w:r w:rsidR="00060A3E">
              <w:rPr>
                <w:rFonts w:asciiTheme="majorBidi" w:hAnsiTheme="majorBidi" w:cstheme="majorBidi"/>
              </w:rPr>
              <w:t>5</w:t>
            </w:r>
            <w:r w:rsidR="00862770">
              <w:rPr>
                <w:rFonts w:asciiTheme="majorBidi" w:hAnsiTheme="majorBidi" w:cstheme="majorBidi"/>
              </w:rPr>
              <w:t>.0</w:t>
            </w:r>
            <w:r w:rsidR="001C55F7">
              <w:rPr>
                <w:rFonts w:asciiTheme="majorBidi" w:hAnsiTheme="majorBidi" w:cstheme="majorBidi"/>
              </w:rPr>
              <w:t>)</w:t>
            </w:r>
          </w:p>
        </w:tc>
      </w:tr>
      <w:tr w:rsidR="00A21D01" w:rsidRPr="00B23575" w:rsidTr="00A21D01">
        <w:trPr>
          <w:trHeight w:val="257"/>
          <w:tblHeader/>
        </w:trPr>
        <w:tc>
          <w:tcPr>
            <w:tcW w:w="8233" w:type="dxa"/>
            <w:gridSpan w:val="4"/>
            <w:tcBorders>
              <w:top w:val="nil"/>
              <w:left w:val="nil"/>
              <w:bottom w:val="nil"/>
              <w:right w:val="nil"/>
            </w:tcBorders>
            <w:shd w:val="clear" w:color="auto" w:fill="auto"/>
            <w:hideMark/>
          </w:tcPr>
          <w:p w:rsidR="00446B32" w:rsidRDefault="00446B32" w:rsidP="00D40032">
            <w:pPr>
              <w:bidi w:val="0"/>
              <w:rPr>
                <w:rFonts w:asciiTheme="majorBidi" w:hAnsiTheme="majorBidi" w:cstheme="majorBidi"/>
                <w:sz w:val="20"/>
                <w:szCs w:val="20"/>
              </w:rPr>
            </w:pPr>
            <w:r>
              <w:rPr>
                <w:rFonts w:asciiTheme="majorBidi" w:hAnsiTheme="majorBidi" w:cstheme="majorBidi"/>
                <w:sz w:val="20"/>
                <w:szCs w:val="20"/>
              </w:rPr>
              <w:t xml:space="preserve">a) </w:t>
            </w:r>
            <w:r w:rsidR="00D62B59">
              <w:rPr>
                <w:rFonts w:asciiTheme="majorBidi" w:hAnsiTheme="majorBidi" w:cstheme="majorBidi"/>
                <w:sz w:val="20"/>
                <w:szCs w:val="20"/>
              </w:rPr>
              <w:t>Inflation expectations are seasonally adjusted</w:t>
            </w:r>
            <w:r w:rsidR="00A53FEA">
              <w:rPr>
                <w:rFonts w:asciiTheme="majorBidi" w:hAnsiTheme="majorBidi" w:cstheme="majorBidi"/>
                <w:sz w:val="20"/>
                <w:szCs w:val="20"/>
              </w:rPr>
              <w:t xml:space="preserve"> (</w:t>
            </w:r>
            <w:r w:rsidR="00DA623D">
              <w:rPr>
                <w:rFonts w:asciiTheme="majorBidi" w:hAnsiTheme="majorBidi" w:cstheme="majorBidi"/>
                <w:sz w:val="20"/>
                <w:szCs w:val="20"/>
              </w:rPr>
              <w:t>a</w:t>
            </w:r>
            <w:r w:rsidR="00862770">
              <w:rPr>
                <w:rFonts w:asciiTheme="majorBidi" w:hAnsiTheme="majorBidi" w:cstheme="majorBidi"/>
                <w:sz w:val="20"/>
                <w:szCs w:val="20"/>
              </w:rPr>
              <w:t xml:space="preserve">s of </w:t>
            </w:r>
            <w:r w:rsidR="00D40032">
              <w:rPr>
                <w:rFonts w:asciiTheme="majorBidi" w:hAnsiTheme="majorBidi" w:cstheme="majorBidi"/>
                <w:sz w:val="20"/>
                <w:szCs w:val="20"/>
              </w:rPr>
              <w:t>April 2</w:t>
            </w:r>
            <w:r w:rsidR="00862770">
              <w:rPr>
                <w:rFonts w:asciiTheme="majorBidi" w:hAnsiTheme="majorBidi" w:cstheme="majorBidi"/>
                <w:sz w:val="20"/>
                <w:szCs w:val="20"/>
              </w:rPr>
              <w:t>, 202</w:t>
            </w:r>
            <w:r w:rsidR="00DA623D">
              <w:rPr>
                <w:rFonts w:asciiTheme="majorBidi" w:hAnsiTheme="majorBidi" w:cstheme="majorBidi"/>
                <w:sz w:val="20"/>
                <w:szCs w:val="20"/>
              </w:rPr>
              <w:t>3)</w:t>
            </w:r>
            <w:r w:rsidR="005650EE">
              <w:rPr>
                <w:rFonts w:asciiTheme="majorBidi" w:hAnsiTheme="majorBidi" w:cstheme="majorBidi"/>
                <w:sz w:val="20"/>
                <w:szCs w:val="20"/>
              </w:rPr>
              <w:t>.</w:t>
            </w:r>
          </w:p>
          <w:p w:rsidR="00446B32" w:rsidRDefault="00446B32" w:rsidP="00DA623D">
            <w:pPr>
              <w:bidi w:val="0"/>
              <w:rPr>
                <w:rFonts w:asciiTheme="majorBidi" w:hAnsiTheme="majorBidi" w:cstheme="majorBidi"/>
                <w:sz w:val="20"/>
                <w:szCs w:val="20"/>
              </w:rPr>
            </w:pPr>
            <w:r>
              <w:rPr>
                <w:rFonts w:asciiTheme="majorBidi" w:hAnsiTheme="majorBidi" w:cstheme="majorBidi"/>
                <w:sz w:val="20"/>
                <w:szCs w:val="20"/>
              </w:rPr>
              <w:t xml:space="preserve">b) </w:t>
            </w:r>
            <w:r w:rsidR="00046EE6">
              <w:rPr>
                <w:rFonts w:asciiTheme="majorBidi" w:hAnsiTheme="majorBidi" w:cstheme="majorBidi"/>
                <w:sz w:val="20"/>
                <w:szCs w:val="20"/>
              </w:rPr>
              <w:t xml:space="preserve">The </w:t>
            </w:r>
            <w:r w:rsidR="00BE556B">
              <w:rPr>
                <w:rFonts w:asciiTheme="majorBidi" w:hAnsiTheme="majorBidi" w:cstheme="majorBidi"/>
                <w:sz w:val="20"/>
                <w:szCs w:val="20"/>
              </w:rPr>
              <w:t xml:space="preserve">average of </w:t>
            </w:r>
            <w:r w:rsidR="00046EE6">
              <w:rPr>
                <w:rFonts w:asciiTheme="majorBidi" w:hAnsiTheme="majorBidi" w:cstheme="majorBidi"/>
                <w:sz w:val="20"/>
                <w:szCs w:val="20"/>
              </w:rPr>
              <w:t xml:space="preserve">forecasts published </w:t>
            </w:r>
            <w:r w:rsidR="00D62B59">
              <w:rPr>
                <w:rFonts w:asciiTheme="majorBidi" w:hAnsiTheme="majorBidi" w:cstheme="majorBidi"/>
                <w:sz w:val="20"/>
                <w:szCs w:val="20"/>
              </w:rPr>
              <w:t xml:space="preserve">following the publication of the Consumer Price Index for </w:t>
            </w:r>
            <w:r w:rsidR="00DA623D">
              <w:rPr>
                <w:rFonts w:asciiTheme="majorBidi" w:hAnsiTheme="majorBidi" w:cstheme="majorBidi"/>
                <w:sz w:val="20"/>
                <w:szCs w:val="20"/>
              </w:rPr>
              <w:t>February</w:t>
            </w:r>
            <w:r>
              <w:rPr>
                <w:rFonts w:asciiTheme="majorBidi" w:hAnsiTheme="majorBidi" w:cstheme="majorBidi"/>
                <w:sz w:val="20"/>
                <w:szCs w:val="20"/>
              </w:rPr>
              <w:t>.</w:t>
            </w:r>
          </w:p>
          <w:p w:rsidR="00A21D01" w:rsidRPr="00B23575" w:rsidRDefault="00446B32" w:rsidP="00D40032">
            <w:pPr>
              <w:bidi w:val="0"/>
              <w:rPr>
                <w:rFonts w:asciiTheme="majorBidi" w:hAnsiTheme="majorBidi" w:cstheme="majorBidi"/>
                <w:sz w:val="20"/>
                <w:szCs w:val="20"/>
              </w:rPr>
            </w:pPr>
            <w:r>
              <w:rPr>
                <w:rFonts w:asciiTheme="majorBidi" w:hAnsiTheme="majorBidi" w:cstheme="majorBidi"/>
                <w:sz w:val="20"/>
                <w:szCs w:val="20"/>
              </w:rPr>
              <w:t>c</w:t>
            </w:r>
            <w:r w:rsidR="00A21D01" w:rsidRPr="00B23575">
              <w:rPr>
                <w:rFonts w:asciiTheme="majorBidi" w:hAnsiTheme="majorBidi" w:cstheme="majorBidi"/>
                <w:sz w:val="20"/>
                <w:szCs w:val="20"/>
              </w:rPr>
              <w:t xml:space="preserve">) Research </w:t>
            </w:r>
            <w:r w:rsidR="00A21D01" w:rsidRPr="00C378E2">
              <w:rPr>
                <w:rFonts w:asciiTheme="majorBidi" w:hAnsiTheme="majorBidi" w:cstheme="majorBidi"/>
                <w:sz w:val="20"/>
                <w:szCs w:val="20"/>
              </w:rPr>
              <w:t xml:space="preserve">Department: </w:t>
            </w:r>
            <w:r w:rsidR="00D40032">
              <w:rPr>
                <w:rFonts w:asciiTheme="majorBidi" w:hAnsiTheme="majorBidi" w:cstheme="majorBidi"/>
                <w:sz w:val="20"/>
                <w:szCs w:val="20"/>
              </w:rPr>
              <w:t xml:space="preserve">the </w:t>
            </w:r>
            <w:r w:rsidR="00DA623D">
              <w:rPr>
                <w:rFonts w:asciiTheme="majorBidi" w:hAnsiTheme="majorBidi" w:cstheme="majorBidi"/>
                <w:sz w:val="20"/>
                <w:szCs w:val="20"/>
              </w:rPr>
              <w:t>inflation rate</w:t>
            </w:r>
            <w:r w:rsidR="00C51B50">
              <w:rPr>
                <w:rFonts w:asciiTheme="majorBidi" w:hAnsiTheme="majorBidi" w:cstheme="majorBidi"/>
                <w:sz w:val="20"/>
                <w:szCs w:val="20"/>
              </w:rPr>
              <w:t xml:space="preserve"> </w:t>
            </w:r>
            <w:r w:rsidR="00D40032">
              <w:rPr>
                <w:rFonts w:asciiTheme="majorBidi" w:hAnsiTheme="majorBidi" w:cstheme="majorBidi"/>
                <w:sz w:val="20"/>
                <w:szCs w:val="20"/>
              </w:rPr>
              <w:t xml:space="preserve">during the four quarters ending </w:t>
            </w:r>
            <w:r w:rsidR="00C51B50">
              <w:rPr>
                <w:rFonts w:asciiTheme="majorBidi" w:hAnsiTheme="majorBidi" w:cstheme="majorBidi"/>
                <w:sz w:val="20"/>
                <w:szCs w:val="20"/>
              </w:rPr>
              <w:t xml:space="preserve">in the </w:t>
            </w:r>
            <w:r w:rsidR="00DA623D">
              <w:rPr>
                <w:rFonts w:asciiTheme="majorBidi" w:hAnsiTheme="majorBidi" w:cstheme="majorBidi"/>
                <w:sz w:val="20"/>
                <w:szCs w:val="20"/>
              </w:rPr>
              <w:t>first</w:t>
            </w:r>
            <w:r w:rsidR="004C2B26">
              <w:rPr>
                <w:rFonts w:asciiTheme="majorBidi" w:hAnsiTheme="majorBidi" w:cstheme="majorBidi"/>
                <w:sz w:val="20"/>
                <w:szCs w:val="20"/>
              </w:rPr>
              <w:t xml:space="preserve"> </w:t>
            </w:r>
            <w:r w:rsidR="00C51B50">
              <w:rPr>
                <w:rFonts w:asciiTheme="majorBidi" w:hAnsiTheme="majorBidi" w:cstheme="majorBidi"/>
                <w:sz w:val="20"/>
                <w:szCs w:val="20"/>
              </w:rPr>
              <w:t>quarter of 2</w:t>
            </w:r>
            <w:r w:rsidR="00725CB0">
              <w:rPr>
                <w:rFonts w:asciiTheme="majorBidi" w:hAnsiTheme="majorBidi" w:cstheme="majorBidi"/>
                <w:sz w:val="20"/>
                <w:szCs w:val="20"/>
              </w:rPr>
              <w:t>02</w:t>
            </w:r>
            <w:r w:rsidR="00DA623D">
              <w:rPr>
                <w:rFonts w:asciiTheme="majorBidi" w:hAnsiTheme="majorBidi" w:cstheme="majorBidi"/>
                <w:sz w:val="20"/>
                <w:szCs w:val="20"/>
              </w:rPr>
              <w:t>4</w:t>
            </w:r>
            <w:r w:rsidR="007864A7" w:rsidRPr="00C378E2">
              <w:rPr>
                <w:rFonts w:asciiTheme="majorBidi" w:hAnsiTheme="majorBidi" w:cstheme="majorBidi"/>
                <w:sz w:val="20"/>
                <w:szCs w:val="20"/>
              </w:rPr>
              <w:t>.</w:t>
            </w:r>
            <w:r w:rsidR="00DA623D">
              <w:rPr>
                <w:rFonts w:asciiTheme="majorBidi" w:hAnsiTheme="majorBidi" w:cstheme="majorBidi"/>
                <w:sz w:val="20"/>
                <w:szCs w:val="20"/>
              </w:rPr>
              <w:t xml:space="preserve"> Capital markets and private forecasters relate to </w:t>
            </w:r>
            <w:r w:rsidR="00D40032">
              <w:rPr>
                <w:rFonts w:asciiTheme="majorBidi" w:hAnsiTheme="majorBidi" w:cstheme="majorBidi"/>
                <w:sz w:val="20"/>
                <w:szCs w:val="20"/>
              </w:rPr>
              <w:t xml:space="preserve">inflation during the 12 months ending at </w:t>
            </w:r>
            <w:r w:rsidR="00DA623D">
              <w:rPr>
                <w:rFonts w:asciiTheme="majorBidi" w:hAnsiTheme="majorBidi" w:cstheme="majorBidi"/>
                <w:sz w:val="20"/>
                <w:szCs w:val="20"/>
              </w:rPr>
              <w:t>the end of the first quarter of 2024.</w:t>
            </w:r>
          </w:p>
        </w:tc>
      </w:tr>
      <w:tr w:rsidR="00A21D01" w:rsidRPr="00B23575" w:rsidTr="00A21D01">
        <w:trPr>
          <w:trHeight w:val="445"/>
          <w:tblHeader/>
        </w:trPr>
        <w:tc>
          <w:tcPr>
            <w:tcW w:w="8233" w:type="dxa"/>
            <w:gridSpan w:val="4"/>
            <w:tcBorders>
              <w:top w:val="nil"/>
              <w:left w:val="nil"/>
              <w:bottom w:val="nil"/>
              <w:right w:val="nil"/>
            </w:tcBorders>
            <w:shd w:val="clear" w:color="auto" w:fill="auto"/>
            <w:hideMark/>
          </w:tcPr>
          <w:p w:rsidR="00A21D01" w:rsidRDefault="00446B32" w:rsidP="00D40032">
            <w:pPr>
              <w:bidi w:val="0"/>
              <w:rPr>
                <w:rFonts w:asciiTheme="majorBidi" w:hAnsiTheme="majorBidi" w:cstheme="majorBidi"/>
                <w:sz w:val="20"/>
                <w:szCs w:val="20"/>
              </w:rPr>
            </w:pPr>
            <w:r>
              <w:rPr>
                <w:rFonts w:asciiTheme="majorBidi" w:hAnsiTheme="majorBidi" w:cstheme="majorBidi"/>
                <w:sz w:val="20"/>
                <w:szCs w:val="20"/>
              </w:rPr>
              <w:t>d</w:t>
            </w:r>
            <w:r w:rsidR="00A21D01" w:rsidRPr="00B23575">
              <w:rPr>
                <w:rFonts w:asciiTheme="majorBidi" w:hAnsiTheme="majorBidi" w:cstheme="majorBidi"/>
                <w:sz w:val="20"/>
                <w:szCs w:val="20"/>
              </w:rPr>
              <w:t>)</w:t>
            </w:r>
            <w:r w:rsidR="00A21D01">
              <w:rPr>
                <w:rFonts w:asciiTheme="majorBidi" w:hAnsiTheme="majorBidi" w:cstheme="majorBidi"/>
                <w:sz w:val="20"/>
                <w:szCs w:val="20"/>
              </w:rPr>
              <w:t xml:space="preserve"> </w:t>
            </w:r>
            <w:r w:rsidR="002945D2">
              <w:rPr>
                <w:rFonts w:asciiTheme="majorBidi" w:hAnsiTheme="majorBidi" w:cstheme="majorBidi"/>
                <w:sz w:val="20"/>
                <w:szCs w:val="20"/>
              </w:rPr>
              <w:t>Research Department:</w:t>
            </w:r>
            <w:r w:rsidR="00862770">
              <w:rPr>
                <w:rFonts w:asciiTheme="majorBidi" w:hAnsiTheme="majorBidi" w:cstheme="majorBidi"/>
                <w:sz w:val="20"/>
                <w:szCs w:val="20"/>
              </w:rPr>
              <w:t xml:space="preserve"> </w:t>
            </w:r>
            <w:r w:rsidR="00DA623D">
              <w:rPr>
                <w:rFonts w:asciiTheme="majorBidi" w:hAnsiTheme="majorBidi" w:cstheme="majorBidi"/>
                <w:sz w:val="20"/>
                <w:szCs w:val="20"/>
              </w:rPr>
              <w:t xml:space="preserve">the </w:t>
            </w:r>
            <w:r w:rsidR="00862770">
              <w:rPr>
                <w:rFonts w:asciiTheme="majorBidi" w:hAnsiTheme="majorBidi" w:cstheme="majorBidi"/>
                <w:sz w:val="20"/>
                <w:szCs w:val="20"/>
              </w:rPr>
              <w:t>average interest rate</w:t>
            </w:r>
            <w:r w:rsidR="002945D2">
              <w:rPr>
                <w:rFonts w:asciiTheme="majorBidi" w:hAnsiTheme="majorBidi" w:cstheme="majorBidi"/>
                <w:sz w:val="20"/>
                <w:szCs w:val="20"/>
              </w:rPr>
              <w:t xml:space="preserve"> in the </w:t>
            </w:r>
            <w:r w:rsidR="00862770">
              <w:rPr>
                <w:rFonts w:asciiTheme="majorBidi" w:hAnsiTheme="majorBidi" w:cstheme="majorBidi"/>
                <w:sz w:val="20"/>
                <w:szCs w:val="20"/>
              </w:rPr>
              <w:t>fourth</w:t>
            </w:r>
            <w:r w:rsidR="00725CB0">
              <w:rPr>
                <w:rFonts w:asciiTheme="majorBidi" w:hAnsiTheme="majorBidi" w:cstheme="majorBidi"/>
                <w:sz w:val="20"/>
                <w:szCs w:val="20"/>
              </w:rPr>
              <w:t xml:space="preserve"> </w:t>
            </w:r>
            <w:r w:rsidR="002945D2">
              <w:rPr>
                <w:rFonts w:asciiTheme="majorBidi" w:hAnsiTheme="majorBidi" w:cstheme="majorBidi"/>
                <w:sz w:val="20"/>
                <w:szCs w:val="20"/>
              </w:rPr>
              <w:t>quarter of 20</w:t>
            </w:r>
            <w:r w:rsidR="00725CB0">
              <w:rPr>
                <w:rFonts w:asciiTheme="majorBidi" w:hAnsiTheme="majorBidi" w:cstheme="majorBidi"/>
                <w:sz w:val="20"/>
                <w:szCs w:val="20"/>
              </w:rPr>
              <w:t>2</w:t>
            </w:r>
            <w:r w:rsidR="00A53FEA">
              <w:rPr>
                <w:rFonts w:asciiTheme="majorBidi" w:hAnsiTheme="majorBidi" w:cstheme="majorBidi"/>
                <w:sz w:val="20"/>
                <w:szCs w:val="20"/>
              </w:rPr>
              <w:t>3</w:t>
            </w:r>
            <w:r w:rsidR="002945D2">
              <w:rPr>
                <w:rFonts w:asciiTheme="majorBidi" w:hAnsiTheme="majorBidi" w:cstheme="majorBidi"/>
                <w:sz w:val="20"/>
                <w:szCs w:val="20"/>
              </w:rPr>
              <w:t>. Expectations</w:t>
            </w:r>
            <w:r w:rsidR="00046EE6">
              <w:rPr>
                <w:rFonts w:asciiTheme="majorBidi" w:hAnsiTheme="majorBidi" w:cstheme="majorBidi"/>
                <w:sz w:val="20"/>
                <w:szCs w:val="20"/>
              </w:rPr>
              <w:t xml:space="preserve"> derived</w:t>
            </w:r>
            <w:r w:rsidR="002945D2">
              <w:rPr>
                <w:rFonts w:asciiTheme="majorBidi" w:hAnsiTheme="majorBidi" w:cstheme="majorBidi"/>
                <w:sz w:val="20"/>
                <w:szCs w:val="20"/>
              </w:rPr>
              <w:t xml:space="preserve"> from the capital market are b</w:t>
            </w:r>
            <w:r w:rsidR="004E71DD">
              <w:rPr>
                <w:rFonts w:asciiTheme="majorBidi" w:hAnsiTheme="majorBidi" w:cstheme="majorBidi"/>
                <w:sz w:val="20"/>
                <w:szCs w:val="20"/>
              </w:rPr>
              <w:t>a</w:t>
            </w:r>
            <w:r w:rsidR="002945D2">
              <w:rPr>
                <w:rFonts w:asciiTheme="majorBidi" w:hAnsiTheme="majorBidi" w:cstheme="majorBidi"/>
                <w:sz w:val="20"/>
                <w:szCs w:val="20"/>
              </w:rPr>
              <w:t xml:space="preserve">sed on the </w:t>
            </w:r>
            <w:proofErr w:type="spellStart"/>
            <w:r w:rsidR="00D45EF8">
              <w:rPr>
                <w:rFonts w:asciiTheme="majorBidi" w:hAnsiTheme="majorBidi" w:cstheme="majorBidi"/>
                <w:sz w:val="20"/>
                <w:szCs w:val="20"/>
              </w:rPr>
              <w:t>Telbor</w:t>
            </w:r>
            <w:proofErr w:type="spellEnd"/>
            <w:r w:rsidR="00D45EF8">
              <w:rPr>
                <w:rFonts w:asciiTheme="majorBidi" w:hAnsiTheme="majorBidi" w:cstheme="majorBidi"/>
                <w:sz w:val="20"/>
                <w:szCs w:val="20"/>
              </w:rPr>
              <w:t xml:space="preserve"> market</w:t>
            </w:r>
            <w:r w:rsidR="00DA623D">
              <w:rPr>
                <w:rFonts w:asciiTheme="majorBidi" w:hAnsiTheme="majorBidi" w:cstheme="majorBidi"/>
                <w:sz w:val="20"/>
                <w:szCs w:val="20"/>
              </w:rPr>
              <w:t xml:space="preserve"> and relate to the end of the first quarter of 2024</w:t>
            </w:r>
            <w:r w:rsidR="00324468">
              <w:rPr>
                <w:rFonts w:asciiTheme="majorBidi" w:hAnsiTheme="majorBidi" w:cstheme="majorBidi"/>
                <w:sz w:val="20"/>
                <w:szCs w:val="20"/>
              </w:rPr>
              <w:t xml:space="preserve"> (</w:t>
            </w:r>
            <w:r w:rsidR="00DA623D">
              <w:rPr>
                <w:rFonts w:asciiTheme="majorBidi" w:hAnsiTheme="majorBidi" w:cstheme="majorBidi"/>
                <w:sz w:val="20"/>
                <w:szCs w:val="20"/>
              </w:rPr>
              <w:t xml:space="preserve">weekly average </w:t>
            </w:r>
            <w:r w:rsidR="00862770">
              <w:rPr>
                <w:rFonts w:asciiTheme="majorBidi" w:hAnsiTheme="majorBidi" w:cstheme="majorBidi"/>
                <w:sz w:val="20"/>
                <w:szCs w:val="20"/>
              </w:rPr>
              <w:t xml:space="preserve">as of </w:t>
            </w:r>
            <w:r w:rsidR="00DA623D">
              <w:rPr>
                <w:rFonts w:asciiTheme="majorBidi" w:hAnsiTheme="majorBidi" w:cstheme="majorBidi"/>
                <w:sz w:val="20"/>
                <w:szCs w:val="20"/>
              </w:rPr>
              <w:t>March</w:t>
            </w:r>
            <w:r w:rsidR="00862770">
              <w:rPr>
                <w:rFonts w:asciiTheme="majorBidi" w:hAnsiTheme="majorBidi" w:cstheme="majorBidi"/>
                <w:sz w:val="20"/>
                <w:szCs w:val="20"/>
              </w:rPr>
              <w:t xml:space="preserve"> </w:t>
            </w:r>
            <w:r w:rsidR="00D40032">
              <w:rPr>
                <w:rFonts w:asciiTheme="majorBidi" w:hAnsiTheme="majorBidi" w:cstheme="majorBidi"/>
                <w:sz w:val="20"/>
                <w:szCs w:val="20"/>
              </w:rPr>
              <w:t>31</w:t>
            </w:r>
            <w:r w:rsidR="00862770">
              <w:rPr>
                <w:rFonts w:asciiTheme="majorBidi" w:hAnsiTheme="majorBidi" w:cstheme="majorBidi"/>
                <w:sz w:val="20"/>
                <w:szCs w:val="20"/>
              </w:rPr>
              <w:t>, 202</w:t>
            </w:r>
            <w:r w:rsidR="00DA623D">
              <w:rPr>
                <w:rFonts w:asciiTheme="majorBidi" w:hAnsiTheme="majorBidi" w:cstheme="majorBidi"/>
                <w:sz w:val="20"/>
                <w:szCs w:val="20"/>
              </w:rPr>
              <w:t>3</w:t>
            </w:r>
            <w:r w:rsidR="00324468">
              <w:rPr>
                <w:rFonts w:asciiTheme="majorBidi" w:hAnsiTheme="majorBidi" w:cstheme="majorBidi"/>
                <w:sz w:val="20"/>
                <w:szCs w:val="20"/>
              </w:rPr>
              <w:t>)</w:t>
            </w:r>
            <w:r w:rsidR="002945D2">
              <w:rPr>
                <w:rFonts w:asciiTheme="majorBidi" w:hAnsiTheme="majorBidi" w:cstheme="majorBidi"/>
                <w:sz w:val="20"/>
                <w:szCs w:val="20"/>
              </w:rPr>
              <w:t>.</w:t>
            </w:r>
          </w:p>
          <w:p w:rsidR="00FE6484" w:rsidRPr="00B23575" w:rsidRDefault="00FE6484" w:rsidP="00FE6484">
            <w:pPr>
              <w:bidi w:val="0"/>
              <w:rPr>
                <w:rFonts w:asciiTheme="majorBidi" w:hAnsiTheme="majorBidi" w:cstheme="majorBidi"/>
                <w:sz w:val="20"/>
                <w:szCs w:val="20"/>
                <w:rtl/>
              </w:rPr>
            </w:pPr>
            <w:r>
              <w:rPr>
                <w:rFonts w:asciiTheme="majorBidi" w:hAnsiTheme="majorBidi" w:cstheme="majorBidi"/>
                <w:sz w:val="20"/>
                <w:szCs w:val="20"/>
              </w:rPr>
              <w:t>SOURCE: Bank of Israel.</w:t>
            </w:r>
          </w:p>
        </w:tc>
      </w:tr>
    </w:tbl>
    <w:p w:rsidR="00D211EC" w:rsidRDefault="00D211EC" w:rsidP="009335C7">
      <w:pPr>
        <w:bidi w:val="0"/>
        <w:jc w:val="both"/>
        <w:rPr>
          <w:b/>
          <w:bCs/>
        </w:rPr>
      </w:pPr>
    </w:p>
    <w:p w:rsidR="00A21D01" w:rsidRDefault="00A21D01" w:rsidP="00A21D01">
      <w:pPr>
        <w:bidi w:val="0"/>
        <w:spacing w:line="300" w:lineRule="exact"/>
        <w:jc w:val="both"/>
      </w:pPr>
    </w:p>
    <w:p w:rsidR="00A21D01" w:rsidRPr="00CD2FC5" w:rsidRDefault="006648AB" w:rsidP="00202CCB">
      <w:pPr>
        <w:numPr>
          <w:ilvl w:val="0"/>
          <w:numId w:val="9"/>
        </w:numPr>
        <w:bidi w:val="0"/>
        <w:spacing w:line="360" w:lineRule="auto"/>
        <w:ind w:left="357" w:hanging="357"/>
        <w:jc w:val="both"/>
        <w:rPr>
          <w:b/>
          <w:bCs/>
        </w:rPr>
      </w:pPr>
      <w:r>
        <w:rPr>
          <w:b/>
          <w:bCs/>
        </w:rPr>
        <w:t>Main r</w:t>
      </w:r>
      <w:r w:rsidR="00A21D01">
        <w:rPr>
          <w:b/>
          <w:bCs/>
        </w:rPr>
        <w:t xml:space="preserve">isks </w:t>
      </w:r>
      <w:r w:rsidR="00202CCB">
        <w:rPr>
          <w:b/>
          <w:bCs/>
        </w:rPr>
        <w:t xml:space="preserve">to </w:t>
      </w:r>
      <w:r w:rsidR="00A21D01">
        <w:rPr>
          <w:b/>
          <w:bCs/>
        </w:rPr>
        <w:t>the forecast</w:t>
      </w:r>
    </w:p>
    <w:p w:rsidR="00FF22EB" w:rsidRDefault="00FF22EB" w:rsidP="00425B3F">
      <w:pPr>
        <w:bidi w:val="0"/>
        <w:jc w:val="both"/>
      </w:pPr>
    </w:p>
    <w:p w:rsidR="009A6F35" w:rsidRDefault="008512DE" w:rsidP="00D40032">
      <w:pPr>
        <w:bidi w:val="0"/>
        <w:jc w:val="both"/>
      </w:pPr>
      <w:r>
        <w:t xml:space="preserve">In addition to the domestic risks to the forecast, </w:t>
      </w:r>
      <w:r w:rsidR="00DA623D">
        <w:t xml:space="preserve">some of which are discussed below, </w:t>
      </w:r>
      <w:r>
        <w:t>the forecast is exposed to risks as a result of</w:t>
      </w:r>
      <w:r w:rsidR="00DA623D">
        <w:t xml:space="preserve"> potential</w:t>
      </w:r>
      <w:r>
        <w:t xml:space="preserve"> developments originating abroad. </w:t>
      </w:r>
      <w:r w:rsidR="009A6F35">
        <w:t xml:space="preserve">The global risks to the forecast include a slower-than-expected moderation of inflation abroad </w:t>
      </w:r>
      <w:r>
        <w:t xml:space="preserve">in view of wage increases, mainly in the US where the labor market remains tight. In addition, the problems that have </w:t>
      </w:r>
      <w:r w:rsidR="00DA623D">
        <w:t>recently been exposed</w:t>
      </w:r>
      <w:r>
        <w:t xml:space="preserve"> in the US banking system may have impl</w:t>
      </w:r>
      <w:r w:rsidR="00D40032">
        <w:t>ications for developments there</w:t>
      </w:r>
      <w:r>
        <w:t>.</w:t>
      </w:r>
      <w:r w:rsidR="009A6F35">
        <w:t xml:space="preserve"> </w:t>
      </w:r>
      <w:r>
        <w:t xml:space="preserve"> Developments in the war in Ukraine may also have further implications for energy and commodity prices, and through them for economic activity, trade, and inflation globally (mainly in Europe).</w:t>
      </w:r>
      <w:r w:rsidR="001218D4">
        <w:t xml:space="preserve">  The more intense the effects of the war are, the greater the downward risk is for economic activity and the greater the upward risk is for inflation. </w:t>
      </w:r>
    </w:p>
    <w:p w:rsidR="001218D4" w:rsidRDefault="001218D4" w:rsidP="001218D4">
      <w:pPr>
        <w:bidi w:val="0"/>
        <w:jc w:val="both"/>
      </w:pPr>
    </w:p>
    <w:p w:rsidR="001218D4" w:rsidRDefault="001218D4" w:rsidP="001218D4">
      <w:pPr>
        <w:bidi w:val="0"/>
        <w:jc w:val="both"/>
      </w:pPr>
    </w:p>
    <w:p w:rsidR="001218D4" w:rsidRDefault="001218D4" w:rsidP="001218D4">
      <w:pPr>
        <w:bidi w:val="0"/>
        <w:jc w:val="both"/>
      </w:pPr>
    </w:p>
    <w:p w:rsidR="001218D4" w:rsidRPr="001218D4" w:rsidRDefault="001218D4" w:rsidP="00D40032">
      <w:pPr>
        <w:pStyle w:val="af3"/>
        <w:numPr>
          <w:ilvl w:val="0"/>
          <w:numId w:val="10"/>
        </w:numPr>
        <w:bidi w:val="0"/>
        <w:jc w:val="both"/>
        <w:rPr>
          <w:b/>
          <w:bCs/>
        </w:rPr>
      </w:pPr>
      <w:r>
        <w:rPr>
          <w:b/>
          <w:bCs/>
        </w:rPr>
        <w:t>A scenario</w:t>
      </w:r>
      <w:r w:rsidR="00D40032">
        <w:rPr>
          <w:b/>
          <w:bCs/>
        </w:rPr>
        <w:t xml:space="preserve"> presenting an analysis of the potential economic implications</w:t>
      </w:r>
      <w:r>
        <w:rPr>
          <w:b/>
          <w:bCs/>
        </w:rPr>
        <w:t xml:space="preserve"> </w:t>
      </w:r>
      <w:r w:rsidR="00D40032">
        <w:rPr>
          <w:b/>
          <w:bCs/>
        </w:rPr>
        <w:t>should</w:t>
      </w:r>
      <w:r>
        <w:rPr>
          <w:b/>
          <w:bCs/>
        </w:rPr>
        <w:t xml:space="preserve"> </w:t>
      </w:r>
      <w:r w:rsidR="006120B8">
        <w:rPr>
          <w:b/>
          <w:bCs/>
        </w:rPr>
        <w:t xml:space="preserve">the </w:t>
      </w:r>
      <w:r w:rsidR="00D40032">
        <w:rPr>
          <w:b/>
          <w:bCs/>
        </w:rPr>
        <w:t>legal</w:t>
      </w:r>
      <w:r w:rsidR="006120B8">
        <w:rPr>
          <w:b/>
          <w:bCs/>
        </w:rPr>
        <w:t xml:space="preserve"> </w:t>
      </w:r>
      <w:r w:rsidR="00D40032">
        <w:rPr>
          <w:b/>
          <w:bCs/>
        </w:rPr>
        <w:t xml:space="preserve">and institutional </w:t>
      </w:r>
      <w:r>
        <w:rPr>
          <w:b/>
          <w:bCs/>
        </w:rPr>
        <w:t xml:space="preserve">changes </w:t>
      </w:r>
      <w:r w:rsidR="00D40032">
        <w:rPr>
          <w:b/>
          <w:bCs/>
        </w:rPr>
        <w:t>b</w:t>
      </w:r>
      <w:r w:rsidR="006120B8">
        <w:rPr>
          <w:b/>
          <w:bCs/>
        </w:rPr>
        <w:t>e accompanied by</w:t>
      </w:r>
      <w:r>
        <w:rPr>
          <w:b/>
          <w:bCs/>
        </w:rPr>
        <w:t xml:space="preserve"> an increase in the country’s risk premium, a negative impact on exports, and decline</w:t>
      </w:r>
      <w:r w:rsidR="006120B8">
        <w:rPr>
          <w:b/>
          <w:bCs/>
        </w:rPr>
        <w:t>s</w:t>
      </w:r>
      <w:r>
        <w:rPr>
          <w:b/>
          <w:bCs/>
        </w:rPr>
        <w:t xml:space="preserve"> in domestic investment and in demand for private </w:t>
      </w:r>
      <w:proofErr w:type="gramStart"/>
      <w:r>
        <w:rPr>
          <w:b/>
          <w:bCs/>
        </w:rPr>
        <w:t>consumption.</w:t>
      </w:r>
      <w:proofErr w:type="gramEnd"/>
    </w:p>
    <w:p w:rsidR="001218D4" w:rsidRDefault="001218D4" w:rsidP="001218D4">
      <w:pPr>
        <w:bidi w:val="0"/>
        <w:jc w:val="both"/>
        <w:rPr>
          <w:b/>
          <w:bCs/>
        </w:rPr>
      </w:pPr>
    </w:p>
    <w:p w:rsidR="001218D4" w:rsidRDefault="00F73566" w:rsidP="00D40032">
      <w:pPr>
        <w:bidi w:val="0"/>
        <w:jc w:val="both"/>
      </w:pPr>
      <w:r>
        <w:t>Th</w:t>
      </w:r>
      <w:r w:rsidR="006120B8">
        <w:t>is</w:t>
      </w:r>
      <w:r>
        <w:t xml:space="preserve"> scenario presents an analysis of the potential economic implications if the </w:t>
      </w:r>
      <w:r w:rsidR="00D40032">
        <w:t>legal and institutional changes are</w:t>
      </w:r>
      <w:r>
        <w:t xml:space="preserve"> accompanied by an increase in the country’s risk premium, a negative impact to exports, and a decline in</w:t>
      </w:r>
      <w:r w:rsidR="006120B8">
        <w:t xml:space="preserve"> demand for</w:t>
      </w:r>
      <w:r>
        <w:t xml:space="preserve"> domestic investments and </w:t>
      </w:r>
      <w:r w:rsidR="006120B8">
        <w:t>f</w:t>
      </w:r>
      <w:r>
        <w:t>or private consumption.</w:t>
      </w:r>
      <w:r w:rsidR="006120B8">
        <w:t xml:space="preserve">  Indications of the potential direction of the impact of advancement in these processes are derived from the markets’ responses to the developments of the recent period, as detailed below.</w:t>
      </w:r>
    </w:p>
    <w:p w:rsidR="00F73566" w:rsidRDefault="00F73566" w:rsidP="00F73566">
      <w:pPr>
        <w:bidi w:val="0"/>
        <w:jc w:val="both"/>
      </w:pPr>
    </w:p>
    <w:p w:rsidR="00F73566" w:rsidRDefault="00F73566" w:rsidP="00D40032">
      <w:pPr>
        <w:bidi w:val="0"/>
        <w:jc w:val="both"/>
      </w:pPr>
      <w:r>
        <w:t>Since there is tremendous uncertainty regarding the pace</w:t>
      </w:r>
      <w:r w:rsidR="006120B8">
        <w:t>, intensity, and</w:t>
      </w:r>
      <w:r>
        <w:t xml:space="preserve"> implications of the legislative process regarding the judicial system, we present a wide range of possibilities.  </w:t>
      </w:r>
      <w:r w:rsidR="00D40032">
        <w:t>In addition</w:t>
      </w:r>
      <w:r w:rsidR="009F20C5">
        <w:t xml:space="preserve">, as opposed to the macroeconomic forecast in Section 1, which </w:t>
      </w:r>
      <w:r>
        <w:t>is presented for just</w:t>
      </w:r>
      <w:r w:rsidR="009F20C5">
        <w:t xml:space="preserve"> the </w:t>
      </w:r>
      <w:r w:rsidR="009F20C5">
        <w:lastRenderedPageBreak/>
        <w:t>coming</w:t>
      </w:r>
      <w:r>
        <w:t xml:space="preserve"> two years, in this scenario, we present the impact over the coming three years (which we relate to as one bloc). </w:t>
      </w:r>
      <w:r w:rsidR="009F20C5">
        <w:t xml:space="preserve"> This is because it is difficult to assess the precise timing of the impact on the economic variables, and since some of the effects may be realized only after some time.</w:t>
      </w:r>
      <w:r>
        <w:t xml:space="preserve"> </w:t>
      </w:r>
      <w:r w:rsidR="009F20C5">
        <w:t xml:space="preserve">Our assessment is </w:t>
      </w:r>
      <w:r>
        <w:t>that the economic impacts will be reflected through three main channels, and we analyze each of them separately.  The</w:t>
      </w:r>
      <w:r w:rsidR="009F20C5">
        <w:t>se</w:t>
      </w:r>
      <w:r>
        <w:t xml:space="preserve"> channels (hereinafter “shocks”) are an increase in Israel’s risk premium, an impact to demand for Israel’s exports, and an impact to domestic demand for investments and for private consumption.</w:t>
      </w:r>
    </w:p>
    <w:p w:rsidR="00F73566" w:rsidRDefault="00F73566" w:rsidP="00F73566">
      <w:pPr>
        <w:bidi w:val="0"/>
        <w:jc w:val="both"/>
      </w:pPr>
    </w:p>
    <w:p w:rsidR="00F73566" w:rsidRDefault="008F5935" w:rsidP="00F73566">
      <w:pPr>
        <w:bidi w:val="0"/>
        <w:jc w:val="both"/>
      </w:pPr>
      <w:r>
        <w:rPr>
          <w:u w:val="single"/>
        </w:rPr>
        <w:t>Assumptions</w:t>
      </w:r>
      <w:r w:rsidR="009F20C5">
        <w:rPr>
          <w:u w:val="single"/>
        </w:rPr>
        <w:t xml:space="preserve"> in the scenario</w:t>
      </w:r>
      <w:r>
        <w:rPr>
          <w:u w:val="single"/>
        </w:rPr>
        <w:t xml:space="preserve"> regarding the nature of the impact:</w:t>
      </w:r>
    </w:p>
    <w:p w:rsidR="008F5935" w:rsidRDefault="008F5935" w:rsidP="008F5935">
      <w:pPr>
        <w:bidi w:val="0"/>
        <w:jc w:val="both"/>
      </w:pPr>
    </w:p>
    <w:p w:rsidR="008F5935" w:rsidRDefault="008F5935" w:rsidP="00D40032">
      <w:pPr>
        <w:bidi w:val="0"/>
        <w:jc w:val="both"/>
      </w:pPr>
      <w:r>
        <w:rPr>
          <w:i/>
          <w:iCs/>
        </w:rPr>
        <w:t xml:space="preserve">Increase in the economy’s risk premium: </w:t>
      </w:r>
      <w:r w:rsidR="009F20C5">
        <w:t>The</w:t>
      </w:r>
      <w:r w:rsidR="006E6A4A">
        <w:t>re are a number of</w:t>
      </w:r>
      <w:r w:rsidR="009F20C5">
        <w:t xml:space="preserve"> developments that have taken place in the recent period</w:t>
      </w:r>
      <w:r w:rsidR="00777384">
        <w:t xml:space="preserve"> that</w:t>
      </w:r>
      <w:r w:rsidR="009F20C5">
        <w:t xml:space="preserve"> may serve as an indication of</w:t>
      </w:r>
      <w:r>
        <w:t xml:space="preserve"> the possibility of an increase in the economy’s risk premium. </w:t>
      </w:r>
      <w:r w:rsidR="009F20C5">
        <w:t xml:space="preserve">In recent months, we have seen </w:t>
      </w:r>
      <w:r w:rsidR="00D40032">
        <w:t>some</w:t>
      </w:r>
      <w:r>
        <w:t xml:space="preserve"> increase in the yield spread o</w:t>
      </w:r>
      <w:r w:rsidR="009F20C5">
        <w:t xml:space="preserve">n dollar-denominated Israel government </w:t>
      </w:r>
      <w:r>
        <w:t xml:space="preserve">bonds relative to US bonds; </w:t>
      </w:r>
      <w:r w:rsidR="009F20C5">
        <w:t xml:space="preserve">a weakening of the shekel; </w:t>
      </w:r>
      <w:r>
        <w:t xml:space="preserve">underperformance </w:t>
      </w:r>
      <w:r w:rsidR="009F20C5">
        <w:t>of</w:t>
      </w:r>
      <w:r>
        <w:t xml:space="preserve"> the domestic equity market relative to the US </w:t>
      </w:r>
      <w:r w:rsidR="009F20C5">
        <w:t xml:space="preserve">and European </w:t>
      </w:r>
      <w:r>
        <w:t xml:space="preserve">markets; </w:t>
      </w:r>
      <w:r w:rsidR="009F20C5">
        <w:t xml:space="preserve">and </w:t>
      </w:r>
      <w:r>
        <w:t>public statements by credit rating agencies</w:t>
      </w:r>
      <w:r w:rsidR="009F20C5">
        <w:t xml:space="preserve"> and investment houses</w:t>
      </w:r>
      <w:r>
        <w:t xml:space="preserve">.  </w:t>
      </w:r>
      <w:r w:rsidR="009F20C5">
        <w:t>All of t</w:t>
      </w:r>
      <w:r>
        <w:t>his means that investors will demand a premium in order to be willing to hold domestic assets such as equities, government</w:t>
      </w:r>
      <w:r w:rsidR="009F20C5">
        <w:t xml:space="preserve"> bonds,</w:t>
      </w:r>
      <w:r>
        <w:t xml:space="preserve"> or corporate bonds.  An increase in the risk premium raises the economy’s financing costs, and may be reflected in a reduced volume of capital in the economy, a decline in the pace of venture capital raising for the high-tech industry that is so significant for Israel, </w:t>
      </w:r>
      <w:r w:rsidR="00777384">
        <w:t xml:space="preserve">and </w:t>
      </w:r>
      <w:r>
        <w:t>a depreciation of the shekel</w:t>
      </w:r>
      <w:r w:rsidR="00777384">
        <w:t xml:space="preserve"> with a resulting acceleration of inflation</w:t>
      </w:r>
      <w:r>
        <w:t>.  The result would be a decline in the volume of</w:t>
      </w:r>
      <w:r w:rsidR="009F20C5">
        <w:t xml:space="preserve"> real</w:t>
      </w:r>
      <w:r>
        <w:t xml:space="preserve"> investments in the economy (in facilities, machinery, equipment, and R&amp;D), which over time would lead to a negative impact on the stock of capital in the economy, and therefore to the level of GDP.</w:t>
      </w:r>
    </w:p>
    <w:p w:rsidR="008F5935" w:rsidRDefault="008F5935" w:rsidP="008F5935">
      <w:pPr>
        <w:bidi w:val="0"/>
        <w:jc w:val="both"/>
      </w:pPr>
    </w:p>
    <w:p w:rsidR="008F5935" w:rsidRDefault="008F5935" w:rsidP="0009681A">
      <w:pPr>
        <w:bidi w:val="0"/>
        <w:jc w:val="both"/>
      </w:pPr>
      <w:r>
        <w:rPr>
          <w:i/>
          <w:iCs/>
        </w:rPr>
        <w:t>A negative impact to domestic investments and to private consumption:</w:t>
      </w:r>
      <w:r>
        <w:t xml:space="preserve">  A negative impact </w:t>
      </w:r>
      <w:r w:rsidR="006E6A4A">
        <w:t>to</w:t>
      </w:r>
      <w:r>
        <w:t xml:space="preserve"> the way in which </w:t>
      </w:r>
      <w:r w:rsidR="006E6A4A">
        <w:t xml:space="preserve">the </w:t>
      </w:r>
      <w:r>
        <w:t xml:space="preserve">Israeli </w:t>
      </w:r>
      <w:r w:rsidR="0009681A">
        <w:t xml:space="preserve">economy </w:t>
      </w:r>
      <w:r w:rsidR="006E6A4A">
        <w:t>is pe</w:t>
      </w:r>
      <w:r>
        <w:t xml:space="preserve">rceived may lead to a decline in demand for investments (in facilities, machinery, equipment, and R&amp;D), both </w:t>
      </w:r>
      <w:r w:rsidR="0009681A">
        <w:t>by</w:t>
      </w:r>
      <w:r>
        <w:t xml:space="preserve"> Israel</w:t>
      </w:r>
      <w:r w:rsidR="0009681A">
        <w:t>is</w:t>
      </w:r>
      <w:r>
        <w:t xml:space="preserve"> and </w:t>
      </w:r>
      <w:r w:rsidR="0009681A">
        <w:t>by</w:t>
      </w:r>
      <w:r>
        <w:t xml:space="preserve"> foreign companies operating here (including in the high-tech field).  Capital mobility also enables domestic investors to choose between investing in Israel and investing abroad, in accordance with assessments of relative worthwhileness.  In addition, and similar to previous crises, uncertainty regarding the economic implications of various processes and concern over harm to economic activity and employment may work to reduce private consumption and increase savings as a security buffer against a future impact to household income.  The result is a negative impact to the stock of capital and to labor productivity in Israel and, as a direct result, to GDP.  In contrast with a decline in investment originating from an increase in the premium demanded by credit providers from Israel and abroad (the first shock), this involves an impact to the willingness to invest in the economy for a given interest rate level.</w:t>
      </w:r>
    </w:p>
    <w:p w:rsidR="008F5935" w:rsidRDefault="008F5935" w:rsidP="008F5935">
      <w:pPr>
        <w:bidi w:val="0"/>
        <w:jc w:val="both"/>
      </w:pPr>
    </w:p>
    <w:p w:rsidR="008F5935" w:rsidRDefault="008F5935" w:rsidP="00D40032">
      <w:pPr>
        <w:bidi w:val="0"/>
        <w:jc w:val="both"/>
      </w:pPr>
      <w:r>
        <w:rPr>
          <w:i/>
          <w:iCs/>
        </w:rPr>
        <w:t xml:space="preserve">Impact to </w:t>
      </w:r>
      <w:r w:rsidR="00D40032">
        <w:rPr>
          <w:i/>
          <w:iCs/>
        </w:rPr>
        <w:t xml:space="preserve">demand for </w:t>
      </w:r>
      <w:r>
        <w:rPr>
          <w:i/>
          <w:iCs/>
        </w:rPr>
        <w:t>Israel’s exports:</w:t>
      </w:r>
      <w:r>
        <w:t xml:space="preserve">  In view of a potent</w:t>
      </w:r>
      <w:r w:rsidR="00D40032">
        <w:t>ial change in attitudes toward</w:t>
      </w:r>
      <w:r>
        <w:t xml:space="preserve"> Israel on the part of other countries, as well as in view of a potential change in the assessment of the economy’s risk, there may be an impact to the willingness to do business with Israeli companies, </w:t>
      </w:r>
      <w:r w:rsidR="009C6E29">
        <w:t>or to consume Israeli goods and services.</w:t>
      </w:r>
    </w:p>
    <w:p w:rsidR="009C6E29" w:rsidRDefault="009C6E29" w:rsidP="009C6E29">
      <w:pPr>
        <w:bidi w:val="0"/>
        <w:jc w:val="both"/>
      </w:pPr>
    </w:p>
    <w:p w:rsidR="009C6E29" w:rsidRDefault="009C6E29" w:rsidP="009C6E29">
      <w:pPr>
        <w:bidi w:val="0"/>
        <w:jc w:val="both"/>
      </w:pPr>
      <w:r>
        <w:rPr>
          <w:u w:val="single"/>
        </w:rPr>
        <w:t>Assumptions regarding the size of the impact:</w:t>
      </w:r>
    </w:p>
    <w:p w:rsidR="009C6E29" w:rsidRDefault="009C6E29" w:rsidP="009C6E29">
      <w:pPr>
        <w:bidi w:val="0"/>
        <w:jc w:val="both"/>
      </w:pPr>
    </w:p>
    <w:p w:rsidR="009C6E29" w:rsidRDefault="009C6E29" w:rsidP="00D40032">
      <w:pPr>
        <w:bidi w:val="0"/>
        <w:jc w:val="both"/>
      </w:pPr>
      <w:r>
        <w:t xml:space="preserve">In order to assess the potential impact to activity, we must assess the volume of the impact in each of these channels.  </w:t>
      </w:r>
      <w:r w:rsidR="00E55A62">
        <w:t>As an indicator of this</w:t>
      </w:r>
      <w:r>
        <w:t xml:space="preserve">, we </w:t>
      </w:r>
      <w:r w:rsidR="00D40032">
        <w:t xml:space="preserve">based our </w:t>
      </w:r>
      <w:r>
        <w:t>examin</w:t>
      </w:r>
      <w:r w:rsidR="00D40032">
        <w:t>ation on</w:t>
      </w:r>
      <w:r>
        <w:t xml:space="preserve"> the 2001–2002 crisis</w:t>
      </w:r>
      <w:r w:rsidR="00E55A62">
        <w:t xml:space="preserve"> in Israel</w:t>
      </w:r>
      <w:r>
        <w:t>,</w:t>
      </w:r>
      <w:r w:rsidR="00E55A62">
        <w:t xml:space="preserve"> since that crisis was due to a confluence of significant domestic events and an unstable global environment, </w:t>
      </w:r>
      <w:r w:rsidR="00D40032">
        <w:t xml:space="preserve">the economic effects of which </w:t>
      </w:r>
      <w:r w:rsidR="00E55A62">
        <w:t>were reflected in the three channels listed above</w:t>
      </w:r>
      <w:r>
        <w:t>.</w:t>
      </w:r>
    </w:p>
    <w:p w:rsidR="009C6E29" w:rsidRDefault="009C6E29" w:rsidP="009C6E29">
      <w:pPr>
        <w:bidi w:val="0"/>
        <w:jc w:val="both"/>
      </w:pPr>
    </w:p>
    <w:p w:rsidR="00E55A62" w:rsidRDefault="009C6E29" w:rsidP="00D40032">
      <w:pPr>
        <w:bidi w:val="0"/>
        <w:jc w:val="both"/>
      </w:pPr>
      <w:r>
        <w:lastRenderedPageBreak/>
        <w:t>Based on</w:t>
      </w:r>
      <w:r w:rsidR="00E55A62">
        <w:t xml:space="preserve"> the model we use to build the forecast each quarter, we identify the typical size of the shocks to the risk premium, </w:t>
      </w:r>
      <w:r w:rsidR="00D40032">
        <w:t xml:space="preserve">domestic demand, and </w:t>
      </w:r>
      <w:r w:rsidR="00E55A62">
        <w:t>demand for exports that hit the economy during recent decades.  During the 2001–2002 crisis, the intensity of each of these shocks was about the size of one standard deviation</w:t>
      </w:r>
      <w:r w:rsidR="00D40032">
        <w:t>, as estimated for the shocks</w:t>
      </w:r>
      <w:r w:rsidR="00E55A62">
        <w:t xml:space="preserve"> over the period for which the model is estimated.  The reason for their development into a crisis has to do with their prolonged persistence over a number of quarters.</w:t>
      </w:r>
    </w:p>
    <w:p w:rsidR="00E55A62" w:rsidRDefault="00E55A62" w:rsidP="00E55A62">
      <w:pPr>
        <w:bidi w:val="0"/>
        <w:jc w:val="both"/>
      </w:pPr>
    </w:p>
    <w:p w:rsidR="0009681A" w:rsidRDefault="0009681A" w:rsidP="00D40032">
      <w:pPr>
        <w:bidi w:val="0"/>
        <w:jc w:val="both"/>
      </w:pPr>
      <w:r>
        <w:t xml:space="preserve">As a result of the </w:t>
      </w:r>
      <w:r w:rsidR="00D40032">
        <w:t xml:space="preserve">2001–2002 </w:t>
      </w:r>
      <w:r>
        <w:t>crisis, the increase in the risk premium was reflected in a cumulative increase of about 4.5 percentage points in the interest rate spreads and a depreciation of about 18 percent (in terms of the nominal effective exchange rate) over those two years.  The aggregate impact to GDP</w:t>
      </w:r>
      <w:r w:rsidR="00D40032">
        <w:t xml:space="preserve"> growth</w:t>
      </w:r>
      <w:r>
        <w:t xml:space="preserve"> in each of the first two years of the crisis was about 3 percent. The characteristics of the Israeli economy today are significantly different than those of two decades ago.  The macroeconomic environment is better and more stable, the debt to GDP ratio is about 60 percent, the high-tech sector is well-established, more diversified, and more resilient, and foreign exchange reserves of close to $200 billion provide a </w:t>
      </w:r>
      <w:r w:rsidR="00777384">
        <w:t>considerable</w:t>
      </w:r>
      <w:r>
        <w:t xml:space="preserve"> security buffer for the economy.  These make it easier for the economy to absorb shocks while reducing the impact to activity.  In contrast, the high-tech sector, which is very sensitive to the global economy and foreign investments, is larger (about 17 percent of GDP compared to about 12 percent at the beginning of the 2000s, and about 11 percent of salaried employees compared with about 8 percent then).  The high-tech sector currently accounts for more than half of Israel’s exports, compared to a smaller share in the past.  In addition, the economy today is much more open to capital flows and is therefore more sensitive to changes in the world’s perception of the Israeli economy.  These characteristics actually work to increase the economy’s vulnerability to various shocks.  Therefore, as a measuring stick, we choose to use shocks of a similar size to those that hit the economy at the beginning of the century.</w:t>
      </w:r>
    </w:p>
    <w:p w:rsidR="0009681A" w:rsidRDefault="0009681A" w:rsidP="0009681A">
      <w:pPr>
        <w:bidi w:val="0"/>
        <w:jc w:val="both"/>
      </w:pPr>
    </w:p>
    <w:p w:rsidR="00E55A62" w:rsidRDefault="00E55A62" w:rsidP="00D40032">
      <w:pPr>
        <w:bidi w:val="0"/>
        <w:jc w:val="both"/>
      </w:pPr>
      <w:r>
        <w:t xml:space="preserve">In order to design the risk scenarios, in addition to choosing the size of the shocks, we must determine </w:t>
      </w:r>
      <w:r w:rsidR="006C03C8">
        <w:t xml:space="preserve">the extent of their persistence, meaning the </w:t>
      </w:r>
      <w:r w:rsidR="00D40032">
        <w:t xml:space="preserve">typical </w:t>
      </w:r>
      <w:r w:rsidR="006C03C8">
        <w:t>duration until they subside.</w:t>
      </w:r>
      <w:r>
        <w:t xml:space="preserve">  Changes in the judicial system are expected to be structural and prolonged.  Therefore, alongside a scenario in which the persistence of the shocks is the same as during recent decades (as estimated based on historical data in the model we are using), and which is presented in the </w:t>
      </w:r>
      <w:r w:rsidR="003C02C4">
        <w:t>gray</w:t>
      </w:r>
      <w:r>
        <w:t xml:space="preserve"> lines in Table 3, we also present</w:t>
      </w:r>
      <w:r w:rsidR="00D40032">
        <w:t xml:space="preserve"> a</w:t>
      </w:r>
      <w:r>
        <w:t xml:space="preserve"> scenario in which the shocks are more persistent.  For instance,</w:t>
      </w:r>
      <w:r w:rsidR="00D40032">
        <w:t xml:space="preserve"> for</w:t>
      </w:r>
      <w:r>
        <w:t xml:space="preserve"> “Risk Premium”</w:t>
      </w:r>
      <w:r w:rsidR="00D40032">
        <w:t>, the gray line</w:t>
      </w:r>
      <w:r>
        <w:t xml:space="preserve"> shows a shock on the scale of one standard deviation, with a high persistence coefficient of 0.6, as estimated from the data of the entire sample. </w:t>
      </w:r>
      <w:r w:rsidR="00D40032">
        <w:t xml:space="preserve"> However,</w:t>
      </w:r>
      <w:r>
        <w:t xml:space="preserve"> </w:t>
      </w:r>
      <w:r w:rsidR="00D40032">
        <w:t>s</w:t>
      </w:r>
      <w:r>
        <w:t xml:space="preserve">ince the shock that we are analyzing may have an impact over time, </w:t>
      </w:r>
      <w:r w:rsidR="00D40032">
        <w:t xml:space="preserve">the white lines shows the effect </w:t>
      </w:r>
      <w:r>
        <w:t>a higher persistence coefficient, of 0.925. This persistence coefficient better reflects the events in 200</w:t>
      </w:r>
      <w:r w:rsidR="00D40032">
        <w:t>1</w:t>
      </w:r>
      <w:r>
        <w:t>–200</w:t>
      </w:r>
      <w:r w:rsidR="00D40032">
        <w:t>2</w:t>
      </w:r>
      <w:r w:rsidR="006C03C8">
        <w:t>, when the shock appeared for seven consecutive quarters.  The impact of each shock, even at a fixed size, depends on its persistence.  The greater the persistence, the stronger the impact (the white rows in Table 3).</w:t>
      </w:r>
      <w:r w:rsidR="006C03C8">
        <w:rPr>
          <w:rStyle w:val="ac"/>
        </w:rPr>
        <w:footnoteReference w:id="4"/>
      </w:r>
    </w:p>
    <w:p w:rsidR="00E55A62" w:rsidRDefault="00E55A62" w:rsidP="00E55A62">
      <w:pPr>
        <w:bidi w:val="0"/>
        <w:jc w:val="both"/>
      </w:pPr>
    </w:p>
    <w:p w:rsidR="00C16253" w:rsidRDefault="00C16253" w:rsidP="00C16253">
      <w:pPr>
        <w:bidi w:val="0"/>
        <w:jc w:val="both"/>
      </w:pPr>
    </w:p>
    <w:p w:rsidR="00C16253" w:rsidRDefault="00C16253" w:rsidP="00C16253">
      <w:pPr>
        <w:bidi w:val="0"/>
        <w:jc w:val="both"/>
      </w:pPr>
    </w:p>
    <w:p w:rsidR="00C16253" w:rsidRDefault="00C16253" w:rsidP="00C16253">
      <w:pPr>
        <w:bidi w:val="0"/>
        <w:jc w:val="both"/>
      </w:pPr>
      <w:r>
        <w:rPr>
          <w:u w:val="single"/>
        </w:rPr>
        <w:t>Results:</w:t>
      </w:r>
    </w:p>
    <w:p w:rsidR="00C16253" w:rsidRDefault="00C16253" w:rsidP="00C16253">
      <w:pPr>
        <w:bidi w:val="0"/>
        <w:jc w:val="both"/>
      </w:pPr>
    </w:p>
    <w:p w:rsidR="00C16253" w:rsidRDefault="00C16253" w:rsidP="00D40032">
      <w:pPr>
        <w:bidi w:val="0"/>
        <w:jc w:val="both"/>
      </w:pPr>
      <w:r>
        <w:t>Table 3 shows separately the cumulative loss of GDP, in percent</w:t>
      </w:r>
      <w:r w:rsidR="00487712">
        <w:t xml:space="preserve"> of GDP per year</w:t>
      </w:r>
      <w:r>
        <w:t xml:space="preserve">, for each of the shocks under the various assumptions of the extent of its persistence, </w:t>
      </w:r>
      <w:r w:rsidR="00487712">
        <w:t>based on a</w:t>
      </w:r>
      <w:r>
        <w:t xml:space="preserve"> model-based analysis.</w:t>
      </w:r>
    </w:p>
    <w:p w:rsidR="00487712" w:rsidRDefault="00487712" w:rsidP="00487712">
      <w:pPr>
        <w:bidi w:val="0"/>
        <w:jc w:val="both"/>
      </w:pPr>
    </w:p>
    <w:p w:rsidR="0009681A" w:rsidRDefault="00487712" w:rsidP="00BD45C6">
      <w:pPr>
        <w:bidi w:val="0"/>
        <w:jc w:val="both"/>
      </w:pPr>
      <w:r>
        <w:lastRenderedPageBreak/>
        <w:t xml:space="preserve">The Table shows that in a case where the effect of the changes subsides relatively quickly (the gray lines in the Table), the aggregate effect of the three channels would be an </w:t>
      </w:r>
      <w:r w:rsidR="00777384">
        <w:t>adverse impact</w:t>
      </w:r>
      <w:r w:rsidR="003D41B1">
        <w:t xml:space="preserve"> at an </w:t>
      </w:r>
      <w:r>
        <w:t xml:space="preserve">average </w:t>
      </w:r>
      <w:r w:rsidR="00777384">
        <w:t xml:space="preserve">annual rate </w:t>
      </w:r>
      <w:r>
        <w:t xml:space="preserve">of 0.8 percent of GDP in each </w:t>
      </w:r>
      <w:r w:rsidR="0009681A">
        <w:t>of the next three years</w:t>
      </w:r>
      <w:r>
        <w:t>.  In a scenario where the shocks are more persistent, the impact totals an average of abo</w:t>
      </w:r>
      <w:r w:rsidR="00BD45C6">
        <w:t>ut 2.8 percent of GDP each year over the coming three years</w:t>
      </w:r>
      <w:r>
        <w:t>.  Most of the decline in GDP in this case is due to a significant impact to investment in the economy, due to the increased uncertainty and higher risk premium.  The depreciation of the shekel slightly moderates the impact to exports in the three examined years, but the significant reduction in investment, and the resulting impact to the stock of capital and to production capacity in the economy, is expected to deepen the impact on exports and on GDP in the more distant future.</w:t>
      </w:r>
      <w:r w:rsidR="0009681A">
        <w:t xml:space="preserve">  </w:t>
      </w:r>
      <w:r>
        <w:t>Private consumption is also significantly affected</w:t>
      </w:r>
      <w:r w:rsidR="003C02C4">
        <w:t xml:space="preserve"> due to the increased uncertainty and the higher interest rates due to the increased risk premium.  The extent of the impact to economic activity and to growth depends on the size of the shocks in these channels in response to the changes in legislation.  </w:t>
      </w:r>
    </w:p>
    <w:p w:rsidR="0009681A" w:rsidRDefault="0009681A" w:rsidP="0009681A">
      <w:pPr>
        <w:bidi w:val="0"/>
        <w:jc w:val="both"/>
      </w:pPr>
    </w:p>
    <w:p w:rsidR="003C02C4" w:rsidRDefault="0009681A" w:rsidP="00DC20D4">
      <w:pPr>
        <w:bidi w:val="0"/>
        <w:jc w:val="both"/>
      </w:pPr>
      <w:r>
        <w:t>T</w:t>
      </w:r>
      <w:r w:rsidR="003C02C4">
        <w:t xml:space="preserve">he framework we use is based on a linear model. </w:t>
      </w:r>
      <w:r>
        <w:t>Therefore, a shock that is twice as intense will be reflected in an impact that is twice as serious to GDP.  In contrast, if the shocks to the risk premium, demand for exports, and domestic demand are smaller, the impact to GDP would be smaller accordingly.</w:t>
      </w:r>
      <w:r w:rsidR="003C02C4">
        <w:t xml:space="preserve"> </w:t>
      </w:r>
      <w:r>
        <w:t xml:space="preserve">However, </w:t>
      </w:r>
      <w:r w:rsidR="00DC20D4">
        <w:t xml:space="preserve">in a situation in which the shocks are relatively large and </w:t>
      </w:r>
      <w:r w:rsidR="003C02C4">
        <w:t>perceived as persistent</w:t>
      </w:r>
      <w:r w:rsidR="00DC20D4">
        <w:t>,</w:t>
      </w:r>
      <w:r w:rsidR="003C02C4">
        <w:t xml:space="preserve"> the response of the economic variables may be beyond the assessment that is in line with the existing estimation.</w:t>
      </w:r>
    </w:p>
    <w:p w:rsidR="003C02C4" w:rsidRDefault="003C02C4" w:rsidP="0009681A">
      <w:pPr>
        <w:bidi w:val="0"/>
        <w:spacing w:after="200" w:line="276" w:lineRule="auto"/>
      </w:pPr>
      <w:r>
        <w:br w:type="page"/>
      </w:r>
    </w:p>
    <w:p w:rsidR="00C16253" w:rsidRDefault="00C16253" w:rsidP="00C16253">
      <w:pPr>
        <w:bidi w:val="0"/>
        <w:jc w:val="both"/>
      </w:pPr>
    </w:p>
    <w:tbl>
      <w:tblPr>
        <w:tblStyle w:val="a7"/>
        <w:tblW w:w="0" w:type="auto"/>
        <w:tblLook w:val="04A0" w:firstRow="1" w:lastRow="0" w:firstColumn="1" w:lastColumn="0" w:noHBand="0" w:noVBand="1"/>
      </w:tblPr>
      <w:tblGrid>
        <w:gridCol w:w="1561"/>
        <w:gridCol w:w="1147"/>
        <w:gridCol w:w="839"/>
        <w:gridCol w:w="1543"/>
        <w:gridCol w:w="1142"/>
        <w:gridCol w:w="1134"/>
        <w:gridCol w:w="1696"/>
      </w:tblGrid>
      <w:tr w:rsidR="003C02C4" w:rsidRPr="00672A9F" w:rsidTr="00DC20D4">
        <w:tc>
          <w:tcPr>
            <w:tcW w:w="1561" w:type="dxa"/>
            <w:tcBorders>
              <w:bottom w:val="single" w:sz="4" w:space="0" w:color="auto"/>
            </w:tcBorders>
          </w:tcPr>
          <w:p w:rsidR="003C02C4" w:rsidRPr="00672A9F" w:rsidRDefault="003C02C4" w:rsidP="00C16253">
            <w:pPr>
              <w:bidi w:val="0"/>
              <w:jc w:val="both"/>
              <w:rPr>
                <w:sz w:val="20"/>
                <w:szCs w:val="20"/>
              </w:rPr>
            </w:pPr>
            <w:r w:rsidRPr="00672A9F">
              <w:rPr>
                <w:sz w:val="20"/>
                <w:szCs w:val="20"/>
              </w:rPr>
              <w:t>Shock</w:t>
            </w:r>
          </w:p>
        </w:tc>
        <w:tc>
          <w:tcPr>
            <w:tcW w:w="1147" w:type="dxa"/>
            <w:tcBorders>
              <w:bottom w:val="single" w:sz="4" w:space="0" w:color="auto"/>
            </w:tcBorders>
          </w:tcPr>
          <w:p w:rsidR="003C02C4" w:rsidRPr="00672A9F" w:rsidRDefault="003C02C4" w:rsidP="00C16253">
            <w:pPr>
              <w:bidi w:val="0"/>
              <w:jc w:val="both"/>
              <w:rPr>
                <w:sz w:val="20"/>
                <w:szCs w:val="20"/>
              </w:rPr>
            </w:pPr>
            <w:r w:rsidRPr="00672A9F">
              <w:rPr>
                <w:sz w:val="20"/>
                <w:szCs w:val="20"/>
              </w:rPr>
              <w:t>Persistence</w:t>
            </w:r>
          </w:p>
        </w:tc>
        <w:tc>
          <w:tcPr>
            <w:tcW w:w="839" w:type="dxa"/>
            <w:tcBorders>
              <w:bottom w:val="single" w:sz="4" w:space="0" w:color="auto"/>
            </w:tcBorders>
          </w:tcPr>
          <w:p w:rsidR="003C02C4" w:rsidRPr="00672A9F" w:rsidRDefault="003C02C4" w:rsidP="00C16253">
            <w:pPr>
              <w:bidi w:val="0"/>
              <w:jc w:val="both"/>
              <w:rPr>
                <w:sz w:val="20"/>
                <w:szCs w:val="20"/>
              </w:rPr>
            </w:pPr>
            <w:r w:rsidRPr="00672A9F">
              <w:rPr>
                <w:sz w:val="20"/>
                <w:szCs w:val="20"/>
              </w:rPr>
              <w:t>Half-life in years</w:t>
            </w:r>
          </w:p>
        </w:tc>
        <w:tc>
          <w:tcPr>
            <w:tcW w:w="1543" w:type="dxa"/>
            <w:tcBorders>
              <w:bottom w:val="single" w:sz="4" w:space="0" w:color="auto"/>
            </w:tcBorders>
          </w:tcPr>
          <w:p w:rsidR="003C02C4" w:rsidRPr="00672A9F" w:rsidRDefault="003C02C4" w:rsidP="00C16253">
            <w:pPr>
              <w:bidi w:val="0"/>
              <w:jc w:val="both"/>
              <w:rPr>
                <w:sz w:val="20"/>
                <w:szCs w:val="20"/>
              </w:rPr>
            </w:pPr>
            <w:r w:rsidRPr="00672A9F">
              <w:rPr>
                <w:sz w:val="20"/>
                <w:szCs w:val="20"/>
              </w:rPr>
              <w:t>Shekel depreciation in terms of nominal effective exchange rate</w:t>
            </w:r>
          </w:p>
        </w:tc>
        <w:tc>
          <w:tcPr>
            <w:tcW w:w="1142" w:type="dxa"/>
            <w:tcBorders>
              <w:bottom w:val="single" w:sz="4" w:space="0" w:color="auto"/>
            </w:tcBorders>
          </w:tcPr>
          <w:p w:rsidR="003C02C4" w:rsidRPr="00672A9F" w:rsidRDefault="00DC20D4" w:rsidP="00BD45C6">
            <w:pPr>
              <w:bidi w:val="0"/>
              <w:jc w:val="both"/>
              <w:rPr>
                <w:sz w:val="20"/>
                <w:szCs w:val="20"/>
              </w:rPr>
            </w:pPr>
            <w:r>
              <w:rPr>
                <w:sz w:val="20"/>
                <w:szCs w:val="20"/>
              </w:rPr>
              <w:t>D</w:t>
            </w:r>
            <w:r w:rsidR="003C02C4">
              <w:rPr>
                <w:sz w:val="20"/>
                <w:szCs w:val="20"/>
              </w:rPr>
              <w:t xml:space="preserve">eviation of inflation </w:t>
            </w:r>
          </w:p>
        </w:tc>
        <w:tc>
          <w:tcPr>
            <w:tcW w:w="1134" w:type="dxa"/>
            <w:tcBorders>
              <w:bottom w:val="single" w:sz="4" w:space="0" w:color="auto"/>
            </w:tcBorders>
          </w:tcPr>
          <w:p w:rsidR="003C02C4" w:rsidRPr="00672A9F" w:rsidRDefault="00DC20D4" w:rsidP="00C16253">
            <w:pPr>
              <w:bidi w:val="0"/>
              <w:jc w:val="both"/>
              <w:rPr>
                <w:sz w:val="20"/>
                <w:szCs w:val="20"/>
              </w:rPr>
            </w:pPr>
            <w:r>
              <w:rPr>
                <w:sz w:val="20"/>
                <w:szCs w:val="20"/>
              </w:rPr>
              <w:t>D</w:t>
            </w:r>
            <w:r w:rsidR="003C02C4" w:rsidRPr="00672A9F">
              <w:rPr>
                <w:sz w:val="20"/>
                <w:szCs w:val="20"/>
              </w:rPr>
              <w:t>eviation of the interest rate</w:t>
            </w:r>
          </w:p>
        </w:tc>
        <w:tc>
          <w:tcPr>
            <w:tcW w:w="1696" w:type="dxa"/>
            <w:tcBorders>
              <w:bottom w:val="single" w:sz="4" w:space="0" w:color="auto"/>
            </w:tcBorders>
          </w:tcPr>
          <w:p w:rsidR="003C02C4" w:rsidRPr="00672A9F" w:rsidRDefault="003D41B1" w:rsidP="003D41B1">
            <w:pPr>
              <w:bidi w:val="0"/>
              <w:jc w:val="both"/>
              <w:rPr>
                <w:sz w:val="20"/>
                <w:szCs w:val="20"/>
              </w:rPr>
            </w:pPr>
            <w:r>
              <w:rPr>
                <w:sz w:val="20"/>
                <w:szCs w:val="20"/>
              </w:rPr>
              <w:t>Annual average</w:t>
            </w:r>
            <w:r w:rsidR="003C02C4" w:rsidRPr="00672A9F">
              <w:rPr>
                <w:sz w:val="20"/>
                <w:szCs w:val="20"/>
              </w:rPr>
              <w:t xml:space="preserve"> change in GDP</w:t>
            </w:r>
            <w:r w:rsidR="00DC20D4">
              <w:rPr>
                <w:sz w:val="20"/>
                <w:szCs w:val="20"/>
              </w:rPr>
              <w:t xml:space="preserve"> (over three years)*</w:t>
            </w:r>
          </w:p>
        </w:tc>
      </w:tr>
      <w:tr w:rsidR="003D41B1" w:rsidRPr="00672A9F" w:rsidTr="003D41B1">
        <w:tc>
          <w:tcPr>
            <w:tcW w:w="1561" w:type="dxa"/>
            <w:tcBorders>
              <w:top w:val="single" w:sz="4" w:space="0" w:color="auto"/>
              <w:left w:val="single" w:sz="4" w:space="0" w:color="auto"/>
              <w:bottom w:val="single" w:sz="12" w:space="0" w:color="auto"/>
              <w:right w:val="single" w:sz="4" w:space="0" w:color="auto"/>
            </w:tcBorders>
          </w:tcPr>
          <w:p w:rsidR="003D41B1" w:rsidRPr="00672A9F" w:rsidRDefault="003D41B1" w:rsidP="00C16253">
            <w:pPr>
              <w:bidi w:val="0"/>
              <w:jc w:val="both"/>
              <w:rPr>
                <w:sz w:val="20"/>
                <w:szCs w:val="20"/>
              </w:rPr>
            </w:pPr>
          </w:p>
        </w:tc>
        <w:tc>
          <w:tcPr>
            <w:tcW w:w="1147" w:type="dxa"/>
            <w:tcBorders>
              <w:top w:val="single" w:sz="4" w:space="0" w:color="auto"/>
              <w:left w:val="single" w:sz="4" w:space="0" w:color="auto"/>
              <w:bottom w:val="single" w:sz="12" w:space="0" w:color="auto"/>
              <w:right w:val="single" w:sz="4" w:space="0" w:color="auto"/>
            </w:tcBorders>
          </w:tcPr>
          <w:p w:rsidR="003D41B1" w:rsidRPr="00672A9F" w:rsidRDefault="003D41B1" w:rsidP="00C16253">
            <w:pPr>
              <w:bidi w:val="0"/>
              <w:jc w:val="both"/>
              <w:rPr>
                <w:sz w:val="20"/>
                <w:szCs w:val="20"/>
              </w:rPr>
            </w:pPr>
          </w:p>
        </w:tc>
        <w:tc>
          <w:tcPr>
            <w:tcW w:w="839" w:type="dxa"/>
            <w:tcBorders>
              <w:top w:val="single" w:sz="4" w:space="0" w:color="auto"/>
              <w:left w:val="single" w:sz="4" w:space="0" w:color="auto"/>
              <w:bottom w:val="single" w:sz="12" w:space="0" w:color="auto"/>
              <w:right w:val="single" w:sz="4" w:space="0" w:color="auto"/>
            </w:tcBorders>
          </w:tcPr>
          <w:p w:rsidR="003D41B1" w:rsidRPr="00672A9F" w:rsidRDefault="003D41B1" w:rsidP="00C16253">
            <w:pPr>
              <w:bidi w:val="0"/>
              <w:jc w:val="both"/>
              <w:rPr>
                <w:sz w:val="20"/>
                <w:szCs w:val="20"/>
              </w:rPr>
            </w:pPr>
          </w:p>
        </w:tc>
        <w:tc>
          <w:tcPr>
            <w:tcW w:w="1543" w:type="dxa"/>
            <w:tcBorders>
              <w:top w:val="single" w:sz="4" w:space="0" w:color="auto"/>
              <w:left w:val="single" w:sz="4" w:space="0" w:color="auto"/>
              <w:bottom w:val="single" w:sz="12" w:space="0" w:color="auto"/>
              <w:right w:val="single" w:sz="4" w:space="0" w:color="auto"/>
            </w:tcBorders>
          </w:tcPr>
          <w:p w:rsidR="003D41B1" w:rsidRPr="00672A9F" w:rsidRDefault="003D41B1" w:rsidP="00C16253">
            <w:pPr>
              <w:bidi w:val="0"/>
              <w:jc w:val="both"/>
              <w:rPr>
                <w:sz w:val="20"/>
                <w:szCs w:val="20"/>
              </w:rPr>
            </w:pPr>
            <w:r w:rsidRPr="00672A9F">
              <w:rPr>
                <w:sz w:val="20"/>
                <w:szCs w:val="20"/>
              </w:rPr>
              <w:t>Change in the first year</w:t>
            </w:r>
          </w:p>
        </w:tc>
        <w:tc>
          <w:tcPr>
            <w:tcW w:w="1142" w:type="dxa"/>
            <w:tcBorders>
              <w:top w:val="single" w:sz="4" w:space="0" w:color="auto"/>
              <w:left w:val="single" w:sz="4" w:space="0" w:color="auto"/>
              <w:bottom w:val="single" w:sz="12" w:space="0" w:color="auto"/>
              <w:right w:val="single" w:sz="4" w:space="0" w:color="auto"/>
            </w:tcBorders>
          </w:tcPr>
          <w:p w:rsidR="003D41B1" w:rsidRPr="00672A9F" w:rsidRDefault="003D41B1" w:rsidP="00C16253">
            <w:pPr>
              <w:bidi w:val="0"/>
              <w:jc w:val="both"/>
              <w:rPr>
                <w:sz w:val="20"/>
                <w:szCs w:val="20"/>
              </w:rPr>
            </w:pPr>
            <w:r>
              <w:rPr>
                <w:sz w:val="20"/>
                <w:szCs w:val="20"/>
              </w:rPr>
              <w:t>Average during the first year</w:t>
            </w:r>
          </w:p>
        </w:tc>
        <w:tc>
          <w:tcPr>
            <w:tcW w:w="1134" w:type="dxa"/>
            <w:tcBorders>
              <w:top w:val="single" w:sz="4" w:space="0" w:color="auto"/>
              <w:left w:val="single" w:sz="4" w:space="0" w:color="auto"/>
              <w:bottom w:val="single" w:sz="12" w:space="0" w:color="auto"/>
              <w:right w:val="single" w:sz="4" w:space="0" w:color="auto"/>
            </w:tcBorders>
          </w:tcPr>
          <w:p w:rsidR="003D41B1" w:rsidRPr="00672A9F" w:rsidRDefault="003D41B1" w:rsidP="00663523">
            <w:pPr>
              <w:bidi w:val="0"/>
              <w:jc w:val="both"/>
              <w:rPr>
                <w:sz w:val="20"/>
                <w:szCs w:val="20"/>
              </w:rPr>
            </w:pPr>
            <w:r>
              <w:rPr>
                <w:sz w:val="20"/>
                <w:szCs w:val="20"/>
              </w:rPr>
              <w:t>Average during</w:t>
            </w:r>
            <w:r w:rsidRPr="00672A9F">
              <w:rPr>
                <w:sz w:val="20"/>
                <w:szCs w:val="20"/>
              </w:rPr>
              <w:t xml:space="preserve"> the first year</w:t>
            </w:r>
          </w:p>
        </w:tc>
        <w:tc>
          <w:tcPr>
            <w:tcW w:w="1696" w:type="dxa"/>
            <w:tcBorders>
              <w:top w:val="single" w:sz="4" w:space="0" w:color="auto"/>
              <w:left w:val="single" w:sz="4" w:space="0" w:color="auto"/>
              <w:bottom w:val="single" w:sz="12" w:space="0" w:color="auto"/>
              <w:right w:val="single" w:sz="4" w:space="0" w:color="auto"/>
            </w:tcBorders>
          </w:tcPr>
          <w:p w:rsidR="003D41B1" w:rsidRPr="00672A9F" w:rsidRDefault="003D41B1" w:rsidP="00C16253">
            <w:pPr>
              <w:bidi w:val="0"/>
              <w:jc w:val="both"/>
              <w:rPr>
                <w:sz w:val="20"/>
                <w:szCs w:val="20"/>
              </w:rPr>
            </w:pPr>
            <w:r w:rsidRPr="00672A9F">
              <w:rPr>
                <w:sz w:val="20"/>
                <w:szCs w:val="20"/>
              </w:rPr>
              <w:t>Percent of GDP</w:t>
            </w:r>
          </w:p>
        </w:tc>
      </w:tr>
      <w:tr w:rsidR="003D41B1" w:rsidRPr="00672A9F" w:rsidTr="003D41B1">
        <w:tc>
          <w:tcPr>
            <w:tcW w:w="1561" w:type="dxa"/>
            <w:vMerge w:val="restart"/>
            <w:tcBorders>
              <w:top w:val="single" w:sz="12" w:space="0" w:color="auto"/>
            </w:tcBorders>
          </w:tcPr>
          <w:p w:rsidR="003D41B1" w:rsidRPr="00672A9F" w:rsidRDefault="003D41B1" w:rsidP="00C16253">
            <w:pPr>
              <w:bidi w:val="0"/>
              <w:jc w:val="both"/>
              <w:rPr>
                <w:sz w:val="20"/>
                <w:szCs w:val="20"/>
              </w:rPr>
            </w:pPr>
            <w:r>
              <w:rPr>
                <w:sz w:val="20"/>
                <w:szCs w:val="20"/>
              </w:rPr>
              <w:t>Increase in risk premium (increase of 0.6% in the interest rate spread vis-à-vis abroad, and depreciation of 2.7% - both in the first year)</w:t>
            </w:r>
          </w:p>
        </w:tc>
        <w:tc>
          <w:tcPr>
            <w:tcW w:w="1147" w:type="dxa"/>
            <w:tcBorders>
              <w:top w:val="single" w:sz="12" w:space="0" w:color="auto"/>
              <w:bottom w:val="single" w:sz="4" w:space="0" w:color="auto"/>
            </w:tcBorders>
            <w:shd w:val="clear" w:color="auto" w:fill="D9D9D9" w:themeFill="background1" w:themeFillShade="D9"/>
          </w:tcPr>
          <w:p w:rsidR="003D41B1" w:rsidRPr="00672A9F" w:rsidRDefault="003D41B1" w:rsidP="00C16253">
            <w:pPr>
              <w:bidi w:val="0"/>
              <w:jc w:val="both"/>
              <w:rPr>
                <w:sz w:val="20"/>
                <w:szCs w:val="20"/>
              </w:rPr>
            </w:pPr>
            <w:r>
              <w:rPr>
                <w:sz w:val="20"/>
                <w:szCs w:val="20"/>
              </w:rPr>
              <w:t>0.6</w:t>
            </w:r>
          </w:p>
        </w:tc>
        <w:tc>
          <w:tcPr>
            <w:tcW w:w="839" w:type="dxa"/>
            <w:tcBorders>
              <w:top w:val="single" w:sz="12" w:space="0" w:color="auto"/>
              <w:bottom w:val="single" w:sz="4" w:space="0" w:color="auto"/>
            </w:tcBorders>
            <w:shd w:val="clear" w:color="auto" w:fill="D9D9D9" w:themeFill="background1" w:themeFillShade="D9"/>
          </w:tcPr>
          <w:p w:rsidR="003D41B1" w:rsidRPr="00672A9F" w:rsidRDefault="003D41B1" w:rsidP="00C16253">
            <w:pPr>
              <w:bidi w:val="0"/>
              <w:jc w:val="both"/>
              <w:rPr>
                <w:sz w:val="20"/>
                <w:szCs w:val="20"/>
              </w:rPr>
            </w:pPr>
            <w:r>
              <w:rPr>
                <w:sz w:val="20"/>
                <w:szCs w:val="20"/>
              </w:rPr>
              <w:t>0.3</w:t>
            </w:r>
          </w:p>
        </w:tc>
        <w:tc>
          <w:tcPr>
            <w:tcW w:w="1543" w:type="dxa"/>
            <w:tcBorders>
              <w:top w:val="single" w:sz="12" w:space="0" w:color="auto"/>
              <w:bottom w:val="single" w:sz="4" w:space="0" w:color="auto"/>
            </w:tcBorders>
            <w:shd w:val="clear" w:color="auto" w:fill="D9D9D9" w:themeFill="background1" w:themeFillShade="D9"/>
          </w:tcPr>
          <w:p w:rsidR="003D41B1" w:rsidRPr="00672A9F" w:rsidRDefault="003D41B1" w:rsidP="00C16253">
            <w:pPr>
              <w:bidi w:val="0"/>
              <w:jc w:val="both"/>
              <w:rPr>
                <w:sz w:val="20"/>
                <w:szCs w:val="20"/>
              </w:rPr>
            </w:pPr>
            <w:r>
              <w:rPr>
                <w:sz w:val="20"/>
                <w:szCs w:val="20"/>
              </w:rPr>
              <w:t>1.6</w:t>
            </w:r>
          </w:p>
        </w:tc>
        <w:tc>
          <w:tcPr>
            <w:tcW w:w="1142" w:type="dxa"/>
            <w:tcBorders>
              <w:top w:val="single" w:sz="12" w:space="0" w:color="auto"/>
              <w:bottom w:val="single" w:sz="4" w:space="0" w:color="auto"/>
            </w:tcBorders>
            <w:shd w:val="clear" w:color="auto" w:fill="D9D9D9" w:themeFill="background1" w:themeFillShade="D9"/>
          </w:tcPr>
          <w:p w:rsidR="003D41B1" w:rsidRDefault="003D41B1" w:rsidP="00C16253">
            <w:pPr>
              <w:bidi w:val="0"/>
              <w:jc w:val="both"/>
              <w:rPr>
                <w:sz w:val="20"/>
                <w:szCs w:val="20"/>
              </w:rPr>
            </w:pPr>
            <w:r>
              <w:rPr>
                <w:sz w:val="20"/>
                <w:szCs w:val="20"/>
              </w:rPr>
              <w:t>0.6</w:t>
            </w:r>
          </w:p>
        </w:tc>
        <w:tc>
          <w:tcPr>
            <w:tcW w:w="1134" w:type="dxa"/>
            <w:tcBorders>
              <w:top w:val="single" w:sz="12" w:space="0" w:color="auto"/>
              <w:bottom w:val="single" w:sz="4" w:space="0" w:color="auto"/>
            </w:tcBorders>
            <w:shd w:val="clear" w:color="auto" w:fill="D9D9D9" w:themeFill="background1" w:themeFillShade="D9"/>
          </w:tcPr>
          <w:p w:rsidR="003D41B1" w:rsidRPr="00672A9F" w:rsidRDefault="003D41B1" w:rsidP="00C16253">
            <w:pPr>
              <w:bidi w:val="0"/>
              <w:jc w:val="both"/>
              <w:rPr>
                <w:sz w:val="20"/>
                <w:szCs w:val="20"/>
              </w:rPr>
            </w:pPr>
            <w:r>
              <w:rPr>
                <w:sz w:val="20"/>
                <w:szCs w:val="20"/>
              </w:rPr>
              <w:t>0.5</w:t>
            </w:r>
          </w:p>
        </w:tc>
        <w:tc>
          <w:tcPr>
            <w:tcW w:w="1696" w:type="dxa"/>
            <w:tcBorders>
              <w:top w:val="single" w:sz="12" w:space="0" w:color="auto"/>
              <w:bottom w:val="single" w:sz="4" w:space="0" w:color="auto"/>
            </w:tcBorders>
            <w:shd w:val="clear" w:color="auto" w:fill="D9D9D9" w:themeFill="background1" w:themeFillShade="D9"/>
          </w:tcPr>
          <w:p w:rsidR="003D41B1" w:rsidRPr="00672A9F" w:rsidRDefault="003D41B1" w:rsidP="00C16253">
            <w:pPr>
              <w:bidi w:val="0"/>
              <w:jc w:val="both"/>
              <w:rPr>
                <w:sz w:val="20"/>
                <w:szCs w:val="20"/>
              </w:rPr>
            </w:pPr>
            <w:r>
              <w:rPr>
                <w:sz w:val="20"/>
                <w:szCs w:val="20"/>
              </w:rPr>
              <w:t>-0.04</w:t>
            </w:r>
          </w:p>
        </w:tc>
      </w:tr>
      <w:tr w:rsidR="003D41B1" w:rsidRPr="00672A9F" w:rsidTr="003D41B1">
        <w:tc>
          <w:tcPr>
            <w:tcW w:w="1561" w:type="dxa"/>
            <w:vMerge/>
            <w:tcBorders>
              <w:bottom w:val="single" w:sz="12" w:space="0" w:color="auto"/>
            </w:tcBorders>
          </w:tcPr>
          <w:p w:rsidR="003D41B1" w:rsidRPr="00672A9F" w:rsidRDefault="003D41B1" w:rsidP="00C16253">
            <w:pPr>
              <w:bidi w:val="0"/>
              <w:jc w:val="both"/>
              <w:rPr>
                <w:sz w:val="20"/>
                <w:szCs w:val="20"/>
              </w:rPr>
            </w:pPr>
          </w:p>
        </w:tc>
        <w:tc>
          <w:tcPr>
            <w:tcW w:w="1147" w:type="dxa"/>
            <w:tcBorders>
              <w:bottom w:val="single" w:sz="12" w:space="0" w:color="auto"/>
            </w:tcBorders>
          </w:tcPr>
          <w:p w:rsidR="003D41B1" w:rsidRPr="00672A9F" w:rsidRDefault="003D41B1" w:rsidP="00C16253">
            <w:pPr>
              <w:bidi w:val="0"/>
              <w:jc w:val="both"/>
              <w:rPr>
                <w:sz w:val="20"/>
                <w:szCs w:val="20"/>
              </w:rPr>
            </w:pPr>
            <w:r>
              <w:rPr>
                <w:sz w:val="20"/>
                <w:szCs w:val="20"/>
              </w:rPr>
              <w:t>0.925</w:t>
            </w:r>
          </w:p>
        </w:tc>
        <w:tc>
          <w:tcPr>
            <w:tcW w:w="839" w:type="dxa"/>
            <w:tcBorders>
              <w:bottom w:val="single" w:sz="12" w:space="0" w:color="auto"/>
            </w:tcBorders>
          </w:tcPr>
          <w:p w:rsidR="003D41B1" w:rsidRPr="00672A9F" w:rsidRDefault="003D41B1" w:rsidP="00C16253">
            <w:pPr>
              <w:bidi w:val="0"/>
              <w:jc w:val="both"/>
              <w:rPr>
                <w:sz w:val="20"/>
                <w:szCs w:val="20"/>
              </w:rPr>
            </w:pPr>
            <w:r>
              <w:rPr>
                <w:sz w:val="20"/>
                <w:szCs w:val="20"/>
              </w:rPr>
              <w:t>2.2</w:t>
            </w:r>
          </w:p>
        </w:tc>
        <w:tc>
          <w:tcPr>
            <w:tcW w:w="1543" w:type="dxa"/>
            <w:tcBorders>
              <w:bottom w:val="single" w:sz="12" w:space="0" w:color="auto"/>
            </w:tcBorders>
          </w:tcPr>
          <w:p w:rsidR="003D41B1" w:rsidRPr="00672A9F" w:rsidRDefault="003D41B1" w:rsidP="00C16253">
            <w:pPr>
              <w:bidi w:val="0"/>
              <w:jc w:val="both"/>
              <w:rPr>
                <w:sz w:val="20"/>
                <w:szCs w:val="20"/>
              </w:rPr>
            </w:pPr>
            <w:r>
              <w:rPr>
                <w:sz w:val="20"/>
                <w:szCs w:val="20"/>
              </w:rPr>
              <w:t>13</w:t>
            </w:r>
          </w:p>
        </w:tc>
        <w:tc>
          <w:tcPr>
            <w:tcW w:w="1142" w:type="dxa"/>
            <w:tcBorders>
              <w:bottom w:val="single" w:sz="12" w:space="0" w:color="auto"/>
            </w:tcBorders>
          </w:tcPr>
          <w:p w:rsidR="003D41B1" w:rsidRDefault="003D41B1" w:rsidP="00C16253">
            <w:pPr>
              <w:bidi w:val="0"/>
              <w:jc w:val="both"/>
              <w:rPr>
                <w:sz w:val="20"/>
                <w:szCs w:val="20"/>
              </w:rPr>
            </w:pPr>
            <w:r>
              <w:rPr>
                <w:sz w:val="20"/>
                <w:szCs w:val="20"/>
              </w:rPr>
              <w:t>3.3</w:t>
            </w:r>
          </w:p>
        </w:tc>
        <w:tc>
          <w:tcPr>
            <w:tcW w:w="1134" w:type="dxa"/>
            <w:tcBorders>
              <w:bottom w:val="single" w:sz="12" w:space="0" w:color="auto"/>
            </w:tcBorders>
          </w:tcPr>
          <w:p w:rsidR="003D41B1" w:rsidRPr="00672A9F" w:rsidRDefault="003D41B1" w:rsidP="00C16253">
            <w:pPr>
              <w:bidi w:val="0"/>
              <w:jc w:val="both"/>
              <w:rPr>
                <w:sz w:val="20"/>
                <w:szCs w:val="20"/>
              </w:rPr>
            </w:pPr>
            <w:r>
              <w:rPr>
                <w:sz w:val="20"/>
                <w:szCs w:val="20"/>
              </w:rPr>
              <w:t>1.9</w:t>
            </w:r>
          </w:p>
        </w:tc>
        <w:tc>
          <w:tcPr>
            <w:tcW w:w="1696" w:type="dxa"/>
            <w:tcBorders>
              <w:bottom w:val="single" w:sz="12" w:space="0" w:color="auto"/>
            </w:tcBorders>
          </w:tcPr>
          <w:p w:rsidR="003D41B1" w:rsidRPr="00672A9F" w:rsidRDefault="003D41B1" w:rsidP="003C02C4">
            <w:pPr>
              <w:bidi w:val="0"/>
              <w:jc w:val="both"/>
              <w:rPr>
                <w:sz w:val="20"/>
                <w:szCs w:val="20"/>
              </w:rPr>
            </w:pPr>
            <w:r>
              <w:rPr>
                <w:sz w:val="20"/>
                <w:szCs w:val="20"/>
              </w:rPr>
              <w:t>-1.9</w:t>
            </w:r>
          </w:p>
        </w:tc>
      </w:tr>
      <w:tr w:rsidR="003D41B1" w:rsidRPr="00672A9F" w:rsidTr="003D41B1">
        <w:tc>
          <w:tcPr>
            <w:tcW w:w="1561" w:type="dxa"/>
            <w:tcBorders>
              <w:top w:val="single" w:sz="12" w:space="0" w:color="auto"/>
              <w:bottom w:val="single" w:sz="12" w:space="0" w:color="auto"/>
            </w:tcBorders>
          </w:tcPr>
          <w:p w:rsidR="003D41B1" w:rsidRPr="00672A9F" w:rsidRDefault="003D41B1" w:rsidP="00C16253">
            <w:pPr>
              <w:bidi w:val="0"/>
              <w:jc w:val="both"/>
              <w:rPr>
                <w:sz w:val="20"/>
                <w:szCs w:val="20"/>
              </w:rPr>
            </w:pPr>
            <w:r>
              <w:rPr>
                <w:sz w:val="20"/>
                <w:szCs w:val="20"/>
              </w:rPr>
              <w:t>Decline in domestic demand (decline of 2% in investment and of 0.2% in private consumption in the first quarter</w:t>
            </w:r>
          </w:p>
        </w:tc>
        <w:tc>
          <w:tcPr>
            <w:tcW w:w="1147" w:type="dxa"/>
            <w:tcBorders>
              <w:top w:val="single" w:sz="12" w:space="0" w:color="auto"/>
              <w:bottom w:val="single" w:sz="4" w:space="0" w:color="auto"/>
            </w:tcBorders>
            <w:shd w:val="clear" w:color="auto" w:fill="D9D9D9" w:themeFill="background1" w:themeFillShade="D9"/>
          </w:tcPr>
          <w:p w:rsidR="003D41B1" w:rsidRPr="00672A9F" w:rsidRDefault="003D41B1" w:rsidP="00C16253">
            <w:pPr>
              <w:bidi w:val="0"/>
              <w:jc w:val="both"/>
              <w:rPr>
                <w:sz w:val="20"/>
                <w:szCs w:val="20"/>
              </w:rPr>
            </w:pPr>
            <w:r>
              <w:rPr>
                <w:sz w:val="20"/>
                <w:szCs w:val="20"/>
              </w:rPr>
              <w:t>0.925</w:t>
            </w:r>
          </w:p>
        </w:tc>
        <w:tc>
          <w:tcPr>
            <w:tcW w:w="839" w:type="dxa"/>
            <w:tcBorders>
              <w:top w:val="single" w:sz="12" w:space="0" w:color="auto"/>
              <w:bottom w:val="single" w:sz="4" w:space="0" w:color="auto"/>
            </w:tcBorders>
            <w:shd w:val="clear" w:color="auto" w:fill="D9D9D9" w:themeFill="background1" w:themeFillShade="D9"/>
          </w:tcPr>
          <w:p w:rsidR="003D41B1" w:rsidRPr="00672A9F" w:rsidRDefault="003D41B1" w:rsidP="00C16253">
            <w:pPr>
              <w:bidi w:val="0"/>
              <w:jc w:val="both"/>
              <w:rPr>
                <w:sz w:val="20"/>
                <w:szCs w:val="20"/>
              </w:rPr>
            </w:pPr>
            <w:r>
              <w:rPr>
                <w:sz w:val="20"/>
                <w:szCs w:val="20"/>
              </w:rPr>
              <w:t>2.2</w:t>
            </w:r>
          </w:p>
        </w:tc>
        <w:tc>
          <w:tcPr>
            <w:tcW w:w="1543" w:type="dxa"/>
            <w:tcBorders>
              <w:top w:val="single" w:sz="12" w:space="0" w:color="auto"/>
              <w:bottom w:val="single" w:sz="4" w:space="0" w:color="auto"/>
            </w:tcBorders>
            <w:shd w:val="clear" w:color="auto" w:fill="D9D9D9" w:themeFill="background1" w:themeFillShade="D9"/>
          </w:tcPr>
          <w:p w:rsidR="003D41B1" w:rsidRPr="00672A9F" w:rsidRDefault="003D41B1" w:rsidP="00C16253">
            <w:pPr>
              <w:bidi w:val="0"/>
              <w:jc w:val="both"/>
              <w:rPr>
                <w:sz w:val="20"/>
                <w:szCs w:val="20"/>
              </w:rPr>
            </w:pPr>
            <w:r>
              <w:rPr>
                <w:sz w:val="20"/>
                <w:szCs w:val="20"/>
              </w:rPr>
              <w:t>1.8</w:t>
            </w:r>
          </w:p>
        </w:tc>
        <w:tc>
          <w:tcPr>
            <w:tcW w:w="1142" w:type="dxa"/>
            <w:tcBorders>
              <w:top w:val="single" w:sz="12" w:space="0" w:color="auto"/>
              <w:bottom w:val="single" w:sz="4" w:space="0" w:color="auto"/>
            </w:tcBorders>
            <w:shd w:val="clear" w:color="auto" w:fill="D9D9D9" w:themeFill="background1" w:themeFillShade="D9"/>
          </w:tcPr>
          <w:p w:rsidR="003D41B1" w:rsidRDefault="003D41B1" w:rsidP="00C16253">
            <w:pPr>
              <w:bidi w:val="0"/>
              <w:jc w:val="both"/>
              <w:rPr>
                <w:sz w:val="20"/>
                <w:szCs w:val="20"/>
              </w:rPr>
            </w:pPr>
            <w:r>
              <w:rPr>
                <w:sz w:val="20"/>
                <w:szCs w:val="20"/>
              </w:rPr>
              <w:t>-0.2</w:t>
            </w:r>
          </w:p>
        </w:tc>
        <w:tc>
          <w:tcPr>
            <w:tcW w:w="1134" w:type="dxa"/>
            <w:tcBorders>
              <w:top w:val="single" w:sz="12" w:space="0" w:color="auto"/>
              <w:bottom w:val="single" w:sz="4" w:space="0" w:color="auto"/>
            </w:tcBorders>
            <w:shd w:val="clear" w:color="auto" w:fill="D9D9D9" w:themeFill="background1" w:themeFillShade="D9"/>
          </w:tcPr>
          <w:p w:rsidR="003D41B1" w:rsidRPr="00672A9F" w:rsidRDefault="003D41B1" w:rsidP="00C16253">
            <w:pPr>
              <w:bidi w:val="0"/>
              <w:jc w:val="both"/>
              <w:rPr>
                <w:sz w:val="20"/>
                <w:szCs w:val="20"/>
              </w:rPr>
            </w:pPr>
            <w:r>
              <w:rPr>
                <w:sz w:val="20"/>
                <w:szCs w:val="20"/>
              </w:rPr>
              <w:t>-0.2</w:t>
            </w:r>
            <w:r w:rsidR="00BD45C6">
              <w:rPr>
                <w:sz w:val="20"/>
                <w:szCs w:val="20"/>
              </w:rPr>
              <w:t>5</w:t>
            </w:r>
          </w:p>
        </w:tc>
        <w:tc>
          <w:tcPr>
            <w:tcW w:w="1696" w:type="dxa"/>
            <w:tcBorders>
              <w:top w:val="single" w:sz="12" w:space="0" w:color="auto"/>
              <w:bottom w:val="single" w:sz="4" w:space="0" w:color="auto"/>
            </w:tcBorders>
            <w:shd w:val="clear" w:color="auto" w:fill="D9D9D9" w:themeFill="background1" w:themeFillShade="D9"/>
          </w:tcPr>
          <w:p w:rsidR="003D41B1" w:rsidRPr="00672A9F" w:rsidRDefault="003D41B1" w:rsidP="003C02C4">
            <w:pPr>
              <w:bidi w:val="0"/>
              <w:jc w:val="both"/>
              <w:rPr>
                <w:sz w:val="20"/>
                <w:szCs w:val="20"/>
              </w:rPr>
            </w:pPr>
            <w:r>
              <w:rPr>
                <w:sz w:val="20"/>
                <w:szCs w:val="20"/>
              </w:rPr>
              <w:t>-0.7</w:t>
            </w:r>
          </w:p>
        </w:tc>
      </w:tr>
      <w:tr w:rsidR="003D41B1" w:rsidRPr="00672A9F" w:rsidTr="003D41B1">
        <w:tc>
          <w:tcPr>
            <w:tcW w:w="1561" w:type="dxa"/>
            <w:vMerge w:val="restart"/>
            <w:tcBorders>
              <w:top w:val="single" w:sz="12" w:space="0" w:color="auto"/>
              <w:bottom w:val="single" w:sz="12" w:space="0" w:color="auto"/>
            </w:tcBorders>
          </w:tcPr>
          <w:p w:rsidR="003D41B1" w:rsidRPr="00672A9F" w:rsidRDefault="003D41B1" w:rsidP="00C16253">
            <w:pPr>
              <w:bidi w:val="0"/>
              <w:jc w:val="both"/>
              <w:rPr>
                <w:sz w:val="20"/>
                <w:szCs w:val="20"/>
              </w:rPr>
            </w:pPr>
            <w:r>
              <w:rPr>
                <w:sz w:val="20"/>
                <w:szCs w:val="20"/>
              </w:rPr>
              <w:t>Decline in demand for exports (decline of 1.4% in the first quarter</w:t>
            </w:r>
          </w:p>
        </w:tc>
        <w:tc>
          <w:tcPr>
            <w:tcW w:w="1147" w:type="dxa"/>
            <w:tcBorders>
              <w:top w:val="single" w:sz="12" w:space="0" w:color="auto"/>
              <w:bottom w:val="single" w:sz="4" w:space="0" w:color="auto"/>
            </w:tcBorders>
            <w:shd w:val="clear" w:color="auto" w:fill="D9D9D9" w:themeFill="background1" w:themeFillShade="D9"/>
          </w:tcPr>
          <w:p w:rsidR="003D41B1" w:rsidRPr="00672A9F" w:rsidRDefault="003D41B1" w:rsidP="00C16253">
            <w:pPr>
              <w:bidi w:val="0"/>
              <w:jc w:val="both"/>
              <w:rPr>
                <w:sz w:val="20"/>
                <w:szCs w:val="20"/>
              </w:rPr>
            </w:pPr>
            <w:r>
              <w:rPr>
                <w:sz w:val="20"/>
                <w:szCs w:val="20"/>
              </w:rPr>
              <w:t>0.05</w:t>
            </w:r>
          </w:p>
        </w:tc>
        <w:tc>
          <w:tcPr>
            <w:tcW w:w="839" w:type="dxa"/>
            <w:tcBorders>
              <w:top w:val="single" w:sz="12" w:space="0" w:color="auto"/>
              <w:bottom w:val="single" w:sz="4" w:space="0" w:color="auto"/>
            </w:tcBorders>
            <w:shd w:val="clear" w:color="auto" w:fill="D9D9D9" w:themeFill="background1" w:themeFillShade="D9"/>
          </w:tcPr>
          <w:p w:rsidR="003D41B1" w:rsidRPr="00672A9F" w:rsidRDefault="003D41B1" w:rsidP="00C16253">
            <w:pPr>
              <w:bidi w:val="0"/>
              <w:jc w:val="both"/>
              <w:rPr>
                <w:sz w:val="20"/>
                <w:szCs w:val="20"/>
              </w:rPr>
            </w:pPr>
            <w:r>
              <w:rPr>
                <w:sz w:val="20"/>
                <w:szCs w:val="20"/>
              </w:rPr>
              <w:t>0.1</w:t>
            </w:r>
          </w:p>
        </w:tc>
        <w:tc>
          <w:tcPr>
            <w:tcW w:w="1543" w:type="dxa"/>
            <w:tcBorders>
              <w:top w:val="single" w:sz="12" w:space="0" w:color="auto"/>
              <w:bottom w:val="single" w:sz="4" w:space="0" w:color="auto"/>
            </w:tcBorders>
            <w:shd w:val="clear" w:color="auto" w:fill="D9D9D9" w:themeFill="background1" w:themeFillShade="D9"/>
          </w:tcPr>
          <w:p w:rsidR="003D41B1" w:rsidRPr="00672A9F" w:rsidRDefault="003D41B1" w:rsidP="00C16253">
            <w:pPr>
              <w:bidi w:val="0"/>
              <w:jc w:val="both"/>
              <w:rPr>
                <w:sz w:val="20"/>
                <w:szCs w:val="20"/>
              </w:rPr>
            </w:pPr>
            <w:r>
              <w:rPr>
                <w:sz w:val="20"/>
                <w:szCs w:val="20"/>
              </w:rPr>
              <w:t>0.1</w:t>
            </w:r>
          </w:p>
        </w:tc>
        <w:tc>
          <w:tcPr>
            <w:tcW w:w="1142" w:type="dxa"/>
            <w:tcBorders>
              <w:top w:val="single" w:sz="12" w:space="0" w:color="auto"/>
              <w:bottom w:val="single" w:sz="4" w:space="0" w:color="auto"/>
            </w:tcBorders>
            <w:shd w:val="clear" w:color="auto" w:fill="D9D9D9" w:themeFill="background1" w:themeFillShade="D9"/>
          </w:tcPr>
          <w:p w:rsidR="003D41B1" w:rsidRDefault="003D41B1" w:rsidP="00C16253">
            <w:pPr>
              <w:bidi w:val="0"/>
              <w:jc w:val="both"/>
              <w:rPr>
                <w:sz w:val="20"/>
                <w:szCs w:val="20"/>
              </w:rPr>
            </w:pPr>
            <w:r>
              <w:rPr>
                <w:sz w:val="20"/>
                <w:szCs w:val="20"/>
              </w:rPr>
              <w:t>0</w:t>
            </w:r>
          </w:p>
        </w:tc>
        <w:tc>
          <w:tcPr>
            <w:tcW w:w="1134" w:type="dxa"/>
            <w:tcBorders>
              <w:top w:val="single" w:sz="12" w:space="0" w:color="auto"/>
              <w:bottom w:val="single" w:sz="4" w:space="0" w:color="auto"/>
            </w:tcBorders>
            <w:shd w:val="clear" w:color="auto" w:fill="D9D9D9" w:themeFill="background1" w:themeFillShade="D9"/>
          </w:tcPr>
          <w:p w:rsidR="003D41B1" w:rsidRPr="00672A9F" w:rsidRDefault="003D41B1" w:rsidP="00C16253">
            <w:pPr>
              <w:bidi w:val="0"/>
              <w:jc w:val="both"/>
              <w:rPr>
                <w:sz w:val="20"/>
                <w:szCs w:val="20"/>
              </w:rPr>
            </w:pPr>
            <w:r>
              <w:rPr>
                <w:sz w:val="20"/>
                <w:szCs w:val="20"/>
              </w:rPr>
              <w:t>0.0</w:t>
            </w:r>
          </w:p>
        </w:tc>
        <w:tc>
          <w:tcPr>
            <w:tcW w:w="1696" w:type="dxa"/>
            <w:tcBorders>
              <w:top w:val="single" w:sz="12" w:space="0" w:color="auto"/>
              <w:bottom w:val="single" w:sz="4" w:space="0" w:color="auto"/>
            </w:tcBorders>
            <w:shd w:val="clear" w:color="auto" w:fill="D9D9D9" w:themeFill="background1" w:themeFillShade="D9"/>
          </w:tcPr>
          <w:p w:rsidR="003D41B1" w:rsidRPr="00672A9F" w:rsidRDefault="003D41B1" w:rsidP="003C02C4">
            <w:pPr>
              <w:bidi w:val="0"/>
              <w:jc w:val="both"/>
              <w:rPr>
                <w:sz w:val="20"/>
                <w:szCs w:val="20"/>
              </w:rPr>
            </w:pPr>
            <w:r>
              <w:rPr>
                <w:sz w:val="20"/>
                <w:szCs w:val="20"/>
              </w:rPr>
              <w:t>-0.03</w:t>
            </w:r>
          </w:p>
        </w:tc>
      </w:tr>
      <w:tr w:rsidR="003D41B1" w:rsidRPr="00672A9F" w:rsidTr="003D41B1">
        <w:tc>
          <w:tcPr>
            <w:tcW w:w="1561" w:type="dxa"/>
            <w:vMerge/>
            <w:tcBorders>
              <w:bottom w:val="single" w:sz="12" w:space="0" w:color="auto"/>
            </w:tcBorders>
          </w:tcPr>
          <w:p w:rsidR="003D41B1" w:rsidRPr="00672A9F" w:rsidRDefault="003D41B1" w:rsidP="00C16253">
            <w:pPr>
              <w:bidi w:val="0"/>
              <w:jc w:val="both"/>
              <w:rPr>
                <w:sz w:val="20"/>
                <w:szCs w:val="20"/>
              </w:rPr>
            </w:pPr>
          </w:p>
        </w:tc>
        <w:tc>
          <w:tcPr>
            <w:tcW w:w="1147" w:type="dxa"/>
            <w:tcBorders>
              <w:bottom w:val="single" w:sz="12" w:space="0" w:color="auto"/>
            </w:tcBorders>
          </w:tcPr>
          <w:p w:rsidR="003D41B1" w:rsidRPr="00672A9F" w:rsidRDefault="003D41B1" w:rsidP="00C16253">
            <w:pPr>
              <w:bidi w:val="0"/>
              <w:jc w:val="both"/>
              <w:rPr>
                <w:sz w:val="20"/>
                <w:szCs w:val="20"/>
              </w:rPr>
            </w:pPr>
            <w:r>
              <w:rPr>
                <w:sz w:val="20"/>
                <w:szCs w:val="20"/>
              </w:rPr>
              <w:t>0.925</w:t>
            </w:r>
          </w:p>
        </w:tc>
        <w:tc>
          <w:tcPr>
            <w:tcW w:w="839" w:type="dxa"/>
            <w:tcBorders>
              <w:bottom w:val="single" w:sz="12" w:space="0" w:color="auto"/>
            </w:tcBorders>
          </w:tcPr>
          <w:p w:rsidR="003D41B1" w:rsidRPr="00672A9F" w:rsidRDefault="003D41B1" w:rsidP="00C16253">
            <w:pPr>
              <w:bidi w:val="0"/>
              <w:jc w:val="both"/>
              <w:rPr>
                <w:sz w:val="20"/>
                <w:szCs w:val="20"/>
              </w:rPr>
            </w:pPr>
            <w:r>
              <w:rPr>
                <w:sz w:val="20"/>
                <w:szCs w:val="20"/>
              </w:rPr>
              <w:t>2.2</w:t>
            </w:r>
          </w:p>
        </w:tc>
        <w:tc>
          <w:tcPr>
            <w:tcW w:w="1543" w:type="dxa"/>
            <w:tcBorders>
              <w:bottom w:val="single" w:sz="12" w:space="0" w:color="auto"/>
            </w:tcBorders>
          </w:tcPr>
          <w:p w:rsidR="003D41B1" w:rsidRPr="00672A9F" w:rsidRDefault="003D41B1" w:rsidP="00C16253">
            <w:pPr>
              <w:bidi w:val="0"/>
              <w:jc w:val="both"/>
              <w:rPr>
                <w:sz w:val="20"/>
                <w:szCs w:val="20"/>
              </w:rPr>
            </w:pPr>
            <w:r>
              <w:rPr>
                <w:sz w:val="20"/>
                <w:szCs w:val="20"/>
              </w:rPr>
              <w:t>0.7</w:t>
            </w:r>
          </w:p>
        </w:tc>
        <w:tc>
          <w:tcPr>
            <w:tcW w:w="1142" w:type="dxa"/>
            <w:tcBorders>
              <w:bottom w:val="single" w:sz="12" w:space="0" w:color="auto"/>
            </w:tcBorders>
          </w:tcPr>
          <w:p w:rsidR="003D41B1" w:rsidRDefault="003D41B1" w:rsidP="00C16253">
            <w:pPr>
              <w:bidi w:val="0"/>
              <w:jc w:val="both"/>
              <w:rPr>
                <w:sz w:val="20"/>
                <w:szCs w:val="20"/>
              </w:rPr>
            </w:pPr>
            <w:r>
              <w:rPr>
                <w:sz w:val="20"/>
                <w:szCs w:val="20"/>
              </w:rPr>
              <w:t>0</w:t>
            </w:r>
          </w:p>
        </w:tc>
        <w:tc>
          <w:tcPr>
            <w:tcW w:w="1134" w:type="dxa"/>
            <w:tcBorders>
              <w:bottom w:val="single" w:sz="12" w:space="0" w:color="auto"/>
            </w:tcBorders>
          </w:tcPr>
          <w:p w:rsidR="003D41B1" w:rsidRPr="00672A9F" w:rsidRDefault="003D41B1" w:rsidP="00C16253">
            <w:pPr>
              <w:bidi w:val="0"/>
              <w:jc w:val="both"/>
              <w:rPr>
                <w:sz w:val="20"/>
                <w:szCs w:val="20"/>
              </w:rPr>
            </w:pPr>
            <w:r>
              <w:rPr>
                <w:sz w:val="20"/>
                <w:szCs w:val="20"/>
              </w:rPr>
              <w:t>-0.1</w:t>
            </w:r>
          </w:p>
        </w:tc>
        <w:tc>
          <w:tcPr>
            <w:tcW w:w="1696" w:type="dxa"/>
            <w:tcBorders>
              <w:bottom w:val="single" w:sz="12" w:space="0" w:color="auto"/>
            </w:tcBorders>
          </w:tcPr>
          <w:p w:rsidR="003D41B1" w:rsidRPr="00672A9F" w:rsidRDefault="003D41B1" w:rsidP="003C02C4">
            <w:pPr>
              <w:bidi w:val="0"/>
              <w:jc w:val="both"/>
              <w:rPr>
                <w:sz w:val="20"/>
                <w:szCs w:val="20"/>
              </w:rPr>
            </w:pPr>
            <w:r>
              <w:rPr>
                <w:sz w:val="20"/>
                <w:szCs w:val="20"/>
              </w:rPr>
              <w:t>-0.2</w:t>
            </w:r>
          </w:p>
        </w:tc>
      </w:tr>
      <w:tr w:rsidR="003D41B1" w:rsidRPr="00672A9F" w:rsidTr="003D41B1">
        <w:tc>
          <w:tcPr>
            <w:tcW w:w="1561" w:type="dxa"/>
            <w:tcBorders>
              <w:top w:val="single" w:sz="12" w:space="0" w:color="auto"/>
            </w:tcBorders>
          </w:tcPr>
          <w:p w:rsidR="003D41B1" w:rsidRPr="00672A9F" w:rsidRDefault="003D41B1" w:rsidP="00C16253">
            <w:pPr>
              <w:bidi w:val="0"/>
              <w:jc w:val="both"/>
              <w:rPr>
                <w:b/>
                <w:bCs/>
                <w:sz w:val="20"/>
                <w:szCs w:val="20"/>
              </w:rPr>
            </w:pPr>
            <w:r>
              <w:rPr>
                <w:b/>
                <w:bCs/>
                <w:sz w:val="20"/>
                <w:szCs w:val="20"/>
              </w:rPr>
              <w:t>Total impact under the estimated persistence</w:t>
            </w:r>
          </w:p>
        </w:tc>
        <w:tc>
          <w:tcPr>
            <w:tcW w:w="1147" w:type="dxa"/>
            <w:tcBorders>
              <w:top w:val="single" w:sz="12" w:space="0" w:color="auto"/>
            </w:tcBorders>
          </w:tcPr>
          <w:p w:rsidR="003D41B1" w:rsidRPr="00672A9F" w:rsidRDefault="003D41B1" w:rsidP="00C16253">
            <w:pPr>
              <w:bidi w:val="0"/>
              <w:jc w:val="both"/>
              <w:rPr>
                <w:sz w:val="20"/>
                <w:szCs w:val="20"/>
              </w:rPr>
            </w:pPr>
          </w:p>
        </w:tc>
        <w:tc>
          <w:tcPr>
            <w:tcW w:w="839" w:type="dxa"/>
            <w:tcBorders>
              <w:top w:val="single" w:sz="12" w:space="0" w:color="auto"/>
            </w:tcBorders>
          </w:tcPr>
          <w:p w:rsidR="003D41B1" w:rsidRPr="00672A9F" w:rsidRDefault="003D41B1" w:rsidP="00C16253">
            <w:pPr>
              <w:bidi w:val="0"/>
              <w:jc w:val="both"/>
              <w:rPr>
                <w:sz w:val="20"/>
                <w:szCs w:val="20"/>
              </w:rPr>
            </w:pPr>
          </w:p>
        </w:tc>
        <w:tc>
          <w:tcPr>
            <w:tcW w:w="1543" w:type="dxa"/>
            <w:tcBorders>
              <w:top w:val="single" w:sz="12" w:space="0" w:color="auto"/>
            </w:tcBorders>
          </w:tcPr>
          <w:p w:rsidR="003D41B1" w:rsidRPr="00672A9F" w:rsidRDefault="003D41B1" w:rsidP="00C16253">
            <w:pPr>
              <w:bidi w:val="0"/>
              <w:jc w:val="both"/>
              <w:rPr>
                <w:sz w:val="20"/>
                <w:szCs w:val="20"/>
              </w:rPr>
            </w:pPr>
          </w:p>
        </w:tc>
        <w:tc>
          <w:tcPr>
            <w:tcW w:w="1142" w:type="dxa"/>
            <w:tcBorders>
              <w:top w:val="single" w:sz="12" w:space="0" w:color="auto"/>
            </w:tcBorders>
          </w:tcPr>
          <w:p w:rsidR="003D41B1" w:rsidRPr="00672A9F" w:rsidRDefault="003D41B1" w:rsidP="00C16253">
            <w:pPr>
              <w:bidi w:val="0"/>
              <w:jc w:val="both"/>
              <w:rPr>
                <w:sz w:val="20"/>
                <w:szCs w:val="20"/>
              </w:rPr>
            </w:pPr>
          </w:p>
        </w:tc>
        <w:tc>
          <w:tcPr>
            <w:tcW w:w="1134" w:type="dxa"/>
            <w:tcBorders>
              <w:top w:val="single" w:sz="12" w:space="0" w:color="auto"/>
            </w:tcBorders>
          </w:tcPr>
          <w:p w:rsidR="003D41B1" w:rsidRPr="00672A9F" w:rsidRDefault="003D41B1" w:rsidP="00C16253">
            <w:pPr>
              <w:bidi w:val="0"/>
              <w:jc w:val="both"/>
              <w:rPr>
                <w:sz w:val="20"/>
                <w:szCs w:val="20"/>
              </w:rPr>
            </w:pPr>
          </w:p>
        </w:tc>
        <w:tc>
          <w:tcPr>
            <w:tcW w:w="1696" w:type="dxa"/>
            <w:tcBorders>
              <w:top w:val="single" w:sz="12" w:space="0" w:color="auto"/>
            </w:tcBorders>
          </w:tcPr>
          <w:p w:rsidR="003D41B1" w:rsidRPr="00672A9F" w:rsidRDefault="003D41B1" w:rsidP="003C02C4">
            <w:pPr>
              <w:bidi w:val="0"/>
              <w:jc w:val="both"/>
              <w:rPr>
                <w:b/>
                <w:bCs/>
                <w:sz w:val="20"/>
                <w:szCs w:val="20"/>
              </w:rPr>
            </w:pPr>
            <w:r w:rsidRPr="00672A9F">
              <w:rPr>
                <w:b/>
                <w:bCs/>
                <w:sz w:val="20"/>
                <w:szCs w:val="20"/>
              </w:rPr>
              <w:t>-</w:t>
            </w:r>
            <w:r>
              <w:rPr>
                <w:b/>
                <w:bCs/>
                <w:sz w:val="20"/>
                <w:szCs w:val="20"/>
              </w:rPr>
              <w:t>0.8</w:t>
            </w:r>
          </w:p>
        </w:tc>
      </w:tr>
      <w:tr w:rsidR="003D41B1" w:rsidRPr="00672A9F" w:rsidTr="003D41B1">
        <w:tc>
          <w:tcPr>
            <w:tcW w:w="1561" w:type="dxa"/>
            <w:tcBorders>
              <w:bottom w:val="single" w:sz="12" w:space="0" w:color="auto"/>
            </w:tcBorders>
          </w:tcPr>
          <w:p w:rsidR="003D41B1" w:rsidRPr="00672A9F" w:rsidRDefault="003D41B1" w:rsidP="00C16253">
            <w:pPr>
              <w:bidi w:val="0"/>
              <w:jc w:val="both"/>
              <w:rPr>
                <w:b/>
                <w:bCs/>
                <w:sz w:val="20"/>
                <w:szCs w:val="20"/>
              </w:rPr>
            </w:pPr>
            <w:r>
              <w:rPr>
                <w:b/>
                <w:bCs/>
                <w:sz w:val="20"/>
                <w:szCs w:val="20"/>
              </w:rPr>
              <w:t>Total impact under very high persistence (0.925/0.95)</w:t>
            </w:r>
          </w:p>
        </w:tc>
        <w:tc>
          <w:tcPr>
            <w:tcW w:w="1147" w:type="dxa"/>
            <w:tcBorders>
              <w:bottom w:val="single" w:sz="12" w:space="0" w:color="auto"/>
            </w:tcBorders>
          </w:tcPr>
          <w:p w:rsidR="003D41B1" w:rsidRPr="00672A9F" w:rsidRDefault="003D41B1" w:rsidP="00C16253">
            <w:pPr>
              <w:bidi w:val="0"/>
              <w:jc w:val="both"/>
              <w:rPr>
                <w:sz w:val="20"/>
                <w:szCs w:val="20"/>
              </w:rPr>
            </w:pPr>
          </w:p>
        </w:tc>
        <w:tc>
          <w:tcPr>
            <w:tcW w:w="839" w:type="dxa"/>
            <w:tcBorders>
              <w:bottom w:val="single" w:sz="12" w:space="0" w:color="auto"/>
            </w:tcBorders>
          </w:tcPr>
          <w:p w:rsidR="003D41B1" w:rsidRPr="00672A9F" w:rsidRDefault="003D41B1" w:rsidP="00C16253">
            <w:pPr>
              <w:bidi w:val="0"/>
              <w:jc w:val="both"/>
              <w:rPr>
                <w:sz w:val="20"/>
                <w:szCs w:val="20"/>
              </w:rPr>
            </w:pPr>
          </w:p>
        </w:tc>
        <w:tc>
          <w:tcPr>
            <w:tcW w:w="1543" w:type="dxa"/>
            <w:tcBorders>
              <w:bottom w:val="single" w:sz="12" w:space="0" w:color="auto"/>
            </w:tcBorders>
          </w:tcPr>
          <w:p w:rsidR="003D41B1" w:rsidRPr="00672A9F" w:rsidRDefault="003D41B1" w:rsidP="00C16253">
            <w:pPr>
              <w:bidi w:val="0"/>
              <w:jc w:val="both"/>
              <w:rPr>
                <w:sz w:val="20"/>
                <w:szCs w:val="20"/>
              </w:rPr>
            </w:pPr>
          </w:p>
        </w:tc>
        <w:tc>
          <w:tcPr>
            <w:tcW w:w="1142" w:type="dxa"/>
            <w:tcBorders>
              <w:bottom w:val="single" w:sz="12" w:space="0" w:color="auto"/>
            </w:tcBorders>
          </w:tcPr>
          <w:p w:rsidR="003D41B1" w:rsidRPr="00672A9F" w:rsidRDefault="003D41B1" w:rsidP="00C16253">
            <w:pPr>
              <w:bidi w:val="0"/>
              <w:jc w:val="both"/>
              <w:rPr>
                <w:sz w:val="20"/>
                <w:szCs w:val="20"/>
              </w:rPr>
            </w:pPr>
          </w:p>
        </w:tc>
        <w:tc>
          <w:tcPr>
            <w:tcW w:w="1134" w:type="dxa"/>
            <w:tcBorders>
              <w:bottom w:val="single" w:sz="12" w:space="0" w:color="auto"/>
            </w:tcBorders>
          </w:tcPr>
          <w:p w:rsidR="003D41B1" w:rsidRPr="00672A9F" w:rsidRDefault="003D41B1" w:rsidP="00C16253">
            <w:pPr>
              <w:bidi w:val="0"/>
              <w:jc w:val="both"/>
              <w:rPr>
                <w:sz w:val="20"/>
                <w:szCs w:val="20"/>
              </w:rPr>
            </w:pPr>
          </w:p>
        </w:tc>
        <w:tc>
          <w:tcPr>
            <w:tcW w:w="1696" w:type="dxa"/>
            <w:tcBorders>
              <w:bottom w:val="single" w:sz="12" w:space="0" w:color="auto"/>
            </w:tcBorders>
          </w:tcPr>
          <w:p w:rsidR="003D41B1" w:rsidRPr="00672A9F" w:rsidRDefault="003D41B1" w:rsidP="003C02C4">
            <w:pPr>
              <w:bidi w:val="0"/>
              <w:jc w:val="both"/>
              <w:rPr>
                <w:b/>
                <w:bCs/>
                <w:sz w:val="20"/>
                <w:szCs w:val="20"/>
              </w:rPr>
            </w:pPr>
            <w:r w:rsidRPr="00672A9F">
              <w:rPr>
                <w:b/>
                <w:bCs/>
                <w:sz w:val="20"/>
                <w:szCs w:val="20"/>
              </w:rPr>
              <w:t>-</w:t>
            </w:r>
            <w:r>
              <w:rPr>
                <w:b/>
                <w:bCs/>
                <w:sz w:val="20"/>
                <w:szCs w:val="20"/>
              </w:rPr>
              <w:t>2.8</w:t>
            </w:r>
          </w:p>
        </w:tc>
      </w:tr>
      <w:tr w:rsidR="003C02C4" w:rsidRPr="00672A9F" w:rsidTr="003C02C4">
        <w:tc>
          <w:tcPr>
            <w:tcW w:w="9062" w:type="dxa"/>
            <w:gridSpan w:val="7"/>
            <w:tcBorders>
              <w:top w:val="single" w:sz="12" w:space="0" w:color="auto"/>
            </w:tcBorders>
          </w:tcPr>
          <w:p w:rsidR="00DC20D4" w:rsidRDefault="00DC20D4" w:rsidP="00DC20D4">
            <w:pPr>
              <w:bidi w:val="0"/>
              <w:jc w:val="both"/>
              <w:rPr>
                <w:sz w:val="20"/>
                <w:szCs w:val="20"/>
              </w:rPr>
            </w:pPr>
            <w:r>
              <w:rPr>
                <w:sz w:val="20"/>
                <w:szCs w:val="20"/>
              </w:rPr>
              <w:t>* One percent of GDP in 2022 was about NIS 17.6 billion.</w:t>
            </w:r>
          </w:p>
          <w:p w:rsidR="003C02C4" w:rsidRDefault="003C02C4" w:rsidP="00DC20D4">
            <w:pPr>
              <w:bidi w:val="0"/>
              <w:jc w:val="both"/>
              <w:rPr>
                <w:sz w:val="20"/>
                <w:szCs w:val="20"/>
              </w:rPr>
            </w:pPr>
            <w:r>
              <w:rPr>
                <w:sz w:val="20"/>
                <w:szCs w:val="20"/>
              </w:rPr>
              <w:t>Notes: The first row (gray shading) for each shock reflects the developments for a shock the persistence of which is what has been typical in the history of the Israeli economy over the past three decades (the estimated inertia of the relevant shock in the Research Department’s DSGE model).  The second row in each shock</w:t>
            </w:r>
            <w:r w:rsidR="00BD45C6">
              <w:rPr>
                <w:sz w:val="20"/>
                <w:szCs w:val="20"/>
              </w:rPr>
              <w:t xml:space="preserve"> (white background)</w:t>
            </w:r>
            <w:r>
              <w:rPr>
                <w:sz w:val="20"/>
                <w:szCs w:val="20"/>
              </w:rPr>
              <w:t xml:space="preserve"> shows the development in a scenario characterized by a shock of a more prolonged nature.  (For the decline in domestic demand, the estimated persistence is equal to the high persistence.  Therefore, there is only one line in that part of the Table).</w:t>
            </w:r>
          </w:p>
          <w:p w:rsidR="003C02C4" w:rsidRPr="00580B69" w:rsidRDefault="003C02C4" w:rsidP="003C02C4">
            <w:pPr>
              <w:bidi w:val="0"/>
              <w:jc w:val="both"/>
              <w:rPr>
                <w:sz w:val="20"/>
                <w:szCs w:val="20"/>
              </w:rPr>
            </w:pPr>
            <w:r>
              <w:rPr>
                <w:sz w:val="20"/>
                <w:szCs w:val="20"/>
              </w:rPr>
              <w:t xml:space="preserve">The effect of the endogenous variables (those that are affected by the shocks within the model) depends on the persistence of the shocks, and therefore differs for each row.  For instance, an increase in the risk premium by one standard deviation is expected to lead to a depreciation of less than 2 percent if it is temporary as in the past (the gray rows), or a </w:t>
            </w:r>
            <w:r w:rsidR="00663523">
              <w:rPr>
                <w:sz w:val="20"/>
                <w:szCs w:val="20"/>
              </w:rPr>
              <w:t xml:space="preserve">cumulative </w:t>
            </w:r>
            <w:r>
              <w:rPr>
                <w:sz w:val="20"/>
                <w:szCs w:val="20"/>
              </w:rPr>
              <w:t xml:space="preserve">depreciation of 13 percent </w:t>
            </w:r>
            <w:r w:rsidR="00663523">
              <w:rPr>
                <w:sz w:val="20"/>
                <w:szCs w:val="20"/>
              </w:rPr>
              <w:t xml:space="preserve">during the first year </w:t>
            </w:r>
            <w:r>
              <w:rPr>
                <w:sz w:val="20"/>
                <w:szCs w:val="20"/>
              </w:rPr>
              <w:t>if it has a prolonged effect (the white rows).  Similarly, the impact on the interest rate, as well as on other variables, varies greatly with the extent of persistence of the shock (even though there is no change in its initial size).</w:t>
            </w:r>
          </w:p>
        </w:tc>
      </w:tr>
    </w:tbl>
    <w:p w:rsidR="00C16253" w:rsidRDefault="00C16253" w:rsidP="00C16253">
      <w:pPr>
        <w:bidi w:val="0"/>
        <w:jc w:val="both"/>
      </w:pPr>
    </w:p>
    <w:p w:rsidR="00672A9F" w:rsidRDefault="00672A9F" w:rsidP="00672A9F">
      <w:pPr>
        <w:bidi w:val="0"/>
        <w:jc w:val="both"/>
      </w:pPr>
    </w:p>
    <w:p w:rsidR="00672A9F" w:rsidRDefault="00672A9F" w:rsidP="00672A9F">
      <w:pPr>
        <w:bidi w:val="0"/>
        <w:jc w:val="both"/>
      </w:pPr>
    </w:p>
    <w:p w:rsidR="00B95DCF" w:rsidRDefault="00B95DCF" w:rsidP="00B95DCF">
      <w:pPr>
        <w:bidi w:val="0"/>
        <w:jc w:val="both"/>
      </w:pPr>
    </w:p>
    <w:p w:rsidR="00B95DCF" w:rsidRPr="00C16253" w:rsidRDefault="00B95DCF" w:rsidP="00DC20D4">
      <w:pPr>
        <w:bidi w:val="0"/>
        <w:jc w:val="both"/>
      </w:pPr>
      <w:r>
        <w:lastRenderedPageBreak/>
        <w:t>The uncertainty regarding the extent of the impact of the legislative process on the economic variables makes it difficult to quantify the various effects.  The aim of this illustration is to indicate the</w:t>
      </w:r>
      <w:r w:rsidR="00663523">
        <w:t xml:space="preserve"> potential</w:t>
      </w:r>
      <w:r>
        <w:t xml:space="preserve"> directions of the impact and </w:t>
      </w:r>
      <w:r w:rsidR="00DC20D4">
        <w:t xml:space="preserve">the various potential </w:t>
      </w:r>
      <w:r>
        <w:t>intensit</w:t>
      </w:r>
      <w:r w:rsidR="00DC20D4">
        <w:t>ies</w:t>
      </w:r>
      <w:r>
        <w:t xml:space="preserve">, based on empirical links from the past.  </w:t>
      </w:r>
      <w:r w:rsidR="00663523">
        <w:t xml:space="preserve">The analysis illustrates that </w:t>
      </w:r>
      <w:r>
        <w:t>if the changes in the legislative structure are considered permanent, the</w:t>
      </w:r>
      <w:r w:rsidR="00663523">
        <w:t>ir</w:t>
      </w:r>
      <w:r>
        <w:t xml:space="preserve"> effect on economic activity </w:t>
      </w:r>
      <w:r w:rsidR="00663523">
        <w:t xml:space="preserve">in the next three years alone </w:t>
      </w:r>
      <w:r>
        <w:t xml:space="preserve">may be </w:t>
      </w:r>
      <w:r w:rsidR="00663523">
        <w:t xml:space="preserve">greater than past shocks.  This is beyond the fact that the impact on economic activity may be </w:t>
      </w:r>
      <w:r>
        <w:t>more prolonged.</w:t>
      </w:r>
      <w:r w:rsidR="00663523">
        <w:t xml:space="preserve">  Moreover, it is important to clarify that the more permanent the changes are considered, the greater their impact will be in the present, not just over time.</w:t>
      </w:r>
    </w:p>
    <w:sectPr w:rsidR="00B95DCF" w:rsidRPr="00C16253" w:rsidSect="008009B5">
      <w:headerReference w:type="even" r:id="rId12"/>
      <w:headerReference w:type="default" r:id="rId13"/>
      <w:footerReference w:type="even" r:id="rId14"/>
      <w:footerReference w:type="default" r:id="rId15"/>
      <w:headerReference w:type="first" r:id="rId16"/>
      <w:footerReference w:type="first" r:id="rId17"/>
      <w:pgSz w:w="11906" w:h="16838"/>
      <w:pgMar w:top="1134" w:right="1416" w:bottom="1276" w:left="1418"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316" w:rsidRDefault="00665316" w:rsidP="00AD16FC">
      <w:r>
        <w:separator/>
      </w:r>
    </w:p>
  </w:endnote>
  <w:endnote w:type="continuationSeparator" w:id="0">
    <w:p w:rsidR="00665316" w:rsidRDefault="00665316" w:rsidP="00AD1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6C4" w:rsidRDefault="007E06C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ACA" w:rsidRDefault="00A16ACA" w:rsidP="00EA5E1C">
    <w:pPr>
      <w:pStyle w:val="a5"/>
      <w:bidi w:val="0"/>
    </w:pPr>
    <w:r>
      <w:t>Bank of Israel — Research Department Macroeconomic Staff Forecast</w:t>
    </w:r>
    <w:r w:rsidR="004A4BD6">
      <w:t xml:space="preserve">, </w:t>
    </w:r>
    <w:r w:rsidR="00EA5E1C">
      <w:t>April</w:t>
    </w:r>
    <w:r w:rsidR="004A4BD6">
      <w:t xml:space="preserve"> 2023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ADC" w:rsidRDefault="00AE0ADC" w:rsidP="00E932DD">
    <w:pPr>
      <w:pStyle w:val="a5"/>
      <w:bidi w:val="0"/>
    </w:pPr>
    <w:r>
      <w:t xml:space="preserve">Bank of Israel — Research Department Macroeconomic Staff Forecast, </w:t>
    </w:r>
    <w:r w:rsidR="00E932DD">
      <w:t>April</w:t>
    </w:r>
    <w:r w:rsidR="00E96831">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316" w:rsidRDefault="00665316" w:rsidP="00AD16FC">
      <w:r>
        <w:separator/>
      </w:r>
    </w:p>
  </w:footnote>
  <w:footnote w:type="continuationSeparator" w:id="0">
    <w:p w:rsidR="00665316" w:rsidRDefault="00665316" w:rsidP="00AD16FC">
      <w:r>
        <w:continuationSeparator/>
      </w:r>
    </w:p>
  </w:footnote>
  <w:footnote w:id="1">
    <w:p w:rsidR="00A30AC5" w:rsidRDefault="00A30AC5" w:rsidP="00E932DD">
      <w:pPr>
        <w:pStyle w:val="aa"/>
        <w:bidi w:val="0"/>
        <w:jc w:val="both"/>
        <w:rPr>
          <w:rtl/>
        </w:rPr>
      </w:pPr>
      <w:r>
        <w:rPr>
          <w:rStyle w:val="ac"/>
        </w:rPr>
        <w:footnoteRef/>
      </w:r>
      <w:r>
        <w:rPr>
          <w:rtl/>
        </w:rPr>
        <w:t xml:space="preserve"> </w:t>
      </w:r>
      <w:r>
        <w:t xml:space="preserve"> The forecast was presented to the Bank of Israel Monetary Committee on </w:t>
      </w:r>
      <w:r w:rsidR="00E932DD">
        <w:t>April</w:t>
      </w:r>
      <w:r w:rsidR="009733B5">
        <w:t xml:space="preserve"> </w:t>
      </w:r>
      <w:r w:rsidR="00E932DD">
        <w:t>2</w:t>
      </w:r>
      <w:r>
        <w:t xml:space="preserve">, </w:t>
      </w:r>
      <w:r w:rsidR="009733B5">
        <w:t>2023</w:t>
      </w:r>
      <w:r>
        <w:t xml:space="preserve">, prior to the decision on the interest rate made on </w:t>
      </w:r>
      <w:r w:rsidR="00E932DD">
        <w:t>April 3</w:t>
      </w:r>
      <w:r>
        <w:t xml:space="preserve">, </w:t>
      </w:r>
      <w:r w:rsidR="009733B5">
        <w:t>2023</w:t>
      </w:r>
      <w:r w:rsidR="00D81515">
        <w:t>.</w:t>
      </w:r>
    </w:p>
  </w:footnote>
  <w:footnote w:id="2">
    <w:p w:rsidR="004675C1" w:rsidRDefault="004675C1" w:rsidP="000C3AA1">
      <w:pPr>
        <w:bidi w:val="0"/>
        <w:jc w:val="both"/>
      </w:pPr>
      <w:r w:rsidRPr="002E48F4">
        <w:rPr>
          <w:rStyle w:val="ac"/>
          <w:sz w:val="20"/>
          <w:szCs w:val="20"/>
        </w:rPr>
        <w:footnoteRef/>
      </w:r>
      <w:r>
        <w:t xml:space="preserve"> </w:t>
      </w:r>
      <w:r w:rsidRPr="00237ACD">
        <w:rPr>
          <w:sz w:val="20"/>
          <w:szCs w:val="20"/>
        </w:rPr>
        <w:t xml:space="preserve">A Discussion Paper on the </w:t>
      </w:r>
      <w:r>
        <w:rPr>
          <w:sz w:val="20"/>
          <w:szCs w:val="20"/>
        </w:rPr>
        <w:t xml:space="preserve">DSGE </w:t>
      </w:r>
      <w:r w:rsidRPr="00237ACD">
        <w:rPr>
          <w:sz w:val="20"/>
          <w:szCs w:val="20"/>
        </w:rPr>
        <w:t xml:space="preserve">model </w:t>
      </w:r>
      <w:r>
        <w:rPr>
          <w:sz w:val="20"/>
          <w:szCs w:val="20"/>
        </w:rPr>
        <w:t>is available on the Bank of Israel website, under the title: “</w:t>
      </w:r>
      <w:r w:rsidRPr="00237ACD">
        <w:rPr>
          <w:sz w:val="20"/>
          <w:szCs w:val="20"/>
        </w:rPr>
        <w:t>MOISE: A DSGE Model for the Israeli Econom</w:t>
      </w:r>
      <w:r>
        <w:rPr>
          <w:sz w:val="20"/>
          <w:szCs w:val="20"/>
        </w:rPr>
        <w:t>y,” Discussion Paper No. 2012.06</w:t>
      </w:r>
      <w:r w:rsidRPr="00237ACD">
        <w:rPr>
          <w:sz w:val="20"/>
          <w:szCs w:val="20"/>
        </w:rPr>
        <w:t>.</w:t>
      </w:r>
    </w:p>
  </w:footnote>
  <w:footnote w:id="3">
    <w:p w:rsidR="00D52059" w:rsidRDefault="00D52059" w:rsidP="00D52059">
      <w:pPr>
        <w:pStyle w:val="aa"/>
        <w:bidi w:val="0"/>
      </w:pPr>
      <w:r>
        <w:rPr>
          <w:rStyle w:val="ac"/>
        </w:rPr>
        <w:footnoteRef/>
      </w:r>
      <w:r>
        <w:rPr>
          <w:rtl/>
        </w:rPr>
        <w:t xml:space="preserve"> </w:t>
      </w:r>
      <w:r>
        <w:rPr>
          <w:rFonts w:hint="cs"/>
        </w:rPr>
        <w:t>V</w:t>
      </w:r>
      <w:r>
        <w:t>ehicle purchases, which are part of private consumption and of fixed capital formation, increased markedly, partly due to the expected increase in vehicle taxation (electric and regular) at the beginning of 2023, which led to purchases being brought forward to the end of 2022.  Even though vehicles are imported, their effect on GDP is due to the taxation component and to domestic profits, in respect of which the market price for vehicles is higher than their import cost.</w:t>
      </w:r>
    </w:p>
  </w:footnote>
  <w:footnote w:id="4">
    <w:p w:rsidR="006C03C8" w:rsidRDefault="006C03C8" w:rsidP="006C03C8">
      <w:pPr>
        <w:pStyle w:val="aa"/>
        <w:bidi w:val="0"/>
      </w:pPr>
      <w:r>
        <w:rPr>
          <w:rStyle w:val="ac"/>
        </w:rPr>
        <w:footnoteRef/>
      </w:r>
      <w:r>
        <w:rPr>
          <w:rtl/>
        </w:rPr>
        <w:t xml:space="preserve"> </w:t>
      </w:r>
      <w:r>
        <w:t>In Table 3, we show the extent of persistence (the shock’s inertia from quarter to quarter), as well as the shock’s half-life, meaning the time that passes until the shock subsides to half its original size.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6C4" w:rsidRDefault="007E06C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6C4" w:rsidRDefault="007E06C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6C4" w:rsidRDefault="007E06C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DE2D49"/>
    <w:multiLevelType w:val="hybridMultilevel"/>
    <w:tmpl w:val="B8AEA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762CD1"/>
    <w:multiLevelType w:val="multilevel"/>
    <w:tmpl w:val="6C90399E"/>
    <w:lvl w:ilvl="0">
      <w:start w:val="1"/>
      <w:numFmt w:val="decimal"/>
      <w:pStyle w:val="4"/>
      <w:lvlText w:val="%1."/>
      <w:lvlJc w:val="left"/>
      <w:pPr>
        <w:ind w:left="720" w:hanging="360"/>
      </w:pPr>
    </w:lvl>
    <w:lvl w:ilvl="1">
      <w:start w:val="1"/>
      <w:numFmt w:val="decimal"/>
      <w:pStyle w:val="5"/>
      <w:isLgl/>
      <w:lvlText w:val="%1.%2"/>
      <w:lvlJc w:val="left"/>
      <w:pPr>
        <w:ind w:left="720" w:hanging="360"/>
      </w:pPr>
      <w:rPr>
        <w:rFonts w:hint="default"/>
      </w:rPr>
    </w:lvl>
    <w:lvl w:ilvl="2">
      <w:start w:val="1"/>
      <w:numFmt w:val="decimal"/>
      <w:pStyle w:val="6"/>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91E694E"/>
    <w:multiLevelType w:val="hybridMultilevel"/>
    <w:tmpl w:val="CFA4400A"/>
    <w:lvl w:ilvl="0" w:tplc="410611F2">
      <w:start w:val="1"/>
      <w:numFmt w:val="lowerLetter"/>
      <w:lvlText w:val="%1."/>
      <w:lvlJc w:val="left"/>
      <w:pPr>
        <w:tabs>
          <w:tab w:val="num" w:pos="363"/>
        </w:tabs>
        <w:ind w:left="363" w:hanging="360"/>
      </w:pPr>
      <w:rPr>
        <w:rFonts w:cs="Times New Roman" w:hint="default"/>
      </w:rPr>
    </w:lvl>
    <w:lvl w:ilvl="1" w:tplc="04090019" w:tentative="1">
      <w:start w:val="1"/>
      <w:numFmt w:val="lowerLetter"/>
      <w:lvlText w:val="%2."/>
      <w:lvlJc w:val="left"/>
      <w:pPr>
        <w:tabs>
          <w:tab w:val="num" w:pos="1083"/>
        </w:tabs>
        <w:ind w:left="1083" w:hanging="360"/>
      </w:pPr>
      <w:rPr>
        <w:rFonts w:cs="Times New Roman"/>
      </w:rPr>
    </w:lvl>
    <w:lvl w:ilvl="2" w:tplc="0409001B" w:tentative="1">
      <w:start w:val="1"/>
      <w:numFmt w:val="lowerRoman"/>
      <w:lvlText w:val="%3."/>
      <w:lvlJc w:val="right"/>
      <w:pPr>
        <w:tabs>
          <w:tab w:val="num" w:pos="1803"/>
        </w:tabs>
        <w:ind w:left="1803" w:hanging="180"/>
      </w:pPr>
      <w:rPr>
        <w:rFonts w:cs="Times New Roman"/>
      </w:rPr>
    </w:lvl>
    <w:lvl w:ilvl="3" w:tplc="0409000F" w:tentative="1">
      <w:start w:val="1"/>
      <w:numFmt w:val="decimal"/>
      <w:lvlText w:val="%4."/>
      <w:lvlJc w:val="left"/>
      <w:pPr>
        <w:tabs>
          <w:tab w:val="num" w:pos="2523"/>
        </w:tabs>
        <w:ind w:left="2523" w:hanging="360"/>
      </w:pPr>
      <w:rPr>
        <w:rFonts w:cs="Times New Roman"/>
      </w:rPr>
    </w:lvl>
    <w:lvl w:ilvl="4" w:tplc="04090019" w:tentative="1">
      <w:start w:val="1"/>
      <w:numFmt w:val="lowerLetter"/>
      <w:lvlText w:val="%5."/>
      <w:lvlJc w:val="left"/>
      <w:pPr>
        <w:tabs>
          <w:tab w:val="num" w:pos="3243"/>
        </w:tabs>
        <w:ind w:left="3243" w:hanging="360"/>
      </w:pPr>
      <w:rPr>
        <w:rFonts w:cs="Times New Roman"/>
      </w:rPr>
    </w:lvl>
    <w:lvl w:ilvl="5" w:tplc="0409001B" w:tentative="1">
      <w:start w:val="1"/>
      <w:numFmt w:val="lowerRoman"/>
      <w:lvlText w:val="%6."/>
      <w:lvlJc w:val="right"/>
      <w:pPr>
        <w:tabs>
          <w:tab w:val="num" w:pos="3963"/>
        </w:tabs>
        <w:ind w:left="3963" w:hanging="180"/>
      </w:pPr>
      <w:rPr>
        <w:rFonts w:cs="Times New Roman"/>
      </w:rPr>
    </w:lvl>
    <w:lvl w:ilvl="6" w:tplc="0409000F" w:tentative="1">
      <w:start w:val="1"/>
      <w:numFmt w:val="decimal"/>
      <w:lvlText w:val="%7."/>
      <w:lvlJc w:val="left"/>
      <w:pPr>
        <w:tabs>
          <w:tab w:val="num" w:pos="4683"/>
        </w:tabs>
        <w:ind w:left="4683" w:hanging="360"/>
      </w:pPr>
      <w:rPr>
        <w:rFonts w:cs="Times New Roman"/>
      </w:rPr>
    </w:lvl>
    <w:lvl w:ilvl="7" w:tplc="04090019" w:tentative="1">
      <w:start w:val="1"/>
      <w:numFmt w:val="lowerLetter"/>
      <w:lvlText w:val="%8."/>
      <w:lvlJc w:val="left"/>
      <w:pPr>
        <w:tabs>
          <w:tab w:val="num" w:pos="5403"/>
        </w:tabs>
        <w:ind w:left="5403" w:hanging="360"/>
      </w:pPr>
      <w:rPr>
        <w:rFonts w:cs="Times New Roman"/>
      </w:rPr>
    </w:lvl>
    <w:lvl w:ilvl="8" w:tplc="0409001B" w:tentative="1">
      <w:start w:val="1"/>
      <w:numFmt w:val="lowerRoman"/>
      <w:lvlText w:val="%9."/>
      <w:lvlJc w:val="right"/>
      <w:pPr>
        <w:tabs>
          <w:tab w:val="num" w:pos="6123"/>
        </w:tabs>
        <w:ind w:left="6123" w:hanging="180"/>
      </w:pPr>
      <w:rPr>
        <w:rFonts w:cs="Times New Roman"/>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D01"/>
    <w:rsid w:val="000011B9"/>
    <w:rsid w:val="0000410B"/>
    <w:rsid w:val="000062AB"/>
    <w:rsid w:val="00006C8A"/>
    <w:rsid w:val="00007CCB"/>
    <w:rsid w:val="00012A9C"/>
    <w:rsid w:val="00012DBD"/>
    <w:rsid w:val="000212CE"/>
    <w:rsid w:val="00021A8C"/>
    <w:rsid w:val="0002620A"/>
    <w:rsid w:val="000268BA"/>
    <w:rsid w:val="00030DCE"/>
    <w:rsid w:val="00036F1B"/>
    <w:rsid w:val="000379D4"/>
    <w:rsid w:val="0004160A"/>
    <w:rsid w:val="0004176B"/>
    <w:rsid w:val="00044F2F"/>
    <w:rsid w:val="00045015"/>
    <w:rsid w:val="00046EE6"/>
    <w:rsid w:val="000502B3"/>
    <w:rsid w:val="00050365"/>
    <w:rsid w:val="00060A3E"/>
    <w:rsid w:val="00060F00"/>
    <w:rsid w:val="00061D28"/>
    <w:rsid w:val="00064736"/>
    <w:rsid w:val="0006649E"/>
    <w:rsid w:val="00075533"/>
    <w:rsid w:val="00077136"/>
    <w:rsid w:val="00080851"/>
    <w:rsid w:val="000821AD"/>
    <w:rsid w:val="00083E17"/>
    <w:rsid w:val="00087BFF"/>
    <w:rsid w:val="000905F1"/>
    <w:rsid w:val="00090662"/>
    <w:rsid w:val="00090AA3"/>
    <w:rsid w:val="00091EE0"/>
    <w:rsid w:val="00094471"/>
    <w:rsid w:val="00095B99"/>
    <w:rsid w:val="00095D99"/>
    <w:rsid w:val="0009681A"/>
    <w:rsid w:val="000975CA"/>
    <w:rsid w:val="00097B7A"/>
    <w:rsid w:val="000A0CDA"/>
    <w:rsid w:val="000A3230"/>
    <w:rsid w:val="000A5761"/>
    <w:rsid w:val="000B2298"/>
    <w:rsid w:val="000B2D7E"/>
    <w:rsid w:val="000B566D"/>
    <w:rsid w:val="000C3AA1"/>
    <w:rsid w:val="000C4899"/>
    <w:rsid w:val="000C7FAC"/>
    <w:rsid w:val="000D5367"/>
    <w:rsid w:val="000E0ABD"/>
    <w:rsid w:val="000E5247"/>
    <w:rsid w:val="000E5777"/>
    <w:rsid w:val="000E72C6"/>
    <w:rsid w:val="000F2234"/>
    <w:rsid w:val="000F3385"/>
    <w:rsid w:val="000F36F2"/>
    <w:rsid w:val="000F48F1"/>
    <w:rsid w:val="000F6AA3"/>
    <w:rsid w:val="0010114F"/>
    <w:rsid w:val="00101C11"/>
    <w:rsid w:val="001031DD"/>
    <w:rsid w:val="00110005"/>
    <w:rsid w:val="00110630"/>
    <w:rsid w:val="00110CD6"/>
    <w:rsid w:val="00113C06"/>
    <w:rsid w:val="0011502F"/>
    <w:rsid w:val="0011529C"/>
    <w:rsid w:val="001156D4"/>
    <w:rsid w:val="0011627D"/>
    <w:rsid w:val="00117D18"/>
    <w:rsid w:val="001218D4"/>
    <w:rsid w:val="001222A5"/>
    <w:rsid w:val="001222BC"/>
    <w:rsid w:val="00122462"/>
    <w:rsid w:val="00125698"/>
    <w:rsid w:val="00130360"/>
    <w:rsid w:val="00131A6A"/>
    <w:rsid w:val="00134B36"/>
    <w:rsid w:val="00136000"/>
    <w:rsid w:val="00136B68"/>
    <w:rsid w:val="00136F62"/>
    <w:rsid w:val="00144D12"/>
    <w:rsid w:val="001461C7"/>
    <w:rsid w:val="00151EC6"/>
    <w:rsid w:val="00153D2D"/>
    <w:rsid w:val="0016240A"/>
    <w:rsid w:val="001626C6"/>
    <w:rsid w:val="0016380B"/>
    <w:rsid w:val="001643BB"/>
    <w:rsid w:val="001723D2"/>
    <w:rsid w:val="00172E4F"/>
    <w:rsid w:val="00176F0B"/>
    <w:rsid w:val="0018085C"/>
    <w:rsid w:val="00184744"/>
    <w:rsid w:val="001914F7"/>
    <w:rsid w:val="00191E60"/>
    <w:rsid w:val="00194094"/>
    <w:rsid w:val="001A27EF"/>
    <w:rsid w:val="001A39E4"/>
    <w:rsid w:val="001A4262"/>
    <w:rsid w:val="001A44B1"/>
    <w:rsid w:val="001A5342"/>
    <w:rsid w:val="001A794B"/>
    <w:rsid w:val="001A7A07"/>
    <w:rsid w:val="001B28EA"/>
    <w:rsid w:val="001B362F"/>
    <w:rsid w:val="001B551A"/>
    <w:rsid w:val="001B7045"/>
    <w:rsid w:val="001B7D9D"/>
    <w:rsid w:val="001C2571"/>
    <w:rsid w:val="001C2680"/>
    <w:rsid w:val="001C3544"/>
    <w:rsid w:val="001C55F7"/>
    <w:rsid w:val="001D21D1"/>
    <w:rsid w:val="001D76F5"/>
    <w:rsid w:val="001E0DAC"/>
    <w:rsid w:val="001E1311"/>
    <w:rsid w:val="001E52BF"/>
    <w:rsid w:val="001E5C9F"/>
    <w:rsid w:val="001F2F2F"/>
    <w:rsid w:val="001F390D"/>
    <w:rsid w:val="001F57FB"/>
    <w:rsid w:val="00200E9B"/>
    <w:rsid w:val="00202CCB"/>
    <w:rsid w:val="00205E52"/>
    <w:rsid w:val="00206BD3"/>
    <w:rsid w:val="00207522"/>
    <w:rsid w:val="0021167C"/>
    <w:rsid w:val="00211EF7"/>
    <w:rsid w:val="00213E62"/>
    <w:rsid w:val="002142E4"/>
    <w:rsid w:val="00221B38"/>
    <w:rsid w:val="00225FAA"/>
    <w:rsid w:val="002260C5"/>
    <w:rsid w:val="00233A26"/>
    <w:rsid w:val="002345E4"/>
    <w:rsid w:val="00234A33"/>
    <w:rsid w:val="00235170"/>
    <w:rsid w:val="0023631B"/>
    <w:rsid w:val="002363D1"/>
    <w:rsid w:val="00236603"/>
    <w:rsid w:val="00241E66"/>
    <w:rsid w:val="0024200C"/>
    <w:rsid w:val="0024299E"/>
    <w:rsid w:val="0024454F"/>
    <w:rsid w:val="0024467B"/>
    <w:rsid w:val="002452B1"/>
    <w:rsid w:val="002461FF"/>
    <w:rsid w:val="00252B31"/>
    <w:rsid w:val="002558D9"/>
    <w:rsid w:val="00256A10"/>
    <w:rsid w:val="00256BCE"/>
    <w:rsid w:val="00257892"/>
    <w:rsid w:val="002621A5"/>
    <w:rsid w:val="00262227"/>
    <w:rsid w:val="00262C88"/>
    <w:rsid w:val="00266083"/>
    <w:rsid w:val="0026626A"/>
    <w:rsid w:val="00270252"/>
    <w:rsid w:val="00273C4C"/>
    <w:rsid w:val="00275A36"/>
    <w:rsid w:val="00282853"/>
    <w:rsid w:val="00291398"/>
    <w:rsid w:val="002945D2"/>
    <w:rsid w:val="002966D2"/>
    <w:rsid w:val="002A1839"/>
    <w:rsid w:val="002A3BC1"/>
    <w:rsid w:val="002A4261"/>
    <w:rsid w:val="002B1C60"/>
    <w:rsid w:val="002B2C54"/>
    <w:rsid w:val="002C0AF6"/>
    <w:rsid w:val="002C2B40"/>
    <w:rsid w:val="002C67C7"/>
    <w:rsid w:val="002C74F7"/>
    <w:rsid w:val="002D152A"/>
    <w:rsid w:val="002D50CF"/>
    <w:rsid w:val="002E1A22"/>
    <w:rsid w:val="002E2BE2"/>
    <w:rsid w:val="002E37F1"/>
    <w:rsid w:val="002E3EE1"/>
    <w:rsid w:val="002E5ED3"/>
    <w:rsid w:val="002E616F"/>
    <w:rsid w:val="002F0472"/>
    <w:rsid w:val="002F70E9"/>
    <w:rsid w:val="0030038B"/>
    <w:rsid w:val="00300699"/>
    <w:rsid w:val="00302E2F"/>
    <w:rsid w:val="00304398"/>
    <w:rsid w:val="00304BF1"/>
    <w:rsid w:val="003071BC"/>
    <w:rsid w:val="00307FE2"/>
    <w:rsid w:val="0031335E"/>
    <w:rsid w:val="00314260"/>
    <w:rsid w:val="00314D4E"/>
    <w:rsid w:val="00320A7D"/>
    <w:rsid w:val="00322A23"/>
    <w:rsid w:val="00324468"/>
    <w:rsid w:val="00326605"/>
    <w:rsid w:val="00326B5C"/>
    <w:rsid w:val="00327BB0"/>
    <w:rsid w:val="00333B0C"/>
    <w:rsid w:val="003366FD"/>
    <w:rsid w:val="003379D1"/>
    <w:rsid w:val="003415C9"/>
    <w:rsid w:val="0034489A"/>
    <w:rsid w:val="00353C9A"/>
    <w:rsid w:val="00363628"/>
    <w:rsid w:val="003638DE"/>
    <w:rsid w:val="0036663A"/>
    <w:rsid w:val="003676BA"/>
    <w:rsid w:val="00371244"/>
    <w:rsid w:val="003723AE"/>
    <w:rsid w:val="00374016"/>
    <w:rsid w:val="0037682D"/>
    <w:rsid w:val="00382474"/>
    <w:rsid w:val="0038300A"/>
    <w:rsid w:val="00391040"/>
    <w:rsid w:val="003936A5"/>
    <w:rsid w:val="00395ECA"/>
    <w:rsid w:val="003979D7"/>
    <w:rsid w:val="003A16A5"/>
    <w:rsid w:val="003A2BCF"/>
    <w:rsid w:val="003A6075"/>
    <w:rsid w:val="003A6415"/>
    <w:rsid w:val="003B0F6C"/>
    <w:rsid w:val="003B1806"/>
    <w:rsid w:val="003B4955"/>
    <w:rsid w:val="003B5BA1"/>
    <w:rsid w:val="003B6E09"/>
    <w:rsid w:val="003C02C4"/>
    <w:rsid w:val="003C3A13"/>
    <w:rsid w:val="003C3A73"/>
    <w:rsid w:val="003C51B3"/>
    <w:rsid w:val="003C5F5C"/>
    <w:rsid w:val="003C7BEB"/>
    <w:rsid w:val="003C7C25"/>
    <w:rsid w:val="003D3BC1"/>
    <w:rsid w:val="003D3C91"/>
    <w:rsid w:val="003D41B1"/>
    <w:rsid w:val="003D71BE"/>
    <w:rsid w:val="003E08B6"/>
    <w:rsid w:val="003E266A"/>
    <w:rsid w:val="003E5DCB"/>
    <w:rsid w:val="003F0CAA"/>
    <w:rsid w:val="003F1F24"/>
    <w:rsid w:val="003F33D5"/>
    <w:rsid w:val="003F40AA"/>
    <w:rsid w:val="003F5174"/>
    <w:rsid w:val="00404ACD"/>
    <w:rsid w:val="00407E88"/>
    <w:rsid w:val="00410736"/>
    <w:rsid w:val="00413594"/>
    <w:rsid w:val="00422170"/>
    <w:rsid w:val="0042257A"/>
    <w:rsid w:val="00422A8D"/>
    <w:rsid w:val="00423EEF"/>
    <w:rsid w:val="004246B5"/>
    <w:rsid w:val="004247E4"/>
    <w:rsid w:val="00425B3F"/>
    <w:rsid w:val="00425D38"/>
    <w:rsid w:val="00431AC5"/>
    <w:rsid w:val="00432907"/>
    <w:rsid w:val="00432F14"/>
    <w:rsid w:val="00434CA0"/>
    <w:rsid w:val="00435505"/>
    <w:rsid w:val="00435DE5"/>
    <w:rsid w:val="00436407"/>
    <w:rsid w:val="00442670"/>
    <w:rsid w:val="0044397B"/>
    <w:rsid w:val="00446B32"/>
    <w:rsid w:val="004501E8"/>
    <w:rsid w:val="00453D2B"/>
    <w:rsid w:val="00454090"/>
    <w:rsid w:val="004548EA"/>
    <w:rsid w:val="00456CAD"/>
    <w:rsid w:val="00460495"/>
    <w:rsid w:val="004634B5"/>
    <w:rsid w:val="00463684"/>
    <w:rsid w:val="004654C3"/>
    <w:rsid w:val="0046610D"/>
    <w:rsid w:val="00466491"/>
    <w:rsid w:val="00466E45"/>
    <w:rsid w:val="00467167"/>
    <w:rsid w:val="004675C1"/>
    <w:rsid w:val="004706AE"/>
    <w:rsid w:val="00470DAC"/>
    <w:rsid w:val="00472053"/>
    <w:rsid w:val="0047600F"/>
    <w:rsid w:val="00477EF7"/>
    <w:rsid w:val="0048096C"/>
    <w:rsid w:val="00480B23"/>
    <w:rsid w:val="004850D5"/>
    <w:rsid w:val="00487712"/>
    <w:rsid w:val="004902DA"/>
    <w:rsid w:val="00490AF3"/>
    <w:rsid w:val="0049210C"/>
    <w:rsid w:val="0049358B"/>
    <w:rsid w:val="00496D92"/>
    <w:rsid w:val="004975C8"/>
    <w:rsid w:val="004A0284"/>
    <w:rsid w:val="004A0C32"/>
    <w:rsid w:val="004A4413"/>
    <w:rsid w:val="004A4BD6"/>
    <w:rsid w:val="004A6595"/>
    <w:rsid w:val="004B16A2"/>
    <w:rsid w:val="004B178F"/>
    <w:rsid w:val="004B3835"/>
    <w:rsid w:val="004B39F5"/>
    <w:rsid w:val="004B415E"/>
    <w:rsid w:val="004B687A"/>
    <w:rsid w:val="004C06F2"/>
    <w:rsid w:val="004C2B26"/>
    <w:rsid w:val="004C64DB"/>
    <w:rsid w:val="004C6D8F"/>
    <w:rsid w:val="004C77DF"/>
    <w:rsid w:val="004D3688"/>
    <w:rsid w:val="004D5A93"/>
    <w:rsid w:val="004E0BC8"/>
    <w:rsid w:val="004E1A6E"/>
    <w:rsid w:val="004E439A"/>
    <w:rsid w:val="004E4EDE"/>
    <w:rsid w:val="004E71DD"/>
    <w:rsid w:val="004F5B5B"/>
    <w:rsid w:val="004F6E9A"/>
    <w:rsid w:val="004F6FA6"/>
    <w:rsid w:val="004F745B"/>
    <w:rsid w:val="004F764E"/>
    <w:rsid w:val="00500C71"/>
    <w:rsid w:val="00501059"/>
    <w:rsid w:val="00502A88"/>
    <w:rsid w:val="005079F6"/>
    <w:rsid w:val="00511532"/>
    <w:rsid w:val="005138D9"/>
    <w:rsid w:val="00513EBA"/>
    <w:rsid w:val="005145B3"/>
    <w:rsid w:val="00514812"/>
    <w:rsid w:val="00522485"/>
    <w:rsid w:val="005259C8"/>
    <w:rsid w:val="00526A3D"/>
    <w:rsid w:val="00527802"/>
    <w:rsid w:val="00530763"/>
    <w:rsid w:val="00532260"/>
    <w:rsid w:val="005338C6"/>
    <w:rsid w:val="005353CA"/>
    <w:rsid w:val="005371B8"/>
    <w:rsid w:val="00537D44"/>
    <w:rsid w:val="00541457"/>
    <w:rsid w:val="00541F01"/>
    <w:rsid w:val="005430AC"/>
    <w:rsid w:val="005462CC"/>
    <w:rsid w:val="00550DB9"/>
    <w:rsid w:val="00553BFE"/>
    <w:rsid w:val="005608BA"/>
    <w:rsid w:val="005650EE"/>
    <w:rsid w:val="00566CFA"/>
    <w:rsid w:val="00567BBF"/>
    <w:rsid w:val="00567BD9"/>
    <w:rsid w:val="00571311"/>
    <w:rsid w:val="005715D5"/>
    <w:rsid w:val="005746E6"/>
    <w:rsid w:val="0057714E"/>
    <w:rsid w:val="005778CC"/>
    <w:rsid w:val="00580B69"/>
    <w:rsid w:val="00586880"/>
    <w:rsid w:val="00591B6F"/>
    <w:rsid w:val="0059526F"/>
    <w:rsid w:val="0059707C"/>
    <w:rsid w:val="005A3805"/>
    <w:rsid w:val="005A4028"/>
    <w:rsid w:val="005A6809"/>
    <w:rsid w:val="005A7EDF"/>
    <w:rsid w:val="005B2620"/>
    <w:rsid w:val="005B6C8C"/>
    <w:rsid w:val="005C2BD4"/>
    <w:rsid w:val="005C4E0D"/>
    <w:rsid w:val="005C5507"/>
    <w:rsid w:val="005C636E"/>
    <w:rsid w:val="005C7192"/>
    <w:rsid w:val="005C76FE"/>
    <w:rsid w:val="005D38C9"/>
    <w:rsid w:val="005D5BC7"/>
    <w:rsid w:val="005D6EBF"/>
    <w:rsid w:val="005D773A"/>
    <w:rsid w:val="005D7D3B"/>
    <w:rsid w:val="005E0237"/>
    <w:rsid w:val="005E18E9"/>
    <w:rsid w:val="005E6AD1"/>
    <w:rsid w:val="005F2B24"/>
    <w:rsid w:val="005F6371"/>
    <w:rsid w:val="005F638E"/>
    <w:rsid w:val="005F6830"/>
    <w:rsid w:val="006001D0"/>
    <w:rsid w:val="0060705B"/>
    <w:rsid w:val="006100B7"/>
    <w:rsid w:val="0061045E"/>
    <w:rsid w:val="00611D9B"/>
    <w:rsid w:val="006120B8"/>
    <w:rsid w:val="00614BA6"/>
    <w:rsid w:val="00621127"/>
    <w:rsid w:val="006220D7"/>
    <w:rsid w:val="006264EC"/>
    <w:rsid w:val="00631795"/>
    <w:rsid w:val="00632EEB"/>
    <w:rsid w:val="00637B9C"/>
    <w:rsid w:val="006418B2"/>
    <w:rsid w:val="00641EA5"/>
    <w:rsid w:val="006476B5"/>
    <w:rsid w:val="00651E7C"/>
    <w:rsid w:val="0065321D"/>
    <w:rsid w:val="00653705"/>
    <w:rsid w:val="00654B16"/>
    <w:rsid w:val="00655AFC"/>
    <w:rsid w:val="0065681F"/>
    <w:rsid w:val="00657FD2"/>
    <w:rsid w:val="0066009C"/>
    <w:rsid w:val="00663523"/>
    <w:rsid w:val="00664763"/>
    <w:rsid w:val="006648AB"/>
    <w:rsid w:val="00665316"/>
    <w:rsid w:val="00667BE4"/>
    <w:rsid w:val="00670CEE"/>
    <w:rsid w:val="00672A9F"/>
    <w:rsid w:val="00675998"/>
    <w:rsid w:val="00677FE0"/>
    <w:rsid w:val="00680EDD"/>
    <w:rsid w:val="0068229E"/>
    <w:rsid w:val="00682563"/>
    <w:rsid w:val="00686EBE"/>
    <w:rsid w:val="00690F17"/>
    <w:rsid w:val="0069716E"/>
    <w:rsid w:val="00697916"/>
    <w:rsid w:val="006979F4"/>
    <w:rsid w:val="006A1A74"/>
    <w:rsid w:val="006A647D"/>
    <w:rsid w:val="006A71E3"/>
    <w:rsid w:val="006A7E98"/>
    <w:rsid w:val="006B2670"/>
    <w:rsid w:val="006B2EE9"/>
    <w:rsid w:val="006B64B8"/>
    <w:rsid w:val="006C03C8"/>
    <w:rsid w:val="006C0D25"/>
    <w:rsid w:val="006C2D83"/>
    <w:rsid w:val="006C48FC"/>
    <w:rsid w:val="006C6293"/>
    <w:rsid w:val="006D7526"/>
    <w:rsid w:val="006D7BD2"/>
    <w:rsid w:val="006E0D2E"/>
    <w:rsid w:val="006E2552"/>
    <w:rsid w:val="006E6A4A"/>
    <w:rsid w:val="006F0F8C"/>
    <w:rsid w:val="006F28D8"/>
    <w:rsid w:val="006F3960"/>
    <w:rsid w:val="006F3A76"/>
    <w:rsid w:val="006F513A"/>
    <w:rsid w:val="00700196"/>
    <w:rsid w:val="007002DD"/>
    <w:rsid w:val="00705A5F"/>
    <w:rsid w:val="00705C0E"/>
    <w:rsid w:val="007065E7"/>
    <w:rsid w:val="00715AB2"/>
    <w:rsid w:val="00716661"/>
    <w:rsid w:val="00717133"/>
    <w:rsid w:val="007179F2"/>
    <w:rsid w:val="00725CB0"/>
    <w:rsid w:val="00732673"/>
    <w:rsid w:val="00733360"/>
    <w:rsid w:val="00734E01"/>
    <w:rsid w:val="00735B53"/>
    <w:rsid w:val="00736708"/>
    <w:rsid w:val="00736C6C"/>
    <w:rsid w:val="00740773"/>
    <w:rsid w:val="00746090"/>
    <w:rsid w:val="00756CD9"/>
    <w:rsid w:val="00762E0A"/>
    <w:rsid w:val="00763872"/>
    <w:rsid w:val="007638FC"/>
    <w:rsid w:val="00763946"/>
    <w:rsid w:val="00763FAB"/>
    <w:rsid w:val="007669FC"/>
    <w:rsid w:val="00766FCF"/>
    <w:rsid w:val="007674CC"/>
    <w:rsid w:val="00767CA2"/>
    <w:rsid w:val="0077284B"/>
    <w:rsid w:val="00777384"/>
    <w:rsid w:val="00785144"/>
    <w:rsid w:val="007864A7"/>
    <w:rsid w:val="007871AC"/>
    <w:rsid w:val="00787523"/>
    <w:rsid w:val="00790C99"/>
    <w:rsid w:val="007953DF"/>
    <w:rsid w:val="007A3D38"/>
    <w:rsid w:val="007A4B17"/>
    <w:rsid w:val="007A782B"/>
    <w:rsid w:val="007B3087"/>
    <w:rsid w:val="007B40F4"/>
    <w:rsid w:val="007B4AFB"/>
    <w:rsid w:val="007B7F32"/>
    <w:rsid w:val="007C0339"/>
    <w:rsid w:val="007C4EFD"/>
    <w:rsid w:val="007D04C3"/>
    <w:rsid w:val="007D063F"/>
    <w:rsid w:val="007D1DF5"/>
    <w:rsid w:val="007D4F49"/>
    <w:rsid w:val="007D509C"/>
    <w:rsid w:val="007D70EA"/>
    <w:rsid w:val="007E06C4"/>
    <w:rsid w:val="007E0AB6"/>
    <w:rsid w:val="007E443D"/>
    <w:rsid w:val="007E523C"/>
    <w:rsid w:val="007F2871"/>
    <w:rsid w:val="007F3C4C"/>
    <w:rsid w:val="008009B5"/>
    <w:rsid w:val="00802B46"/>
    <w:rsid w:val="00803944"/>
    <w:rsid w:val="00804864"/>
    <w:rsid w:val="008065C4"/>
    <w:rsid w:val="00813118"/>
    <w:rsid w:val="0081390B"/>
    <w:rsid w:val="00814623"/>
    <w:rsid w:val="00814E81"/>
    <w:rsid w:val="0081703A"/>
    <w:rsid w:val="0082256B"/>
    <w:rsid w:val="00823618"/>
    <w:rsid w:val="00826421"/>
    <w:rsid w:val="008277E1"/>
    <w:rsid w:val="008305AA"/>
    <w:rsid w:val="00832B9D"/>
    <w:rsid w:val="00833768"/>
    <w:rsid w:val="00834D8E"/>
    <w:rsid w:val="00834DA7"/>
    <w:rsid w:val="00835712"/>
    <w:rsid w:val="00836E60"/>
    <w:rsid w:val="00840221"/>
    <w:rsid w:val="0084185E"/>
    <w:rsid w:val="00844652"/>
    <w:rsid w:val="0084562F"/>
    <w:rsid w:val="00845C66"/>
    <w:rsid w:val="008512DE"/>
    <w:rsid w:val="0085644E"/>
    <w:rsid w:val="00860246"/>
    <w:rsid w:val="00860679"/>
    <w:rsid w:val="00861F13"/>
    <w:rsid w:val="00862770"/>
    <w:rsid w:val="0086369E"/>
    <w:rsid w:val="00863B19"/>
    <w:rsid w:val="00864D44"/>
    <w:rsid w:val="0086708B"/>
    <w:rsid w:val="00870412"/>
    <w:rsid w:val="008707BC"/>
    <w:rsid w:val="0087184F"/>
    <w:rsid w:val="00871E07"/>
    <w:rsid w:val="00871E54"/>
    <w:rsid w:val="00876B2F"/>
    <w:rsid w:val="008823BA"/>
    <w:rsid w:val="00883D6F"/>
    <w:rsid w:val="00886302"/>
    <w:rsid w:val="00890A34"/>
    <w:rsid w:val="00891991"/>
    <w:rsid w:val="00891E50"/>
    <w:rsid w:val="00892A41"/>
    <w:rsid w:val="0089451E"/>
    <w:rsid w:val="008954B2"/>
    <w:rsid w:val="00896FC1"/>
    <w:rsid w:val="0089777D"/>
    <w:rsid w:val="008A08E9"/>
    <w:rsid w:val="008A0E53"/>
    <w:rsid w:val="008B34A2"/>
    <w:rsid w:val="008B48AF"/>
    <w:rsid w:val="008B6821"/>
    <w:rsid w:val="008B6A6E"/>
    <w:rsid w:val="008C1D94"/>
    <w:rsid w:val="008C5D59"/>
    <w:rsid w:val="008C5F5F"/>
    <w:rsid w:val="008C68E4"/>
    <w:rsid w:val="008C7898"/>
    <w:rsid w:val="008D3638"/>
    <w:rsid w:val="008D65F1"/>
    <w:rsid w:val="008D6A2E"/>
    <w:rsid w:val="008E00AA"/>
    <w:rsid w:val="008E27BC"/>
    <w:rsid w:val="008E5126"/>
    <w:rsid w:val="008E6FFD"/>
    <w:rsid w:val="008F2323"/>
    <w:rsid w:val="008F5935"/>
    <w:rsid w:val="008F5DD7"/>
    <w:rsid w:val="00900D37"/>
    <w:rsid w:val="00905330"/>
    <w:rsid w:val="009120C7"/>
    <w:rsid w:val="00912F53"/>
    <w:rsid w:val="0091354C"/>
    <w:rsid w:val="00914404"/>
    <w:rsid w:val="00915695"/>
    <w:rsid w:val="00921594"/>
    <w:rsid w:val="00922843"/>
    <w:rsid w:val="00924F7B"/>
    <w:rsid w:val="00931604"/>
    <w:rsid w:val="009335C7"/>
    <w:rsid w:val="009336FC"/>
    <w:rsid w:val="00937DAA"/>
    <w:rsid w:val="00942F47"/>
    <w:rsid w:val="00944B53"/>
    <w:rsid w:val="00947E8A"/>
    <w:rsid w:val="009523E0"/>
    <w:rsid w:val="009532A5"/>
    <w:rsid w:val="009561DE"/>
    <w:rsid w:val="00957029"/>
    <w:rsid w:val="009571F6"/>
    <w:rsid w:val="009638C2"/>
    <w:rsid w:val="00964BF9"/>
    <w:rsid w:val="00966BA2"/>
    <w:rsid w:val="00966BA9"/>
    <w:rsid w:val="00970D63"/>
    <w:rsid w:val="009733B5"/>
    <w:rsid w:val="00974091"/>
    <w:rsid w:val="0097503F"/>
    <w:rsid w:val="009816FB"/>
    <w:rsid w:val="00982F32"/>
    <w:rsid w:val="00986A17"/>
    <w:rsid w:val="00987A72"/>
    <w:rsid w:val="00987DC0"/>
    <w:rsid w:val="00990177"/>
    <w:rsid w:val="00995148"/>
    <w:rsid w:val="00995EB0"/>
    <w:rsid w:val="00996AA8"/>
    <w:rsid w:val="009A24EF"/>
    <w:rsid w:val="009A5B34"/>
    <w:rsid w:val="009A6F35"/>
    <w:rsid w:val="009A7496"/>
    <w:rsid w:val="009B2FDE"/>
    <w:rsid w:val="009B66F6"/>
    <w:rsid w:val="009B6B0B"/>
    <w:rsid w:val="009C23BF"/>
    <w:rsid w:val="009C52DE"/>
    <w:rsid w:val="009C5388"/>
    <w:rsid w:val="009C6E29"/>
    <w:rsid w:val="009C7987"/>
    <w:rsid w:val="009D0346"/>
    <w:rsid w:val="009D0EE8"/>
    <w:rsid w:val="009D18E9"/>
    <w:rsid w:val="009D204E"/>
    <w:rsid w:val="009D3DC3"/>
    <w:rsid w:val="009D7FDA"/>
    <w:rsid w:val="009E0E54"/>
    <w:rsid w:val="009E1313"/>
    <w:rsid w:val="009E1656"/>
    <w:rsid w:val="009E3036"/>
    <w:rsid w:val="009E690A"/>
    <w:rsid w:val="009E7E21"/>
    <w:rsid w:val="009F17F3"/>
    <w:rsid w:val="009F1F95"/>
    <w:rsid w:val="009F20C5"/>
    <w:rsid w:val="009F20F0"/>
    <w:rsid w:val="009F4404"/>
    <w:rsid w:val="009F6812"/>
    <w:rsid w:val="009F6F89"/>
    <w:rsid w:val="009F7322"/>
    <w:rsid w:val="009F7CC0"/>
    <w:rsid w:val="00A0124F"/>
    <w:rsid w:val="00A02BD8"/>
    <w:rsid w:val="00A034A0"/>
    <w:rsid w:val="00A04ADE"/>
    <w:rsid w:val="00A05E9D"/>
    <w:rsid w:val="00A10196"/>
    <w:rsid w:val="00A11C88"/>
    <w:rsid w:val="00A1285C"/>
    <w:rsid w:val="00A12CDD"/>
    <w:rsid w:val="00A168E3"/>
    <w:rsid w:val="00A16ACA"/>
    <w:rsid w:val="00A21D01"/>
    <w:rsid w:val="00A22607"/>
    <w:rsid w:val="00A22DC8"/>
    <w:rsid w:val="00A23F35"/>
    <w:rsid w:val="00A259DD"/>
    <w:rsid w:val="00A2696D"/>
    <w:rsid w:val="00A30AC5"/>
    <w:rsid w:val="00A31317"/>
    <w:rsid w:val="00A3378A"/>
    <w:rsid w:val="00A346A5"/>
    <w:rsid w:val="00A379B9"/>
    <w:rsid w:val="00A43FFF"/>
    <w:rsid w:val="00A47365"/>
    <w:rsid w:val="00A50C95"/>
    <w:rsid w:val="00A51500"/>
    <w:rsid w:val="00A51FEB"/>
    <w:rsid w:val="00A53FEA"/>
    <w:rsid w:val="00A602A3"/>
    <w:rsid w:val="00A651A5"/>
    <w:rsid w:val="00A65273"/>
    <w:rsid w:val="00A669EF"/>
    <w:rsid w:val="00A7026F"/>
    <w:rsid w:val="00A73E62"/>
    <w:rsid w:val="00A749D0"/>
    <w:rsid w:val="00A756DD"/>
    <w:rsid w:val="00A77F12"/>
    <w:rsid w:val="00A80A37"/>
    <w:rsid w:val="00A81DEF"/>
    <w:rsid w:val="00A82108"/>
    <w:rsid w:val="00A834AE"/>
    <w:rsid w:val="00A83E54"/>
    <w:rsid w:val="00A872A7"/>
    <w:rsid w:val="00A9061B"/>
    <w:rsid w:val="00A9134F"/>
    <w:rsid w:val="00A93C19"/>
    <w:rsid w:val="00A9470A"/>
    <w:rsid w:val="00A94ED2"/>
    <w:rsid w:val="00A954C5"/>
    <w:rsid w:val="00A962EB"/>
    <w:rsid w:val="00A9787B"/>
    <w:rsid w:val="00AA01B7"/>
    <w:rsid w:val="00AA34D9"/>
    <w:rsid w:val="00AA5B2F"/>
    <w:rsid w:val="00AA6475"/>
    <w:rsid w:val="00AB183B"/>
    <w:rsid w:val="00AB32FD"/>
    <w:rsid w:val="00AB4B8C"/>
    <w:rsid w:val="00AB4FC8"/>
    <w:rsid w:val="00AB5DE3"/>
    <w:rsid w:val="00AB6192"/>
    <w:rsid w:val="00AB635D"/>
    <w:rsid w:val="00AB7494"/>
    <w:rsid w:val="00AC3AB9"/>
    <w:rsid w:val="00AC4199"/>
    <w:rsid w:val="00AD16FC"/>
    <w:rsid w:val="00AD1EB9"/>
    <w:rsid w:val="00AD21E2"/>
    <w:rsid w:val="00AD2662"/>
    <w:rsid w:val="00AD2C7B"/>
    <w:rsid w:val="00AD3BF0"/>
    <w:rsid w:val="00AD43AF"/>
    <w:rsid w:val="00AD4C9B"/>
    <w:rsid w:val="00AD5C82"/>
    <w:rsid w:val="00AE0ADC"/>
    <w:rsid w:val="00AE186F"/>
    <w:rsid w:val="00AE4B42"/>
    <w:rsid w:val="00AE552C"/>
    <w:rsid w:val="00AF4517"/>
    <w:rsid w:val="00B1173D"/>
    <w:rsid w:val="00B12495"/>
    <w:rsid w:val="00B13C35"/>
    <w:rsid w:val="00B22B39"/>
    <w:rsid w:val="00B2349C"/>
    <w:rsid w:val="00B32D05"/>
    <w:rsid w:val="00B3457B"/>
    <w:rsid w:val="00B34D7A"/>
    <w:rsid w:val="00B37CA4"/>
    <w:rsid w:val="00B42DBC"/>
    <w:rsid w:val="00B432BB"/>
    <w:rsid w:val="00B44B19"/>
    <w:rsid w:val="00B509C5"/>
    <w:rsid w:val="00B50BA7"/>
    <w:rsid w:val="00B525A8"/>
    <w:rsid w:val="00B540ED"/>
    <w:rsid w:val="00B555ED"/>
    <w:rsid w:val="00B61879"/>
    <w:rsid w:val="00B64E48"/>
    <w:rsid w:val="00B70EB0"/>
    <w:rsid w:val="00B766FF"/>
    <w:rsid w:val="00B76C3E"/>
    <w:rsid w:val="00B806EB"/>
    <w:rsid w:val="00B8089B"/>
    <w:rsid w:val="00B82756"/>
    <w:rsid w:val="00B836CA"/>
    <w:rsid w:val="00B904FF"/>
    <w:rsid w:val="00B9210D"/>
    <w:rsid w:val="00B94616"/>
    <w:rsid w:val="00B95044"/>
    <w:rsid w:val="00B95850"/>
    <w:rsid w:val="00B95DCF"/>
    <w:rsid w:val="00B97AB5"/>
    <w:rsid w:val="00B97C6C"/>
    <w:rsid w:val="00BA041B"/>
    <w:rsid w:val="00BA2F5F"/>
    <w:rsid w:val="00BA4EBD"/>
    <w:rsid w:val="00BA6033"/>
    <w:rsid w:val="00BA6DB4"/>
    <w:rsid w:val="00BB6223"/>
    <w:rsid w:val="00BB64BE"/>
    <w:rsid w:val="00BB6822"/>
    <w:rsid w:val="00BC385E"/>
    <w:rsid w:val="00BC423A"/>
    <w:rsid w:val="00BC65EF"/>
    <w:rsid w:val="00BD0469"/>
    <w:rsid w:val="00BD084F"/>
    <w:rsid w:val="00BD179B"/>
    <w:rsid w:val="00BD2F5F"/>
    <w:rsid w:val="00BD37A9"/>
    <w:rsid w:val="00BD45C6"/>
    <w:rsid w:val="00BD4CA3"/>
    <w:rsid w:val="00BD5A5E"/>
    <w:rsid w:val="00BD7343"/>
    <w:rsid w:val="00BD77E6"/>
    <w:rsid w:val="00BE2C29"/>
    <w:rsid w:val="00BE556B"/>
    <w:rsid w:val="00BE6943"/>
    <w:rsid w:val="00BE6CF7"/>
    <w:rsid w:val="00BE7467"/>
    <w:rsid w:val="00BE7EE2"/>
    <w:rsid w:val="00BF0E02"/>
    <w:rsid w:val="00BF22DC"/>
    <w:rsid w:val="00BF2375"/>
    <w:rsid w:val="00C018C7"/>
    <w:rsid w:val="00C031F8"/>
    <w:rsid w:val="00C0531E"/>
    <w:rsid w:val="00C1167E"/>
    <w:rsid w:val="00C1349C"/>
    <w:rsid w:val="00C16253"/>
    <w:rsid w:val="00C21DB7"/>
    <w:rsid w:val="00C22025"/>
    <w:rsid w:val="00C231D1"/>
    <w:rsid w:val="00C25E14"/>
    <w:rsid w:val="00C27023"/>
    <w:rsid w:val="00C27C5C"/>
    <w:rsid w:val="00C31FC1"/>
    <w:rsid w:val="00C3415C"/>
    <w:rsid w:val="00C34927"/>
    <w:rsid w:val="00C378E2"/>
    <w:rsid w:val="00C401A1"/>
    <w:rsid w:val="00C40235"/>
    <w:rsid w:val="00C40927"/>
    <w:rsid w:val="00C4235A"/>
    <w:rsid w:val="00C44809"/>
    <w:rsid w:val="00C45ED5"/>
    <w:rsid w:val="00C476C4"/>
    <w:rsid w:val="00C518BB"/>
    <w:rsid w:val="00C51B50"/>
    <w:rsid w:val="00C53EF6"/>
    <w:rsid w:val="00C54F8B"/>
    <w:rsid w:val="00C55EB9"/>
    <w:rsid w:val="00C621BD"/>
    <w:rsid w:val="00C623CE"/>
    <w:rsid w:val="00C62493"/>
    <w:rsid w:val="00C62C76"/>
    <w:rsid w:val="00C6598F"/>
    <w:rsid w:val="00C65E19"/>
    <w:rsid w:val="00C66D60"/>
    <w:rsid w:val="00C67AB5"/>
    <w:rsid w:val="00C71567"/>
    <w:rsid w:val="00C74AEF"/>
    <w:rsid w:val="00C74FB1"/>
    <w:rsid w:val="00C769B1"/>
    <w:rsid w:val="00C8362F"/>
    <w:rsid w:val="00C8590C"/>
    <w:rsid w:val="00C87351"/>
    <w:rsid w:val="00C90721"/>
    <w:rsid w:val="00C91931"/>
    <w:rsid w:val="00C92943"/>
    <w:rsid w:val="00C953AC"/>
    <w:rsid w:val="00C95533"/>
    <w:rsid w:val="00CA6D37"/>
    <w:rsid w:val="00CA7733"/>
    <w:rsid w:val="00CA7CFC"/>
    <w:rsid w:val="00CB0155"/>
    <w:rsid w:val="00CB178B"/>
    <w:rsid w:val="00CB1B47"/>
    <w:rsid w:val="00CB43C6"/>
    <w:rsid w:val="00CB6585"/>
    <w:rsid w:val="00CB7971"/>
    <w:rsid w:val="00CC3BC3"/>
    <w:rsid w:val="00CC5455"/>
    <w:rsid w:val="00CC6CDD"/>
    <w:rsid w:val="00CD22BB"/>
    <w:rsid w:val="00CD369F"/>
    <w:rsid w:val="00CD57F7"/>
    <w:rsid w:val="00CD77F0"/>
    <w:rsid w:val="00CD79C1"/>
    <w:rsid w:val="00CD7F8B"/>
    <w:rsid w:val="00CE7F17"/>
    <w:rsid w:val="00CF1CDA"/>
    <w:rsid w:val="00CF38A0"/>
    <w:rsid w:val="00CF7D39"/>
    <w:rsid w:val="00D061FC"/>
    <w:rsid w:val="00D06D1C"/>
    <w:rsid w:val="00D103A1"/>
    <w:rsid w:val="00D17CE0"/>
    <w:rsid w:val="00D211EC"/>
    <w:rsid w:val="00D22293"/>
    <w:rsid w:val="00D261C7"/>
    <w:rsid w:val="00D31E77"/>
    <w:rsid w:val="00D32664"/>
    <w:rsid w:val="00D334F9"/>
    <w:rsid w:val="00D367DC"/>
    <w:rsid w:val="00D37267"/>
    <w:rsid w:val="00D376AF"/>
    <w:rsid w:val="00D40032"/>
    <w:rsid w:val="00D413D3"/>
    <w:rsid w:val="00D44004"/>
    <w:rsid w:val="00D44EA6"/>
    <w:rsid w:val="00D45EF8"/>
    <w:rsid w:val="00D45F40"/>
    <w:rsid w:val="00D47D4A"/>
    <w:rsid w:val="00D514B3"/>
    <w:rsid w:val="00D5175F"/>
    <w:rsid w:val="00D51ADF"/>
    <w:rsid w:val="00D52059"/>
    <w:rsid w:val="00D62B59"/>
    <w:rsid w:val="00D6443A"/>
    <w:rsid w:val="00D66FAE"/>
    <w:rsid w:val="00D67632"/>
    <w:rsid w:val="00D7044B"/>
    <w:rsid w:val="00D72547"/>
    <w:rsid w:val="00D74481"/>
    <w:rsid w:val="00D7448E"/>
    <w:rsid w:val="00D747B2"/>
    <w:rsid w:val="00D75696"/>
    <w:rsid w:val="00D75E63"/>
    <w:rsid w:val="00D7728C"/>
    <w:rsid w:val="00D809BE"/>
    <w:rsid w:val="00D81515"/>
    <w:rsid w:val="00D860B7"/>
    <w:rsid w:val="00D914FA"/>
    <w:rsid w:val="00D91D85"/>
    <w:rsid w:val="00D96A40"/>
    <w:rsid w:val="00DA0788"/>
    <w:rsid w:val="00DA1966"/>
    <w:rsid w:val="00DA4590"/>
    <w:rsid w:val="00DA623D"/>
    <w:rsid w:val="00DB4C53"/>
    <w:rsid w:val="00DC15F5"/>
    <w:rsid w:val="00DC20D4"/>
    <w:rsid w:val="00DC3395"/>
    <w:rsid w:val="00DC3F7B"/>
    <w:rsid w:val="00DC4374"/>
    <w:rsid w:val="00DC4821"/>
    <w:rsid w:val="00DD3474"/>
    <w:rsid w:val="00DD44D1"/>
    <w:rsid w:val="00DD695B"/>
    <w:rsid w:val="00DE3941"/>
    <w:rsid w:val="00DE3D73"/>
    <w:rsid w:val="00DE7EEA"/>
    <w:rsid w:val="00DF57AC"/>
    <w:rsid w:val="00DF5E82"/>
    <w:rsid w:val="00DF7CF5"/>
    <w:rsid w:val="00E01B49"/>
    <w:rsid w:val="00E02101"/>
    <w:rsid w:val="00E02B2C"/>
    <w:rsid w:val="00E035A7"/>
    <w:rsid w:val="00E03A8A"/>
    <w:rsid w:val="00E05B3F"/>
    <w:rsid w:val="00E11913"/>
    <w:rsid w:val="00E13A79"/>
    <w:rsid w:val="00E1417D"/>
    <w:rsid w:val="00E15173"/>
    <w:rsid w:val="00E151AA"/>
    <w:rsid w:val="00E20475"/>
    <w:rsid w:val="00E21C8A"/>
    <w:rsid w:val="00E24D13"/>
    <w:rsid w:val="00E27A4C"/>
    <w:rsid w:val="00E27CE1"/>
    <w:rsid w:val="00E3127C"/>
    <w:rsid w:val="00E33C8E"/>
    <w:rsid w:val="00E352B9"/>
    <w:rsid w:val="00E3673D"/>
    <w:rsid w:val="00E40FF6"/>
    <w:rsid w:val="00E41CB3"/>
    <w:rsid w:val="00E43CBB"/>
    <w:rsid w:val="00E44693"/>
    <w:rsid w:val="00E500A5"/>
    <w:rsid w:val="00E525D9"/>
    <w:rsid w:val="00E55A62"/>
    <w:rsid w:val="00E56B0F"/>
    <w:rsid w:val="00E60A82"/>
    <w:rsid w:val="00E61CA2"/>
    <w:rsid w:val="00E63B9B"/>
    <w:rsid w:val="00E64B7F"/>
    <w:rsid w:val="00E6514E"/>
    <w:rsid w:val="00E65C57"/>
    <w:rsid w:val="00E662FF"/>
    <w:rsid w:val="00E66516"/>
    <w:rsid w:val="00E66C4B"/>
    <w:rsid w:val="00E70F48"/>
    <w:rsid w:val="00E719C4"/>
    <w:rsid w:val="00E72E57"/>
    <w:rsid w:val="00E73417"/>
    <w:rsid w:val="00E77960"/>
    <w:rsid w:val="00E81591"/>
    <w:rsid w:val="00E81B6C"/>
    <w:rsid w:val="00E828BF"/>
    <w:rsid w:val="00E84BF6"/>
    <w:rsid w:val="00E911EA"/>
    <w:rsid w:val="00E913EE"/>
    <w:rsid w:val="00E932DD"/>
    <w:rsid w:val="00E96831"/>
    <w:rsid w:val="00EA4733"/>
    <w:rsid w:val="00EA5E1C"/>
    <w:rsid w:val="00EB0375"/>
    <w:rsid w:val="00EB1D08"/>
    <w:rsid w:val="00EB1E9F"/>
    <w:rsid w:val="00EB31FC"/>
    <w:rsid w:val="00EB4EC6"/>
    <w:rsid w:val="00EC0AF4"/>
    <w:rsid w:val="00EC21CC"/>
    <w:rsid w:val="00EC4006"/>
    <w:rsid w:val="00EC42C6"/>
    <w:rsid w:val="00EC685B"/>
    <w:rsid w:val="00ED3F52"/>
    <w:rsid w:val="00ED4E9B"/>
    <w:rsid w:val="00ED6FEF"/>
    <w:rsid w:val="00ED7711"/>
    <w:rsid w:val="00EE082A"/>
    <w:rsid w:val="00EE0A32"/>
    <w:rsid w:val="00EE1F2F"/>
    <w:rsid w:val="00EE57B7"/>
    <w:rsid w:val="00EE5A6D"/>
    <w:rsid w:val="00EF49FC"/>
    <w:rsid w:val="00EF70C1"/>
    <w:rsid w:val="00F0702B"/>
    <w:rsid w:val="00F12FFE"/>
    <w:rsid w:val="00F14BD2"/>
    <w:rsid w:val="00F15900"/>
    <w:rsid w:val="00F161C8"/>
    <w:rsid w:val="00F21CC5"/>
    <w:rsid w:val="00F22F22"/>
    <w:rsid w:val="00F25FE0"/>
    <w:rsid w:val="00F27029"/>
    <w:rsid w:val="00F35A67"/>
    <w:rsid w:val="00F4116E"/>
    <w:rsid w:val="00F43758"/>
    <w:rsid w:val="00F4472E"/>
    <w:rsid w:val="00F50B29"/>
    <w:rsid w:val="00F5107E"/>
    <w:rsid w:val="00F53855"/>
    <w:rsid w:val="00F63250"/>
    <w:rsid w:val="00F6480D"/>
    <w:rsid w:val="00F65F58"/>
    <w:rsid w:val="00F70963"/>
    <w:rsid w:val="00F71387"/>
    <w:rsid w:val="00F71723"/>
    <w:rsid w:val="00F71FEA"/>
    <w:rsid w:val="00F73566"/>
    <w:rsid w:val="00F735B1"/>
    <w:rsid w:val="00F753EF"/>
    <w:rsid w:val="00F75C0A"/>
    <w:rsid w:val="00F7669C"/>
    <w:rsid w:val="00F77EE8"/>
    <w:rsid w:val="00F77FDE"/>
    <w:rsid w:val="00F81754"/>
    <w:rsid w:val="00F85D90"/>
    <w:rsid w:val="00F86F4E"/>
    <w:rsid w:val="00F9046D"/>
    <w:rsid w:val="00F90516"/>
    <w:rsid w:val="00F90556"/>
    <w:rsid w:val="00F90897"/>
    <w:rsid w:val="00F969CD"/>
    <w:rsid w:val="00F974D9"/>
    <w:rsid w:val="00F97DDA"/>
    <w:rsid w:val="00FA046B"/>
    <w:rsid w:val="00FA25F5"/>
    <w:rsid w:val="00FA5315"/>
    <w:rsid w:val="00FC01F7"/>
    <w:rsid w:val="00FC352C"/>
    <w:rsid w:val="00FD18B0"/>
    <w:rsid w:val="00FD5019"/>
    <w:rsid w:val="00FE1A7E"/>
    <w:rsid w:val="00FE4827"/>
    <w:rsid w:val="00FE48BA"/>
    <w:rsid w:val="00FE6484"/>
    <w:rsid w:val="00FF098B"/>
    <w:rsid w:val="00FF22EB"/>
    <w:rsid w:val="00FF3AAC"/>
    <w:rsid w:val="00FF3FA4"/>
    <w:rsid w:val="00FF4D1B"/>
    <w:rsid w:val="00FF6686"/>
    <w:rsid w:val="00FF6822"/>
    <w:rsid w:val="00FF7A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D70602-4560-4C88-B38F-A3A2AE7B0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D01"/>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סגנון4"/>
    <w:basedOn w:val="a"/>
    <w:qFormat/>
    <w:rsid w:val="006418B2"/>
    <w:pPr>
      <w:numPr>
        <w:numId w:val="8"/>
      </w:numPr>
      <w:tabs>
        <w:tab w:val="left" w:pos="567"/>
        <w:tab w:val="left" w:pos="1134"/>
        <w:tab w:val="left" w:pos="1814"/>
        <w:tab w:val="left" w:pos="2665"/>
      </w:tabs>
      <w:spacing w:line="360" w:lineRule="auto"/>
      <w:contextualSpacing/>
      <w:jc w:val="both"/>
    </w:pPr>
    <w:rPr>
      <w:rFonts w:cs="David"/>
    </w:rPr>
  </w:style>
  <w:style w:type="paragraph" w:customStyle="1" w:styleId="5">
    <w:name w:val="סגנון5"/>
    <w:basedOn w:val="4"/>
    <w:qFormat/>
    <w:rsid w:val="006418B2"/>
    <w:pPr>
      <w:numPr>
        <w:ilvl w:val="1"/>
      </w:numPr>
    </w:pPr>
  </w:style>
  <w:style w:type="paragraph" w:customStyle="1" w:styleId="6">
    <w:name w:val="סגנון6"/>
    <w:basedOn w:val="5"/>
    <w:qFormat/>
    <w:rsid w:val="006418B2"/>
    <w:pPr>
      <w:numPr>
        <w:ilvl w:val="2"/>
      </w:numPr>
      <w:tabs>
        <w:tab w:val="left" w:pos="1871"/>
      </w:tabs>
    </w:pPr>
  </w:style>
  <w:style w:type="paragraph" w:styleId="a3">
    <w:name w:val="header"/>
    <w:basedOn w:val="a"/>
    <w:link w:val="a4"/>
    <w:uiPriority w:val="99"/>
    <w:unhideWhenUsed/>
    <w:rsid w:val="00AD16FC"/>
    <w:pPr>
      <w:tabs>
        <w:tab w:val="center" w:pos="4153"/>
        <w:tab w:val="right" w:pos="8306"/>
      </w:tabs>
    </w:pPr>
  </w:style>
  <w:style w:type="character" w:customStyle="1" w:styleId="a4">
    <w:name w:val="כותרת עליונה תו"/>
    <w:basedOn w:val="a0"/>
    <w:link w:val="a3"/>
    <w:uiPriority w:val="99"/>
    <w:rsid w:val="00AD16FC"/>
  </w:style>
  <w:style w:type="paragraph" w:styleId="a5">
    <w:name w:val="footer"/>
    <w:basedOn w:val="a"/>
    <w:link w:val="a6"/>
    <w:uiPriority w:val="99"/>
    <w:unhideWhenUsed/>
    <w:rsid w:val="00AD16FC"/>
    <w:pPr>
      <w:tabs>
        <w:tab w:val="center" w:pos="4153"/>
        <w:tab w:val="right" w:pos="8306"/>
      </w:tabs>
    </w:pPr>
  </w:style>
  <w:style w:type="character" w:customStyle="1" w:styleId="a6">
    <w:name w:val="כותרת תחתונה תו"/>
    <w:basedOn w:val="a0"/>
    <w:link w:val="a5"/>
    <w:uiPriority w:val="99"/>
    <w:rsid w:val="00AD16FC"/>
  </w:style>
  <w:style w:type="table" w:styleId="a7">
    <w:name w:val="Table Grid"/>
    <w:basedOn w:val="a1"/>
    <w:uiPriority w:val="59"/>
    <w:rsid w:val="00AD16FC"/>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D16FC"/>
    <w:rPr>
      <w:rFonts w:ascii="Tahoma" w:hAnsi="Tahoma" w:cs="Tahoma"/>
      <w:sz w:val="16"/>
      <w:szCs w:val="16"/>
    </w:rPr>
  </w:style>
  <w:style w:type="character" w:customStyle="1" w:styleId="a9">
    <w:name w:val="טקסט בלונים תו"/>
    <w:basedOn w:val="a0"/>
    <w:link w:val="a8"/>
    <w:uiPriority w:val="99"/>
    <w:semiHidden/>
    <w:rsid w:val="00AD16FC"/>
    <w:rPr>
      <w:rFonts w:ascii="Tahoma" w:hAnsi="Tahoma" w:cs="Tahoma"/>
      <w:sz w:val="16"/>
      <w:szCs w:val="16"/>
    </w:rPr>
  </w:style>
  <w:style w:type="paragraph" w:styleId="aa">
    <w:name w:val="footnote text"/>
    <w:basedOn w:val="a"/>
    <w:link w:val="ab"/>
    <w:uiPriority w:val="99"/>
    <w:semiHidden/>
    <w:rsid w:val="00A21D01"/>
    <w:rPr>
      <w:sz w:val="20"/>
      <w:szCs w:val="20"/>
    </w:rPr>
  </w:style>
  <w:style w:type="character" w:customStyle="1" w:styleId="ab">
    <w:name w:val="טקסט הערת שוליים תו"/>
    <w:basedOn w:val="a0"/>
    <w:link w:val="aa"/>
    <w:uiPriority w:val="99"/>
    <w:semiHidden/>
    <w:rsid w:val="00A21D01"/>
    <w:rPr>
      <w:rFonts w:ascii="Times New Roman" w:eastAsia="Times New Roman" w:hAnsi="Times New Roman" w:cs="Times New Roman"/>
      <w:sz w:val="20"/>
      <w:szCs w:val="20"/>
    </w:rPr>
  </w:style>
  <w:style w:type="character" w:styleId="ac">
    <w:name w:val="footnote reference"/>
    <w:basedOn w:val="a0"/>
    <w:uiPriority w:val="99"/>
    <w:semiHidden/>
    <w:rsid w:val="00A21D01"/>
    <w:rPr>
      <w:rFonts w:cs="Times New Roman"/>
      <w:vertAlign w:val="superscript"/>
    </w:rPr>
  </w:style>
  <w:style w:type="character" w:styleId="ad">
    <w:name w:val="annotation reference"/>
    <w:basedOn w:val="a0"/>
    <w:uiPriority w:val="99"/>
    <w:semiHidden/>
    <w:unhideWhenUsed/>
    <w:rsid w:val="00BF2375"/>
    <w:rPr>
      <w:sz w:val="16"/>
      <w:szCs w:val="16"/>
    </w:rPr>
  </w:style>
  <w:style w:type="paragraph" w:styleId="ae">
    <w:name w:val="annotation text"/>
    <w:basedOn w:val="a"/>
    <w:link w:val="af"/>
    <w:uiPriority w:val="99"/>
    <w:semiHidden/>
    <w:unhideWhenUsed/>
    <w:rsid w:val="00BF2375"/>
    <w:rPr>
      <w:sz w:val="20"/>
      <w:szCs w:val="20"/>
    </w:rPr>
  </w:style>
  <w:style w:type="character" w:customStyle="1" w:styleId="af">
    <w:name w:val="טקסט הערה תו"/>
    <w:basedOn w:val="a0"/>
    <w:link w:val="ae"/>
    <w:uiPriority w:val="99"/>
    <w:semiHidden/>
    <w:rsid w:val="00BF2375"/>
    <w:rPr>
      <w:rFonts w:ascii="Times New Roman" w:eastAsia="Times New Roman" w:hAnsi="Times New Roman" w:cs="Times New Roman"/>
      <w:sz w:val="20"/>
      <w:szCs w:val="20"/>
    </w:rPr>
  </w:style>
  <w:style w:type="paragraph" w:styleId="af0">
    <w:name w:val="annotation subject"/>
    <w:basedOn w:val="ae"/>
    <w:next w:val="ae"/>
    <w:link w:val="af1"/>
    <w:uiPriority w:val="99"/>
    <w:semiHidden/>
    <w:unhideWhenUsed/>
    <w:rsid w:val="00BF2375"/>
    <w:rPr>
      <w:b/>
      <w:bCs/>
    </w:rPr>
  </w:style>
  <w:style w:type="character" w:customStyle="1" w:styleId="af1">
    <w:name w:val="נושא הערה תו"/>
    <w:basedOn w:val="af"/>
    <w:link w:val="af0"/>
    <w:uiPriority w:val="99"/>
    <w:semiHidden/>
    <w:rsid w:val="00BF2375"/>
    <w:rPr>
      <w:rFonts w:ascii="Times New Roman" w:eastAsia="Times New Roman" w:hAnsi="Times New Roman" w:cs="Times New Roman"/>
      <w:b/>
      <w:bCs/>
      <w:sz w:val="20"/>
      <w:szCs w:val="20"/>
    </w:rPr>
  </w:style>
  <w:style w:type="paragraph" w:styleId="af2">
    <w:name w:val="Revision"/>
    <w:hidden/>
    <w:uiPriority w:val="99"/>
    <w:semiHidden/>
    <w:rsid w:val="00BE7EE2"/>
    <w:pPr>
      <w:spacing w:after="0" w:line="240" w:lineRule="auto"/>
    </w:pPr>
    <w:rPr>
      <w:rFonts w:ascii="Times New Roman" w:eastAsia="Times New Roman" w:hAnsi="Times New Roman" w:cs="Times New Roman"/>
      <w:sz w:val="24"/>
      <w:szCs w:val="24"/>
    </w:rPr>
  </w:style>
  <w:style w:type="paragraph" w:styleId="af3">
    <w:name w:val="List Paragraph"/>
    <w:basedOn w:val="a"/>
    <w:uiPriority w:val="34"/>
    <w:qFormat/>
    <w:rsid w:val="00136000"/>
    <w:pPr>
      <w:ind w:left="720"/>
      <w:contextualSpacing/>
    </w:pPr>
  </w:style>
  <w:style w:type="paragraph" w:customStyle="1" w:styleId="Tablenc">
    <w:name w:val="Table_nc"/>
    <w:basedOn w:val="a"/>
    <w:link w:val="TablencChar"/>
    <w:qFormat/>
    <w:rsid w:val="001D21D1"/>
    <w:pPr>
      <w:ind w:left="113"/>
      <w:jc w:val="both"/>
    </w:pPr>
    <w:rPr>
      <w:rFonts w:asciiTheme="minorHAnsi" w:eastAsiaTheme="minorHAnsi" w:hAnsiTheme="minorHAnsi" w:cstheme="minorBidi"/>
      <w:sz w:val="20"/>
      <w:szCs w:val="20"/>
    </w:rPr>
  </w:style>
  <w:style w:type="character" w:customStyle="1" w:styleId="TablencChar">
    <w:name w:val="Table_nc Char"/>
    <w:basedOn w:val="a0"/>
    <w:link w:val="Tablenc"/>
    <w:rsid w:val="001D21D1"/>
    <w:rPr>
      <w:sz w:val="20"/>
      <w:szCs w:val="20"/>
    </w:rPr>
  </w:style>
  <w:style w:type="paragraph" w:customStyle="1" w:styleId="LetterheadBOI">
    <w:name w:val="Letterhead BOI"/>
    <w:basedOn w:val="a"/>
    <w:link w:val="LetterheadBOIChar"/>
    <w:qFormat/>
    <w:rsid w:val="00B44B19"/>
    <w:pPr>
      <w:bidi w:val="0"/>
      <w:spacing w:line="300" w:lineRule="atLeast"/>
      <w:jc w:val="center"/>
    </w:pPr>
    <w:rPr>
      <w:rFonts w:cs="David"/>
      <w:b/>
    </w:rPr>
  </w:style>
  <w:style w:type="paragraph" w:customStyle="1" w:styleId="Letterhead2">
    <w:name w:val="Letterhead 2"/>
    <w:basedOn w:val="a"/>
    <w:link w:val="Letterhead2Char"/>
    <w:qFormat/>
    <w:rsid w:val="00B44B19"/>
    <w:pPr>
      <w:bidi w:val="0"/>
      <w:spacing w:line="300" w:lineRule="atLeast"/>
      <w:jc w:val="center"/>
    </w:pPr>
    <w:rPr>
      <w:sz w:val="26"/>
      <w:szCs w:val="26"/>
    </w:rPr>
  </w:style>
  <w:style w:type="character" w:customStyle="1" w:styleId="LetterheadBOIChar">
    <w:name w:val="Letterhead BOI Char"/>
    <w:basedOn w:val="a0"/>
    <w:link w:val="LetterheadBOI"/>
    <w:rsid w:val="00B44B19"/>
    <w:rPr>
      <w:rFonts w:ascii="Times New Roman" w:eastAsia="Times New Roman" w:hAnsi="Times New Roman" w:cs="David"/>
      <w:b/>
      <w:sz w:val="24"/>
      <w:szCs w:val="24"/>
    </w:rPr>
  </w:style>
  <w:style w:type="character" w:customStyle="1" w:styleId="Letterhead2Char">
    <w:name w:val="Letterhead 2 Char"/>
    <w:basedOn w:val="a0"/>
    <w:link w:val="Letterhead2"/>
    <w:rsid w:val="00B44B19"/>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461002">
      <w:bodyDiv w:val="1"/>
      <w:marLeft w:val="0"/>
      <w:marRight w:val="0"/>
      <w:marTop w:val="0"/>
      <w:marBottom w:val="0"/>
      <w:divBdr>
        <w:top w:val="none" w:sz="0" w:space="0" w:color="auto"/>
        <w:left w:val="none" w:sz="0" w:space="0" w:color="auto"/>
        <w:bottom w:val="none" w:sz="0" w:space="0" w:color="auto"/>
        <w:right w:val="none" w:sz="0" w:space="0" w:color="auto"/>
      </w:divBdr>
    </w:div>
    <w:div w:id="169634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eec667c192e179fa3ca9d2ff5e61b8e9">
  <xsd:schema xmlns:xsd="http://www.w3.org/2001/XMLSchema" xmlns:xs="http://www.w3.org/2001/XMLSchema" xmlns:p="http://schemas.microsoft.com/office/2006/metadata/properties" xmlns:ns1="http://schemas.microsoft.com/sharepoint/v3" targetNamespace="http://schemas.microsoft.com/office/2006/metadata/properties" ma:root="true" ma:fieldsID="746174814a43a1a05660744d66829a9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WaveListOrderValue xmlns="http://schemas.microsoft.com/sharepoint/v3" xsi:nil="true"/>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48E4F78-4ADB-41F4-A694-4EA04E6865D5}">
  <ds:schemaRefs>
    <ds:schemaRef ds:uri="http://schemas.microsoft.com/sharepoint/v3/contenttype/forms"/>
  </ds:schemaRefs>
</ds:datastoreItem>
</file>

<file path=customXml/itemProps2.xml><?xml version="1.0" encoding="utf-8"?>
<ds:datastoreItem xmlns:ds="http://schemas.openxmlformats.org/officeDocument/2006/customXml" ds:itemID="{2EA32405-AFA6-4CB9-BBAF-433B329A7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C57AAB-9898-4DE2-BDAA-17A292961A9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D653CFD-5909-406F-88BF-0611B77E7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4594</Words>
  <Characters>22972</Characters>
  <Application>Microsoft Office Word</Application>
  <DocSecurity>0</DocSecurity>
  <Lines>191</Lines>
  <Paragraphs>55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BOI</Company>
  <LinksUpToDate>false</LinksUpToDate>
  <CharactersWithSpaces>27511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לירון דהן</cp:lastModifiedBy>
  <cp:revision>4</cp:revision>
  <cp:lastPrinted>2018-07-08T13:15:00Z</cp:lastPrinted>
  <dcterms:created xsi:type="dcterms:W3CDTF">2023-04-03T12:39:00Z</dcterms:created>
  <dcterms:modified xsi:type="dcterms:W3CDTF">2023-04-03T12:39:00Z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