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8520" w:type="dxa"/>
        <w:tblLayout w:type="fixed"/>
        <w:tblLook w:val="0000" w:firstRow="0" w:lastRow="0" w:firstColumn="0" w:lastColumn="0" w:noHBand="0" w:noVBand="0"/>
      </w:tblPr>
      <w:tblGrid>
        <w:gridCol w:w="2840"/>
        <w:gridCol w:w="2596"/>
        <w:gridCol w:w="3084"/>
      </w:tblGrid>
      <w:tr w:rsidR="00B16972" w:rsidRPr="008B3423" w:rsidTr="008B3423">
        <w:tc>
          <w:tcPr>
            <w:tcW w:w="2840" w:type="dxa"/>
            <w:tcBorders>
              <w:top w:val="nil"/>
              <w:left w:val="nil"/>
              <w:bottom w:val="nil"/>
              <w:right w:val="nil"/>
            </w:tcBorders>
            <w:vAlign w:val="center"/>
          </w:tcPr>
          <w:p w:rsidR="00B16972" w:rsidRPr="008B3423" w:rsidRDefault="00B16972" w:rsidP="008B3423">
            <w:pPr>
              <w:spacing w:line="360" w:lineRule="auto"/>
              <w:rPr>
                <w:rFonts w:ascii="David" w:hAnsi="David" w:cs="David"/>
                <w:b/>
                <w:bCs/>
                <w:sz w:val="24"/>
                <w:szCs w:val="24"/>
              </w:rPr>
            </w:pPr>
            <w:bookmarkStart w:id="0" w:name="_GoBack"/>
            <w:bookmarkEnd w:id="0"/>
            <w:r w:rsidRPr="008B3423">
              <w:rPr>
                <w:rFonts w:ascii="David" w:hAnsi="David" w:cs="David"/>
                <w:b/>
                <w:bCs/>
                <w:sz w:val="24"/>
                <w:szCs w:val="24"/>
                <w:rtl/>
              </w:rPr>
              <w:t>בנק ישראל</w:t>
            </w:r>
          </w:p>
          <w:p w:rsidR="00B16972" w:rsidRPr="008B3423" w:rsidRDefault="00B16972" w:rsidP="008B3423">
            <w:pPr>
              <w:spacing w:line="360" w:lineRule="auto"/>
              <w:ind w:right="-101"/>
              <w:rPr>
                <w:rFonts w:ascii="David" w:hAnsi="David" w:cs="David"/>
                <w:sz w:val="24"/>
                <w:szCs w:val="24"/>
              </w:rPr>
            </w:pPr>
            <w:r w:rsidRPr="008B3423">
              <w:rPr>
                <w:rFonts w:ascii="David" w:hAnsi="David" w:cs="David"/>
                <w:sz w:val="24"/>
                <w:szCs w:val="24"/>
                <w:rtl/>
              </w:rPr>
              <w:t>דוברות והסברה כלכלית</w:t>
            </w:r>
          </w:p>
        </w:tc>
        <w:tc>
          <w:tcPr>
            <w:tcW w:w="2596" w:type="dxa"/>
            <w:tcBorders>
              <w:top w:val="nil"/>
              <w:left w:val="nil"/>
              <w:bottom w:val="nil"/>
              <w:right w:val="nil"/>
            </w:tcBorders>
          </w:tcPr>
          <w:p w:rsidR="00B16972" w:rsidRPr="008B3423" w:rsidRDefault="0047079B" w:rsidP="008B3423">
            <w:pPr>
              <w:jc w:val="center"/>
              <w:rPr>
                <w:rFonts w:ascii="David" w:hAnsi="David" w:cs="David"/>
                <w:sz w:val="24"/>
                <w:szCs w:val="24"/>
              </w:rPr>
            </w:pPr>
            <w:r w:rsidRPr="008B3423">
              <w:rPr>
                <w:rFonts w:ascii="David" w:hAnsi="David" w:cs="David"/>
                <w:noProof/>
                <w:sz w:val="24"/>
                <w:szCs w:val="24"/>
              </w:rPr>
              <w:drawing>
                <wp:inline distT="0" distB="0" distL="0" distR="0" wp14:anchorId="2A773405" wp14:editId="1E2CA9B1">
                  <wp:extent cx="672849" cy="672849"/>
                  <wp:effectExtent l="0" t="0" r="0" b="0"/>
                  <wp:docPr id="1" name="תמונה 1" descr="C:\Users\U240\AppData\Local\Microsoft\Windows\INetCache\Content.Word\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40\AppData\Local\Microsoft\Windows\INetCache\Content.Word\Logo Bank of Israel 2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04" cy="679404"/>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B16972" w:rsidRPr="008B3423" w:rsidRDefault="00B16972" w:rsidP="008B3423">
            <w:pPr>
              <w:spacing w:line="480" w:lineRule="auto"/>
              <w:jc w:val="right"/>
              <w:rPr>
                <w:rFonts w:ascii="David" w:hAnsi="David" w:cs="David"/>
                <w:sz w:val="24"/>
                <w:szCs w:val="24"/>
              </w:rPr>
            </w:pPr>
            <w:r w:rsidRPr="008B3423">
              <w:rPr>
                <w:rFonts w:ascii="David" w:hAnsi="David" w:cs="David"/>
                <w:sz w:val="24"/>
                <w:szCs w:val="24"/>
                <w:rtl/>
              </w:rPr>
              <w:t xml:space="preserve">‏ירושלים, </w:t>
            </w:r>
            <w:r w:rsidR="00BF0816" w:rsidRPr="008B3423">
              <w:rPr>
                <w:rFonts w:ascii="David" w:hAnsi="David" w:cs="David"/>
                <w:sz w:val="24"/>
                <w:szCs w:val="24"/>
                <w:rtl/>
              </w:rPr>
              <w:t>‏י"ב אב, תשפ"ב</w:t>
            </w:r>
          </w:p>
          <w:p w:rsidR="00B16972" w:rsidRPr="008B3423" w:rsidRDefault="00B16972" w:rsidP="008B3423">
            <w:pPr>
              <w:spacing w:line="480" w:lineRule="auto"/>
              <w:jc w:val="right"/>
              <w:rPr>
                <w:rFonts w:ascii="David" w:hAnsi="David" w:cs="David"/>
                <w:sz w:val="24"/>
                <w:szCs w:val="24"/>
              </w:rPr>
            </w:pPr>
            <w:r w:rsidRPr="008B3423">
              <w:rPr>
                <w:rFonts w:ascii="David" w:hAnsi="David" w:cs="David"/>
                <w:sz w:val="24"/>
                <w:szCs w:val="24"/>
                <w:rtl/>
              </w:rPr>
              <w:t>‏‏</w:t>
            </w:r>
            <w:r w:rsidR="00AC14D1" w:rsidRPr="008B3423">
              <w:rPr>
                <w:rFonts w:ascii="David" w:hAnsi="David" w:cs="David"/>
                <w:sz w:val="24"/>
                <w:szCs w:val="24"/>
                <w:rtl/>
              </w:rPr>
              <w:t>09</w:t>
            </w:r>
            <w:r w:rsidRPr="008B3423">
              <w:rPr>
                <w:rFonts w:ascii="David" w:hAnsi="David" w:cs="David"/>
                <w:sz w:val="24"/>
                <w:szCs w:val="24"/>
                <w:rtl/>
              </w:rPr>
              <w:t xml:space="preserve"> </w:t>
            </w:r>
            <w:r w:rsidR="00AC14D1" w:rsidRPr="008B3423">
              <w:rPr>
                <w:rFonts w:ascii="David" w:hAnsi="David" w:cs="David"/>
                <w:sz w:val="24"/>
                <w:szCs w:val="24"/>
                <w:rtl/>
              </w:rPr>
              <w:t>באוגוסט</w:t>
            </w:r>
            <w:r w:rsidRPr="008B3423">
              <w:rPr>
                <w:rFonts w:ascii="David" w:hAnsi="David" w:cs="David"/>
                <w:sz w:val="24"/>
                <w:szCs w:val="24"/>
                <w:rtl/>
              </w:rPr>
              <w:t xml:space="preserve"> 2022</w:t>
            </w:r>
          </w:p>
        </w:tc>
      </w:tr>
    </w:tbl>
    <w:p w:rsidR="008B3423" w:rsidRDefault="008B3423" w:rsidP="00B16972">
      <w:pPr>
        <w:spacing w:line="360" w:lineRule="auto"/>
        <w:ind w:right="-101"/>
        <w:rPr>
          <w:rFonts w:ascii="David" w:hAnsi="David" w:cs="David"/>
          <w:sz w:val="24"/>
          <w:szCs w:val="24"/>
          <w:rtl/>
        </w:rPr>
      </w:pPr>
    </w:p>
    <w:p w:rsidR="008B3423" w:rsidRDefault="008B3423" w:rsidP="00B16972">
      <w:pPr>
        <w:spacing w:line="360" w:lineRule="auto"/>
        <w:ind w:right="-101"/>
        <w:rPr>
          <w:rFonts w:ascii="David" w:hAnsi="David" w:cs="David"/>
          <w:sz w:val="24"/>
          <w:szCs w:val="24"/>
          <w:rtl/>
        </w:rPr>
      </w:pPr>
    </w:p>
    <w:p w:rsidR="00B16972" w:rsidRPr="008B3423" w:rsidRDefault="00B16972" w:rsidP="00B16972">
      <w:pPr>
        <w:spacing w:line="360" w:lineRule="auto"/>
        <w:ind w:right="-101"/>
        <w:rPr>
          <w:rFonts w:ascii="David" w:hAnsi="David" w:cs="David"/>
          <w:sz w:val="24"/>
          <w:szCs w:val="24"/>
        </w:rPr>
      </w:pPr>
      <w:r w:rsidRPr="008B3423">
        <w:rPr>
          <w:rFonts w:ascii="David" w:hAnsi="David" w:cs="David"/>
          <w:sz w:val="24"/>
          <w:szCs w:val="24"/>
          <w:rtl/>
        </w:rPr>
        <w:t>הודעה לעיתונות:</w:t>
      </w:r>
    </w:p>
    <w:p w:rsidR="00B16972" w:rsidRPr="008B3423" w:rsidRDefault="005460FA" w:rsidP="005460FA">
      <w:pPr>
        <w:spacing w:line="360" w:lineRule="auto"/>
        <w:jc w:val="center"/>
        <w:rPr>
          <w:rFonts w:ascii="David" w:hAnsi="David" w:cs="David"/>
          <w:b/>
          <w:bCs/>
          <w:sz w:val="28"/>
          <w:szCs w:val="28"/>
          <w:rtl/>
        </w:rPr>
      </w:pPr>
      <w:r w:rsidRPr="008B3423">
        <w:rPr>
          <w:rFonts w:ascii="David" w:hAnsi="David" w:cs="David"/>
          <w:b/>
          <w:bCs/>
          <w:sz w:val="28"/>
          <w:szCs w:val="28"/>
          <w:rtl/>
        </w:rPr>
        <w:t xml:space="preserve">הכרזה על "פרוטוקול אשראית אי.אם.וי" כמערכת תשלומים מבוקרת </w:t>
      </w:r>
    </w:p>
    <w:p w:rsidR="00E26C6E" w:rsidRPr="008B3423" w:rsidRDefault="00E26C6E" w:rsidP="00E26C6E">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sz w:val="24"/>
          <w:szCs w:val="24"/>
          <w:rtl/>
        </w:rPr>
        <w:t>נגיד בנק ישראל הכריז על מערכת "פרוטוקול אשראית אי.אם.וי" המופעלת על ידי העמותה לניהול פרוטוקול מסופי אם.אי.וי בישראל (ע"ר) כעל מערכת מבוקרת לפי חוק מערכות תשלומים, התשס"ח – 2008.</w:t>
      </w:r>
    </w:p>
    <w:p w:rsidR="00E26C6E" w:rsidRPr="008B3423" w:rsidRDefault="00E26C6E" w:rsidP="00E26C6E">
      <w:pPr>
        <w:autoSpaceDE w:val="0"/>
        <w:autoSpaceDN w:val="0"/>
        <w:adjustRightInd w:val="0"/>
        <w:spacing w:after="0" w:line="360" w:lineRule="auto"/>
        <w:contextualSpacing/>
        <w:jc w:val="both"/>
        <w:rPr>
          <w:rFonts w:ascii="David" w:hAnsi="David" w:cs="David"/>
          <w:sz w:val="24"/>
          <w:szCs w:val="24"/>
          <w:rtl/>
        </w:rPr>
      </w:pPr>
    </w:p>
    <w:p w:rsidR="00066F85" w:rsidRPr="008B3423" w:rsidRDefault="00066F85" w:rsidP="00FE15F6">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sz w:val="24"/>
          <w:szCs w:val="24"/>
          <w:rtl/>
        </w:rPr>
        <w:t>פרוטוקול אי.אם. וי מהווה את שער הכניסה לעולם כרטיסי החיוב בישראל עבור מגוון השחקנים בשוק, בנקאיים וחוץ בנקאיים</w:t>
      </w:r>
      <w:r w:rsidR="00FE15F6" w:rsidRPr="008B3423">
        <w:rPr>
          <w:rFonts w:ascii="David" w:hAnsi="David" w:cs="David"/>
          <w:sz w:val="24"/>
          <w:szCs w:val="24"/>
          <w:rtl/>
        </w:rPr>
        <w:t>,</w:t>
      </w:r>
      <w:r w:rsidRPr="008B3423">
        <w:rPr>
          <w:rFonts w:ascii="David" w:hAnsi="David" w:cs="David"/>
          <w:sz w:val="24"/>
          <w:szCs w:val="24"/>
          <w:rtl/>
        </w:rPr>
        <w:t xml:space="preserve"> וב</w:t>
      </w:r>
      <w:r w:rsidR="00FE15F6" w:rsidRPr="008B3423">
        <w:rPr>
          <w:rFonts w:ascii="David" w:hAnsi="David" w:cs="David"/>
          <w:sz w:val="24"/>
          <w:szCs w:val="24"/>
          <w:rtl/>
        </w:rPr>
        <w:t>י</w:t>
      </w:r>
      <w:r w:rsidRPr="008B3423">
        <w:rPr>
          <w:rFonts w:ascii="David" w:hAnsi="David" w:cs="David"/>
          <w:sz w:val="24"/>
          <w:szCs w:val="24"/>
          <w:rtl/>
        </w:rPr>
        <w:t xml:space="preserve">ניהם: יצרנים, מאגדים, חברות </w:t>
      </w:r>
      <w:r w:rsidR="00B01594" w:rsidRPr="008B3423">
        <w:rPr>
          <w:rFonts w:ascii="David" w:hAnsi="David" w:cs="David"/>
          <w:sz w:val="24"/>
          <w:szCs w:val="24"/>
        </w:rPr>
        <w:t>gate-way</w:t>
      </w:r>
      <w:r w:rsidRPr="008B3423">
        <w:rPr>
          <w:rFonts w:ascii="David" w:hAnsi="David" w:cs="David"/>
          <w:sz w:val="24"/>
          <w:szCs w:val="24"/>
          <w:rtl/>
        </w:rPr>
        <w:t xml:space="preserve">, מתגים ומעבדים. </w:t>
      </w:r>
    </w:p>
    <w:p w:rsidR="00FE15F6" w:rsidRPr="008B3423" w:rsidRDefault="00FE15F6" w:rsidP="00FE15F6">
      <w:pPr>
        <w:autoSpaceDE w:val="0"/>
        <w:autoSpaceDN w:val="0"/>
        <w:adjustRightInd w:val="0"/>
        <w:spacing w:after="0" w:line="360" w:lineRule="auto"/>
        <w:contextualSpacing/>
        <w:jc w:val="both"/>
        <w:rPr>
          <w:rFonts w:ascii="David" w:hAnsi="David" w:cs="David"/>
          <w:sz w:val="24"/>
          <w:szCs w:val="24"/>
          <w:rtl/>
        </w:rPr>
      </w:pPr>
    </w:p>
    <w:p w:rsidR="00FE15F6" w:rsidRPr="008B3423" w:rsidRDefault="00FE15F6" w:rsidP="00FE15F6">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sz w:val="24"/>
          <w:szCs w:val="24"/>
          <w:rtl/>
        </w:rPr>
        <w:t>הפרוטוקול הינו מערכת תשלומים מרכזית במשק אשר קובעת את ההיגיון העסקי והמפרט הטכנולוגי להעברת עסקאות בכרטיסי חיוב בין הגורמים השונים בשרשרת, תוך מתן מענה לצרכים של כלל השחקנים בשוק כרטיסי החיוב. הפרוטוקול כולל אוסף של כללים המגדירים את אופן בקשת הנתונים וקבלתם ואת דרך ההעברה והביצוע של הוראות תשלום בין המשתתפים.</w:t>
      </w:r>
    </w:p>
    <w:p w:rsidR="00242AF9" w:rsidRPr="008B3423" w:rsidRDefault="00242AF9" w:rsidP="00066F85">
      <w:pPr>
        <w:autoSpaceDE w:val="0"/>
        <w:autoSpaceDN w:val="0"/>
        <w:adjustRightInd w:val="0"/>
        <w:spacing w:after="0" w:line="360" w:lineRule="auto"/>
        <w:contextualSpacing/>
        <w:jc w:val="both"/>
        <w:rPr>
          <w:rFonts w:ascii="David" w:hAnsi="David" w:cs="David"/>
          <w:sz w:val="24"/>
          <w:szCs w:val="24"/>
          <w:rtl/>
        </w:rPr>
      </w:pPr>
    </w:p>
    <w:p w:rsidR="00242AF9" w:rsidRPr="008B3423" w:rsidRDefault="00066F85" w:rsidP="00066F85">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sz w:val="24"/>
          <w:szCs w:val="24"/>
          <w:rtl/>
        </w:rPr>
        <w:t>שוק כרטיסי חיוב יעיל, חדשני ומתקדם המותאם לסטנדרטים הבינלאומיים ולצרכי השוק תלוי בפיתוח הפרוטוקול ושכלולו כאשר הפיקוח על פרוטוקול הינו אינטרס של כלל בעלי העניין בשוק כרטיסי החיוב.</w:t>
      </w:r>
      <w:r w:rsidR="00867D2C" w:rsidRPr="008B3423">
        <w:rPr>
          <w:rFonts w:ascii="David" w:hAnsi="David" w:cs="David"/>
          <w:sz w:val="24"/>
          <w:szCs w:val="24"/>
          <w:rtl/>
        </w:rPr>
        <w:t xml:space="preserve"> </w:t>
      </w:r>
    </w:p>
    <w:p w:rsidR="00242AF9" w:rsidRPr="008B3423" w:rsidRDefault="0030306A" w:rsidP="00066F85">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sz w:val="24"/>
          <w:szCs w:val="24"/>
          <w:rtl/>
        </w:rPr>
        <w:t>ההכרזה תאפשר לפקח על המערכת כדי לוודא את יציבותה, יעילותה ופעילותה התקינה</w:t>
      </w:r>
      <w:r w:rsidRPr="008B3423">
        <w:rPr>
          <w:rFonts w:ascii="David" w:hAnsi="David" w:cs="David"/>
          <w:sz w:val="24"/>
          <w:szCs w:val="24"/>
        </w:rPr>
        <w:t>.</w:t>
      </w:r>
      <w:r w:rsidRPr="008B3423">
        <w:rPr>
          <w:rFonts w:ascii="David" w:hAnsi="David" w:cs="David"/>
          <w:sz w:val="24"/>
          <w:szCs w:val="24"/>
          <w:rtl/>
        </w:rPr>
        <w:t xml:space="preserve"> </w:t>
      </w:r>
    </w:p>
    <w:p w:rsidR="0030306A" w:rsidRPr="008B3423" w:rsidRDefault="0030306A" w:rsidP="00066F85">
      <w:pPr>
        <w:autoSpaceDE w:val="0"/>
        <w:autoSpaceDN w:val="0"/>
        <w:adjustRightInd w:val="0"/>
        <w:spacing w:after="0" w:line="360" w:lineRule="auto"/>
        <w:contextualSpacing/>
        <w:jc w:val="both"/>
        <w:rPr>
          <w:rFonts w:ascii="David" w:hAnsi="David" w:cs="David"/>
          <w:sz w:val="24"/>
          <w:szCs w:val="24"/>
          <w:rtl/>
        </w:rPr>
      </w:pPr>
    </w:p>
    <w:p w:rsidR="00066F85" w:rsidRPr="008B3423" w:rsidRDefault="00066F85" w:rsidP="00FE637C">
      <w:pPr>
        <w:autoSpaceDE w:val="0"/>
        <w:autoSpaceDN w:val="0"/>
        <w:adjustRightInd w:val="0"/>
        <w:spacing w:after="0" w:line="360" w:lineRule="auto"/>
        <w:contextualSpacing/>
        <w:jc w:val="both"/>
        <w:rPr>
          <w:rFonts w:ascii="David" w:hAnsi="David" w:cs="David"/>
          <w:sz w:val="24"/>
          <w:szCs w:val="24"/>
          <w:rtl/>
        </w:rPr>
      </w:pPr>
      <w:r w:rsidRPr="008B3423">
        <w:rPr>
          <w:rFonts w:ascii="David" w:hAnsi="David" w:cs="David"/>
          <w:b/>
          <w:bCs/>
          <w:sz w:val="24"/>
          <w:szCs w:val="24"/>
          <w:rtl/>
        </w:rPr>
        <w:t>מר עודד סלומי, מנהל מחלקת תשלומים וסליקה:</w:t>
      </w:r>
      <w:r w:rsidRPr="008B3423">
        <w:rPr>
          <w:rFonts w:ascii="David" w:hAnsi="David" w:cs="David"/>
          <w:sz w:val="24"/>
          <w:szCs w:val="24"/>
          <w:rtl/>
        </w:rPr>
        <w:t xml:space="preserve"> שוק התשלומים בישראל בכלל ושוק כרטיסי החיוב בפרט מצמצם את הפערים אל מול העולם בקצב מואץ. </w:t>
      </w:r>
      <w:r w:rsidR="00B828DF" w:rsidRPr="008B3423">
        <w:rPr>
          <w:rFonts w:ascii="David" w:hAnsi="David" w:cs="David"/>
          <w:sz w:val="24"/>
          <w:szCs w:val="24"/>
          <w:rtl/>
        </w:rPr>
        <w:t xml:space="preserve">ההכרזה על פרוטוקול אי.אם.וי תאפשר </w:t>
      </w:r>
      <w:r w:rsidRPr="008B3423">
        <w:rPr>
          <w:rFonts w:ascii="David" w:hAnsi="David" w:cs="David"/>
          <w:sz w:val="24"/>
          <w:szCs w:val="24"/>
          <w:rtl/>
        </w:rPr>
        <w:t>להמשיך ולקדם את שוק כרטיסי החיוב</w:t>
      </w:r>
      <w:r w:rsidR="00B828DF" w:rsidRPr="008B3423">
        <w:rPr>
          <w:rFonts w:ascii="David" w:hAnsi="David" w:cs="David"/>
          <w:sz w:val="24"/>
          <w:szCs w:val="24"/>
          <w:rtl/>
        </w:rPr>
        <w:t xml:space="preserve"> ולוודא את המשך פעילותו התקינה של שוק כרטיסי החיוב, עמידה בסטנדרטים הבינלאומיים ובצרכי השוק</w:t>
      </w:r>
      <w:r w:rsidR="00E26C6E" w:rsidRPr="008B3423">
        <w:rPr>
          <w:rFonts w:ascii="David" w:hAnsi="David" w:cs="David"/>
          <w:sz w:val="24"/>
          <w:szCs w:val="24"/>
          <w:rtl/>
        </w:rPr>
        <w:t xml:space="preserve"> תוך הקלה על יכולתם של שחקנים נוספים להשתלב בשוק זה</w:t>
      </w:r>
      <w:r w:rsidR="00B828DF" w:rsidRPr="008B3423">
        <w:rPr>
          <w:rFonts w:ascii="David" w:hAnsi="David" w:cs="David"/>
          <w:sz w:val="24"/>
          <w:szCs w:val="24"/>
          <w:rtl/>
        </w:rPr>
        <w:t>.</w:t>
      </w:r>
    </w:p>
    <w:p w:rsidR="00066F85" w:rsidRPr="008B3423" w:rsidRDefault="00066F85" w:rsidP="00EF1586">
      <w:pPr>
        <w:autoSpaceDE w:val="0"/>
        <w:autoSpaceDN w:val="0"/>
        <w:adjustRightInd w:val="0"/>
        <w:spacing w:line="360" w:lineRule="auto"/>
        <w:contextualSpacing/>
        <w:jc w:val="both"/>
        <w:rPr>
          <w:rFonts w:ascii="David" w:hAnsi="David" w:cs="David"/>
          <w:b/>
          <w:bCs/>
          <w:sz w:val="24"/>
          <w:szCs w:val="24"/>
          <w:rtl/>
        </w:rPr>
      </w:pPr>
    </w:p>
    <w:p w:rsidR="00B16972" w:rsidRPr="008B3423" w:rsidRDefault="00B16972" w:rsidP="00B16972">
      <w:pPr>
        <w:autoSpaceDE w:val="0"/>
        <w:autoSpaceDN w:val="0"/>
        <w:adjustRightInd w:val="0"/>
        <w:spacing w:line="360" w:lineRule="auto"/>
        <w:contextualSpacing/>
        <w:jc w:val="both"/>
        <w:rPr>
          <w:rFonts w:ascii="David" w:hAnsi="David" w:cs="David"/>
          <w:b/>
          <w:bCs/>
          <w:sz w:val="24"/>
          <w:szCs w:val="24"/>
          <w:rtl/>
        </w:rPr>
      </w:pPr>
    </w:p>
    <w:p w:rsidR="00B16972" w:rsidRPr="008B3423" w:rsidRDefault="00B16972" w:rsidP="00B16972">
      <w:pPr>
        <w:autoSpaceDE w:val="0"/>
        <w:autoSpaceDN w:val="0"/>
        <w:adjustRightInd w:val="0"/>
        <w:spacing w:line="360" w:lineRule="auto"/>
        <w:contextualSpacing/>
        <w:jc w:val="both"/>
        <w:rPr>
          <w:rFonts w:ascii="David" w:hAnsi="David" w:cs="David"/>
          <w:sz w:val="24"/>
          <w:szCs w:val="24"/>
          <w:rtl/>
        </w:rPr>
      </w:pPr>
    </w:p>
    <w:p w:rsidR="00B16972" w:rsidRPr="008B3423" w:rsidRDefault="00B16972" w:rsidP="00B16972">
      <w:pPr>
        <w:autoSpaceDE w:val="0"/>
        <w:autoSpaceDN w:val="0"/>
        <w:adjustRightInd w:val="0"/>
        <w:spacing w:line="360" w:lineRule="auto"/>
        <w:contextualSpacing/>
        <w:jc w:val="both"/>
        <w:rPr>
          <w:rFonts w:ascii="David" w:hAnsi="David" w:cs="David"/>
          <w:b/>
          <w:bCs/>
          <w:sz w:val="24"/>
          <w:szCs w:val="24"/>
        </w:rPr>
      </w:pPr>
    </w:p>
    <w:p w:rsidR="00960DFB" w:rsidRPr="008B3423" w:rsidRDefault="00960DFB" w:rsidP="003A7F34">
      <w:pPr>
        <w:rPr>
          <w:rFonts w:ascii="David" w:hAnsi="David" w:cs="David"/>
          <w:sz w:val="24"/>
          <w:szCs w:val="24"/>
          <w:rtl/>
        </w:rPr>
      </w:pPr>
    </w:p>
    <w:p w:rsidR="003A7F34" w:rsidRPr="00960DFB" w:rsidRDefault="00FE15F6" w:rsidP="003A7F34">
      <w:pPr>
        <w:rPr>
          <w:rFonts w:asciiTheme="minorBidi" w:hAnsiTheme="minorBidi" w:cs="David"/>
          <w:sz w:val="24"/>
          <w:szCs w:val="24"/>
          <w:rtl/>
        </w:rPr>
      </w:pPr>
      <w:r>
        <w:rPr>
          <w:noProof/>
        </w:rPr>
        <w:lastRenderedPageBreak/>
        <w:drawing>
          <wp:inline distT="0" distB="0" distL="0" distR="0" wp14:anchorId="76874DDC" wp14:editId="6B15393B">
            <wp:extent cx="5903491" cy="4387755"/>
            <wp:effectExtent l="0" t="0" r="2540" b="0"/>
            <wp:docPr id="3" name="תמונה 3" descr="cid:image001.png@01D8AB43.DC649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id:image001.png@01D8AB43.DC649F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13590" cy="4395261"/>
                    </a:xfrm>
                    <a:prstGeom prst="rect">
                      <a:avLst/>
                    </a:prstGeom>
                    <a:noFill/>
                    <a:ln>
                      <a:noFill/>
                    </a:ln>
                  </pic:spPr>
                </pic:pic>
              </a:graphicData>
            </a:graphic>
          </wp:inline>
        </w:drawing>
      </w:r>
    </w:p>
    <w:sectPr w:rsidR="003A7F34" w:rsidRPr="00960DFB" w:rsidSect="0008161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77" w:rsidRDefault="00E85E77" w:rsidP="003A7F34">
      <w:pPr>
        <w:spacing w:after="0" w:line="240" w:lineRule="auto"/>
      </w:pPr>
      <w:r>
        <w:separator/>
      </w:r>
    </w:p>
  </w:endnote>
  <w:endnote w:type="continuationSeparator" w:id="0">
    <w:p w:rsidR="00E85E77" w:rsidRDefault="00E85E77"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F9" w:rsidRPr="00EB38F9" w:rsidRDefault="00EB38F9" w:rsidP="00835FAC">
    <w:pPr>
      <w:pStyle w:val="a5"/>
      <w:tabs>
        <w:tab w:val="clear" w:pos="8306"/>
        <w:tab w:val="right" w:pos="9015"/>
      </w:tabs>
      <w:ind w:left="-483" w:right="-709"/>
      <w:jc w:val="center"/>
      <w:rPr>
        <w:rFonts w:asciiTheme="minorBidi" w:hAnsiTheme="minorBidi"/>
        <w:rtl/>
      </w:rPr>
    </w:pPr>
    <w:r w:rsidRPr="0065770A">
      <w:rPr>
        <w:rFonts w:asciiTheme="minorBidi" w:hAnsiTheme="minorBidi"/>
        <w:b/>
        <w:bCs/>
        <w:rtl/>
      </w:rPr>
      <w:t xml:space="preserve">בנק ישראל. </w:t>
    </w:r>
    <w:r w:rsidRPr="0065770A">
      <w:rPr>
        <w:rFonts w:asciiTheme="minorBidi" w:hAnsiTheme="minorBidi"/>
        <w:rtl/>
      </w:rPr>
      <w:t xml:space="preserve">ת.ד. 780 ירושלים 91007 | </w:t>
    </w:r>
    <w:hyperlink r:id="rId1" w:history="1">
      <w:r w:rsidRPr="00472CD8">
        <w:rPr>
          <w:rStyle w:val="Hyperlink"/>
          <w:rFonts w:asciiTheme="minorBidi" w:hAnsiTheme="minorBidi"/>
        </w:rPr>
        <w:t>D-pikauhTashlumim@boi.gov.il</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77" w:rsidRDefault="00E85E77" w:rsidP="003A7F34">
      <w:pPr>
        <w:spacing w:after="0" w:line="240" w:lineRule="auto"/>
      </w:pPr>
      <w:r>
        <w:separator/>
      </w:r>
    </w:p>
  </w:footnote>
  <w:footnote w:type="continuationSeparator" w:id="0">
    <w:p w:rsidR="00E85E77" w:rsidRDefault="00E85E77" w:rsidP="003A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293"/>
    <w:multiLevelType w:val="hybridMultilevel"/>
    <w:tmpl w:val="E76C984A"/>
    <w:lvl w:ilvl="0" w:tplc="38E6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813028"/>
    <w:multiLevelType w:val="hybridMultilevel"/>
    <w:tmpl w:val="1D36EF80"/>
    <w:lvl w:ilvl="0" w:tplc="64E2C4B8">
      <w:start w:val="4"/>
      <w:numFmt w:val="bullet"/>
      <w:lvlText w:val="-"/>
      <w:lvlJc w:val="left"/>
      <w:pPr>
        <w:ind w:left="360" w:hanging="360"/>
      </w:pPr>
      <w:rPr>
        <w:rFonts w:ascii="David" w:eastAsia="Times New Roman"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316F3"/>
    <w:rsid w:val="00066F85"/>
    <w:rsid w:val="00081618"/>
    <w:rsid w:val="000D22D4"/>
    <w:rsid w:val="000E6C4D"/>
    <w:rsid w:val="001724C9"/>
    <w:rsid w:val="00204DB4"/>
    <w:rsid w:val="00242AF9"/>
    <w:rsid w:val="002540B7"/>
    <w:rsid w:val="0030306A"/>
    <w:rsid w:val="003A7F34"/>
    <w:rsid w:val="00434459"/>
    <w:rsid w:val="004667E8"/>
    <w:rsid w:val="0047079B"/>
    <w:rsid w:val="004B6927"/>
    <w:rsid w:val="004D2F71"/>
    <w:rsid w:val="0050694C"/>
    <w:rsid w:val="005460FA"/>
    <w:rsid w:val="0059496C"/>
    <w:rsid w:val="005B32D3"/>
    <w:rsid w:val="005B4AAD"/>
    <w:rsid w:val="005E4A93"/>
    <w:rsid w:val="0060530A"/>
    <w:rsid w:val="00625BE6"/>
    <w:rsid w:val="0065770A"/>
    <w:rsid w:val="00775B62"/>
    <w:rsid w:val="007C2D0E"/>
    <w:rsid w:val="007F1488"/>
    <w:rsid w:val="007F2AD3"/>
    <w:rsid w:val="00835FAC"/>
    <w:rsid w:val="00867D2C"/>
    <w:rsid w:val="008956C4"/>
    <w:rsid w:val="008B3423"/>
    <w:rsid w:val="00927695"/>
    <w:rsid w:val="009515C4"/>
    <w:rsid w:val="00960DFB"/>
    <w:rsid w:val="00964023"/>
    <w:rsid w:val="009E0BA7"/>
    <w:rsid w:val="00A14174"/>
    <w:rsid w:val="00A375A8"/>
    <w:rsid w:val="00A56C46"/>
    <w:rsid w:val="00AC14D1"/>
    <w:rsid w:val="00AF6166"/>
    <w:rsid w:val="00B01594"/>
    <w:rsid w:val="00B16972"/>
    <w:rsid w:val="00B27616"/>
    <w:rsid w:val="00B828DF"/>
    <w:rsid w:val="00BE5DE9"/>
    <w:rsid w:val="00BF0816"/>
    <w:rsid w:val="00BF4E06"/>
    <w:rsid w:val="00C02262"/>
    <w:rsid w:val="00C04353"/>
    <w:rsid w:val="00C83498"/>
    <w:rsid w:val="00CB4488"/>
    <w:rsid w:val="00CF6D43"/>
    <w:rsid w:val="00D03A7C"/>
    <w:rsid w:val="00D07B93"/>
    <w:rsid w:val="00D34E93"/>
    <w:rsid w:val="00D6118F"/>
    <w:rsid w:val="00D76E5B"/>
    <w:rsid w:val="00D92EF0"/>
    <w:rsid w:val="00DE1E49"/>
    <w:rsid w:val="00E03E0F"/>
    <w:rsid w:val="00E26C6E"/>
    <w:rsid w:val="00E34693"/>
    <w:rsid w:val="00E85E77"/>
    <w:rsid w:val="00E95CC6"/>
    <w:rsid w:val="00EB38F9"/>
    <w:rsid w:val="00EC0B8F"/>
    <w:rsid w:val="00EC2F8C"/>
    <w:rsid w:val="00EF1586"/>
    <w:rsid w:val="00F82D69"/>
    <w:rsid w:val="00F87775"/>
    <w:rsid w:val="00F963D2"/>
    <w:rsid w:val="00FC40D2"/>
    <w:rsid w:val="00FE15F6"/>
    <w:rsid w:val="00FE6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Balloon Text"/>
    <w:basedOn w:val="a"/>
    <w:link w:val="a8"/>
    <w:uiPriority w:val="99"/>
    <w:semiHidden/>
    <w:unhideWhenUsed/>
    <w:rsid w:val="00EB38F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B38F9"/>
    <w:rPr>
      <w:rFonts w:ascii="Tahoma" w:hAnsi="Tahoma" w:cs="Tahoma"/>
      <w:sz w:val="16"/>
      <w:szCs w:val="16"/>
    </w:rPr>
  </w:style>
  <w:style w:type="paragraph" w:styleId="a9">
    <w:name w:val="List Paragraph"/>
    <w:basedOn w:val="a"/>
    <w:link w:val="aa"/>
    <w:uiPriority w:val="34"/>
    <w:qFormat/>
    <w:rsid w:val="005B4AAD"/>
    <w:pPr>
      <w:ind w:left="720"/>
      <w:contextualSpacing/>
    </w:pPr>
  </w:style>
  <w:style w:type="character" w:styleId="ab">
    <w:name w:val="annotation reference"/>
    <w:basedOn w:val="a0"/>
    <w:uiPriority w:val="99"/>
    <w:semiHidden/>
    <w:unhideWhenUsed/>
    <w:rsid w:val="00625BE6"/>
    <w:rPr>
      <w:sz w:val="16"/>
      <w:szCs w:val="16"/>
    </w:rPr>
  </w:style>
  <w:style w:type="paragraph" w:styleId="ac">
    <w:name w:val="annotation text"/>
    <w:basedOn w:val="a"/>
    <w:link w:val="ad"/>
    <w:uiPriority w:val="99"/>
    <w:semiHidden/>
    <w:unhideWhenUsed/>
    <w:rsid w:val="00625BE6"/>
    <w:pPr>
      <w:spacing w:line="240" w:lineRule="auto"/>
    </w:pPr>
    <w:rPr>
      <w:sz w:val="20"/>
      <w:szCs w:val="20"/>
    </w:rPr>
  </w:style>
  <w:style w:type="character" w:customStyle="1" w:styleId="ad">
    <w:name w:val="טקסט הערה תו"/>
    <w:basedOn w:val="a0"/>
    <w:link w:val="ac"/>
    <w:uiPriority w:val="99"/>
    <w:semiHidden/>
    <w:rsid w:val="00625BE6"/>
    <w:rPr>
      <w:sz w:val="20"/>
      <w:szCs w:val="20"/>
    </w:rPr>
  </w:style>
  <w:style w:type="paragraph" w:styleId="ae">
    <w:name w:val="annotation subject"/>
    <w:basedOn w:val="ac"/>
    <w:next w:val="ac"/>
    <w:link w:val="af"/>
    <w:uiPriority w:val="99"/>
    <w:semiHidden/>
    <w:unhideWhenUsed/>
    <w:rsid w:val="00625BE6"/>
    <w:rPr>
      <w:b/>
      <w:bCs/>
    </w:rPr>
  </w:style>
  <w:style w:type="character" w:customStyle="1" w:styleId="af">
    <w:name w:val="נושא הערה תו"/>
    <w:basedOn w:val="ad"/>
    <w:link w:val="ae"/>
    <w:uiPriority w:val="99"/>
    <w:semiHidden/>
    <w:rsid w:val="00625BE6"/>
    <w:rPr>
      <w:b/>
      <w:bCs/>
      <w:sz w:val="20"/>
      <w:szCs w:val="20"/>
    </w:rPr>
  </w:style>
  <w:style w:type="character" w:customStyle="1" w:styleId="af0">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f1"/>
    <w:semiHidden/>
    <w:locked/>
    <w:rsid w:val="00B16972"/>
    <w:rPr>
      <w:rFonts w:ascii="Times New Roman" w:eastAsia="Times New Roman" w:hAnsi="Times New Roman" w:cs="Times New Roman"/>
      <w:sz w:val="20"/>
      <w:szCs w:val="20"/>
    </w:rPr>
  </w:style>
  <w:style w:type="paragraph" w:styleId="af1">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f0"/>
    <w:semiHidden/>
    <w:unhideWhenUsed/>
    <w:rsid w:val="00B16972"/>
    <w:pPr>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B16972"/>
    <w:rPr>
      <w:sz w:val="20"/>
      <w:szCs w:val="20"/>
    </w:rPr>
  </w:style>
  <w:style w:type="paragraph" w:styleId="af2">
    <w:name w:val="Plain Text"/>
    <w:basedOn w:val="a"/>
    <w:link w:val="af3"/>
    <w:uiPriority w:val="99"/>
    <w:unhideWhenUsed/>
    <w:rsid w:val="00B16972"/>
    <w:pPr>
      <w:spacing w:after="0" w:line="240" w:lineRule="auto"/>
    </w:pPr>
    <w:rPr>
      <w:rFonts w:ascii="Calibri" w:hAnsi="Calibri" w:cs="Consolas"/>
      <w:szCs w:val="21"/>
    </w:rPr>
  </w:style>
  <w:style w:type="character" w:customStyle="1" w:styleId="af3">
    <w:name w:val="טקסט רגיל תו"/>
    <w:basedOn w:val="a0"/>
    <w:link w:val="af2"/>
    <w:uiPriority w:val="99"/>
    <w:rsid w:val="00B16972"/>
    <w:rPr>
      <w:rFonts w:ascii="Calibri" w:hAnsi="Calibri" w:cs="Consolas"/>
      <w:szCs w:val="21"/>
    </w:rPr>
  </w:style>
  <w:style w:type="character" w:customStyle="1" w:styleId="aa">
    <w:name w:val="פיסקת רשימה תו"/>
    <w:link w:val="a9"/>
    <w:uiPriority w:val="34"/>
    <w:locked/>
    <w:rsid w:val="00B16972"/>
  </w:style>
  <w:style w:type="character" w:styleId="af4">
    <w:name w:val="footnote reference"/>
    <w:aliases w:val="Footnote Reference"/>
    <w:semiHidden/>
    <w:unhideWhenUsed/>
    <w:rsid w:val="00B16972"/>
    <w:rPr>
      <w:vertAlign w:val="superscript"/>
    </w:rPr>
  </w:style>
  <w:style w:type="paragraph" w:customStyle="1" w:styleId="TableBlock">
    <w:name w:val="Table Block"/>
    <w:basedOn w:val="a"/>
    <w:rsid w:val="00D92EF0"/>
    <w:pPr>
      <w:keepLines/>
      <w:widowControl w:val="0"/>
      <w:tabs>
        <w:tab w:val="left" w:pos="624"/>
        <w:tab w:val="left" w:pos="1247"/>
      </w:tabs>
      <w:snapToGrid w:val="0"/>
      <w:spacing w:after="0" w:line="360" w:lineRule="auto"/>
      <w:contextualSpacing/>
      <w:jc w:val="both"/>
    </w:pPr>
    <w:rPr>
      <w:rFonts w:ascii="Arial" w:eastAsia="Arial Unicode MS" w:hAnsi="Arial" w:cs="David"/>
      <w:snapToGrid w:val="0"/>
      <w:sz w:val="20"/>
      <w:szCs w:val="26"/>
    </w:rPr>
  </w:style>
  <w:style w:type="character" w:styleId="FollowedHyperlink">
    <w:name w:val="FollowedHyperlink"/>
    <w:basedOn w:val="a0"/>
    <w:uiPriority w:val="99"/>
    <w:semiHidden/>
    <w:unhideWhenUsed/>
    <w:rsid w:val="008B3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cid:image001.png@01D8AB43.DC649F1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pikauhTashlumim@boi.gov.il@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CE31F-7EB7-4E44-9F53-D9618AFB380D}"/>
</file>

<file path=customXml/itemProps2.xml><?xml version="1.0" encoding="utf-8"?>
<ds:datastoreItem xmlns:ds="http://schemas.openxmlformats.org/officeDocument/2006/customXml" ds:itemID="{75D8FFBC-CF48-435A-AB43-A9FE8EDBD567}"/>
</file>

<file path=customXml/itemProps3.xml><?xml version="1.0" encoding="utf-8"?>
<ds:datastoreItem xmlns:ds="http://schemas.openxmlformats.org/officeDocument/2006/customXml" ds:itemID="{0792822B-03A4-4849-9087-C571C28A0FE1}"/>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1185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2022-08-09T11:30:00Z</dcterms:created>
  <dcterms:modified xsi:type="dcterms:W3CDTF">2022-08-09T11:30:00Z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