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027442" w14:paraId="3FC4CB61" w14:textId="77777777" w:rsidTr="0029736D">
        <w:tc>
          <w:tcPr>
            <w:tcW w:w="3343" w:type="dxa"/>
            <w:tcBorders>
              <w:top w:val="nil"/>
              <w:left w:val="nil"/>
              <w:bottom w:val="nil"/>
              <w:right w:val="nil"/>
            </w:tcBorders>
            <w:vAlign w:val="center"/>
          </w:tcPr>
          <w:p w14:paraId="5576C8D2" w14:textId="77777777" w:rsidR="009005BA" w:rsidRPr="009005BA" w:rsidRDefault="009005BA" w:rsidP="006A677C">
            <w:pPr>
              <w:jc w:val="both"/>
              <w:rPr>
                <w:rFonts w:ascii="Assistant" w:hAnsi="Assistant" w:cs="Assistant"/>
                <w:b/>
                <w:bCs/>
                <w:sz w:val="24"/>
                <w:szCs w:val="24"/>
                <w:rtl/>
              </w:rPr>
            </w:pPr>
            <w:r w:rsidRPr="009005BA">
              <w:rPr>
                <w:rFonts w:ascii="Assistant" w:hAnsi="Assistant" w:cs="Assistant"/>
                <w:b/>
                <w:bCs/>
                <w:sz w:val="24"/>
                <w:szCs w:val="24"/>
                <w:rtl/>
              </w:rPr>
              <w:t>בנק ישראל</w:t>
            </w:r>
          </w:p>
          <w:p w14:paraId="4903084A" w14:textId="77777777" w:rsidR="009005BA" w:rsidRPr="00031A9D" w:rsidRDefault="009005BA" w:rsidP="006A677C">
            <w:pPr>
              <w:jc w:val="both"/>
              <w:rPr>
                <w:rFonts w:ascii="Assistant" w:hAnsi="Assistant" w:cs="Assistant"/>
                <w:b/>
                <w:bCs/>
                <w:sz w:val="28"/>
                <w:szCs w:val="28"/>
              </w:rPr>
            </w:pPr>
            <w:r w:rsidRPr="00031A9D">
              <w:rPr>
                <w:rFonts w:ascii="Assistant" w:hAnsi="Assistant" w:cs="Assistant"/>
                <w:rtl/>
              </w:rPr>
              <w:t>דוברות והסברה כלכלית</w:t>
            </w:r>
          </w:p>
        </w:tc>
        <w:tc>
          <w:tcPr>
            <w:tcW w:w="2596" w:type="dxa"/>
            <w:tcBorders>
              <w:top w:val="nil"/>
              <w:left w:val="nil"/>
              <w:bottom w:val="nil"/>
              <w:right w:val="nil"/>
            </w:tcBorders>
            <w:shd w:val="clear" w:color="auto" w:fill="FFFFFF"/>
          </w:tcPr>
          <w:p w14:paraId="1461DD38" w14:textId="77777777" w:rsidR="009005BA" w:rsidRPr="00027442" w:rsidRDefault="009005BA" w:rsidP="006A677C">
            <w:pPr>
              <w:jc w:val="both"/>
              <w:rPr>
                <w:rFonts w:ascii="Assistant" w:hAnsi="Assistant" w:cs="Assistant"/>
              </w:rPr>
            </w:pPr>
            <w:r>
              <w:rPr>
                <w:noProof/>
              </w:rPr>
              <w:drawing>
                <wp:anchor distT="0" distB="0" distL="114300" distR="114300" simplePos="0" relativeHeight="251659264" behindDoc="0" locked="0" layoutInCell="1" allowOverlap="1" wp14:anchorId="15323F45" wp14:editId="43B1F722">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14:paraId="09707B1F" w14:textId="4F0E314F" w:rsidR="009005BA" w:rsidRPr="00027442" w:rsidRDefault="009005BA" w:rsidP="006A677C">
            <w:pPr>
              <w:jc w:val="both"/>
              <w:rPr>
                <w:rFonts w:ascii="Assistant" w:hAnsi="Assistant" w:cs="Assistant"/>
                <w:rtl/>
              </w:rPr>
            </w:pPr>
            <w:r w:rsidRPr="00CA4983">
              <w:rPr>
                <w:rFonts w:ascii="Assistant" w:hAnsi="Assistant" w:cs="Assistant"/>
                <w:rtl/>
              </w:rPr>
              <w:t xml:space="preserve">‏ירושלים, </w:t>
            </w:r>
            <w:r w:rsidRPr="00CA4983">
              <w:rPr>
                <w:rFonts w:ascii="Assistant" w:hAnsi="Assistant" w:cs="Assistant"/>
                <w:rtl/>
              </w:rPr>
              <w:fldChar w:fldCharType="begin"/>
            </w:r>
            <w:r w:rsidRPr="00CA4983">
              <w:rPr>
                <w:rFonts w:ascii="Assistant" w:hAnsi="Assistant" w:cs="Assistant"/>
                <w:rtl/>
              </w:rPr>
              <w:instrText xml:space="preserve"> </w:instrText>
            </w:r>
            <w:r w:rsidRPr="00CA4983">
              <w:rPr>
                <w:rFonts w:ascii="Assistant" w:hAnsi="Assistant" w:cs="Assistant"/>
              </w:rPr>
              <w:instrText>DATE</w:instrText>
            </w:r>
            <w:r w:rsidRPr="00CA4983">
              <w:rPr>
                <w:rFonts w:ascii="Assistant" w:hAnsi="Assistant" w:cs="Assistant"/>
                <w:rtl/>
              </w:rPr>
              <w:instrText xml:space="preserve"> \@ "</w:instrText>
            </w:r>
            <w:r w:rsidRPr="00CA4983">
              <w:rPr>
                <w:rFonts w:ascii="Assistant" w:hAnsi="Assistant" w:cs="Assistant"/>
              </w:rPr>
              <w:instrText>d MMMM, yyyy" \h</w:instrText>
            </w:r>
            <w:r w:rsidRPr="00CA4983">
              <w:rPr>
                <w:rFonts w:ascii="Assistant" w:hAnsi="Assistant" w:cs="Assistant"/>
                <w:rtl/>
              </w:rPr>
              <w:instrText xml:space="preserve"> </w:instrText>
            </w:r>
            <w:r w:rsidRPr="00CA4983">
              <w:rPr>
                <w:rFonts w:ascii="Assistant" w:hAnsi="Assistant" w:cs="Assistant"/>
                <w:rtl/>
              </w:rPr>
              <w:fldChar w:fldCharType="separate"/>
            </w:r>
            <w:r w:rsidR="00DD5F3A">
              <w:rPr>
                <w:rFonts w:ascii="Assistant" w:hAnsi="Assistant" w:cs="Assistant"/>
                <w:noProof/>
                <w:rtl/>
              </w:rPr>
              <w:t>‏ז' שבט, תשפ"ו</w:t>
            </w:r>
            <w:r w:rsidRPr="00CA4983">
              <w:rPr>
                <w:rFonts w:ascii="Assistant" w:hAnsi="Assistant" w:cs="Assistant"/>
                <w:rtl/>
              </w:rPr>
              <w:fldChar w:fldCharType="end"/>
            </w:r>
          </w:p>
          <w:p w14:paraId="1246A252" w14:textId="41D9C508" w:rsidR="006A677C" w:rsidRDefault="006A677C" w:rsidP="006A677C">
            <w:pPr>
              <w:jc w:val="right"/>
              <w:rPr>
                <w:rFonts w:ascii="Assistant" w:hAnsi="Assistant" w:cs="Assistant"/>
                <w:rtl/>
              </w:rPr>
            </w:pPr>
            <w:r>
              <w:rPr>
                <w:rFonts w:ascii="Assistant" w:hAnsi="Assistant" w:cs="Assistant" w:hint="cs"/>
                <w:rtl/>
              </w:rPr>
              <w:t xml:space="preserve">ירושלים, </w:t>
            </w:r>
            <w:r>
              <w:rPr>
                <w:rFonts w:ascii="Assistant" w:hAnsi="Assistant" w:cs="Assistant" w:hint="eastAsia"/>
                <w:rtl/>
              </w:rPr>
              <w:t>‏ז</w:t>
            </w:r>
            <w:r>
              <w:rPr>
                <w:rFonts w:ascii="Assistant" w:hAnsi="Assistant" w:cs="Assistant"/>
                <w:rtl/>
              </w:rPr>
              <w:t>' שבט תשפ"ו</w:t>
            </w:r>
          </w:p>
          <w:p w14:paraId="3B301C91" w14:textId="16E6321B" w:rsidR="009005BA" w:rsidRPr="00027442" w:rsidRDefault="009005BA" w:rsidP="006A677C">
            <w:pPr>
              <w:jc w:val="right"/>
              <w:rPr>
                <w:rFonts w:ascii="Assistant" w:hAnsi="Assistant" w:cs="Assistant"/>
                <w:highlight w:val="green"/>
              </w:rPr>
            </w:pPr>
            <w:r w:rsidRPr="00027442">
              <w:rPr>
                <w:rFonts w:ascii="Assistant" w:hAnsi="Assistant" w:cs="Assistant"/>
                <w:rtl/>
              </w:rPr>
              <w:fldChar w:fldCharType="begin"/>
            </w:r>
            <w:r w:rsidRPr="00027442">
              <w:rPr>
                <w:rFonts w:ascii="Assistant" w:hAnsi="Assistant" w:cs="Assistant"/>
                <w:rtl/>
              </w:rPr>
              <w:instrText xml:space="preserve"> </w:instrText>
            </w:r>
            <w:r w:rsidRPr="00027442">
              <w:rPr>
                <w:rFonts w:ascii="Assistant" w:hAnsi="Assistant" w:cs="Assistant"/>
              </w:rPr>
              <w:instrText>DATE</w:instrText>
            </w:r>
            <w:r w:rsidRPr="00027442">
              <w:rPr>
                <w:rFonts w:ascii="Assistant" w:hAnsi="Assistant" w:cs="Assistant"/>
                <w:rtl/>
              </w:rPr>
              <w:instrText xml:space="preserve"> \@ "</w:instrText>
            </w:r>
            <w:r w:rsidRPr="00027442">
              <w:rPr>
                <w:rFonts w:ascii="Assistant" w:hAnsi="Assistant" w:cs="Assistant"/>
              </w:rPr>
              <w:instrText>d MMMM, yyyy</w:instrText>
            </w:r>
            <w:r w:rsidRPr="00027442">
              <w:rPr>
                <w:rFonts w:ascii="Assistant" w:hAnsi="Assistant" w:cs="Assistant"/>
                <w:rtl/>
              </w:rPr>
              <w:instrText xml:space="preserve">" </w:instrText>
            </w:r>
            <w:r w:rsidRPr="00027442">
              <w:rPr>
                <w:rFonts w:ascii="Assistant" w:hAnsi="Assistant" w:cs="Assistant"/>
                <w:rtl/>
              </w:rPr>
              <w:fldChar w:fldCharType="separate"/>
            </w:r>
            <w:r w:rsidR="00DD5F3A">
              <w:rPr>
                <w:rFonts w:ascii="Assistant" w:hAnsi="Assistant" w:cs="Assistant"/>
                <w:noProof/>
                <w:rtl/>
              </w:rPr>
              <w:t>‏25 ינואר, 2026</w:t>
            </w:r>
            <w:r w:rsidRPr="00027442">
              <w:rPr>
                <w:rFonts w:ascii="Assistant" w:hAnsi="Assistant" w:cs="Assistant"/>
                <w:rtl/>
              </w:rPr>
              <w:fldChar w:fldCharType="end"/>
            </w:r>
          </w:p>
        </w:tc>
      </w:tr>
    </w:tbl>
    <w:p w14:paraId="7BBB26DF" w14:textId="77777777" w:rsidR="009005BA" w:rsidRDefault="009005BA" w:rsidP="006A677C">
      <w:pPr>
        <w:tabs>
          <w:tab w:val="left" w:pos="2315"/>
        </w:tabs>
        <w:jc w:val="both"/>
        <w:rPr>
          <w:rFonts w:ascii="Calibri" w:hAnsi="Calibri" w:cs="Calibri"/>
          <w:sz w:val="24"/>
          <w:szCs w:val="24"/>
          <w:rtl/>
        </w:rPr>
      </w:pPr>
    </w:p>
    <w:p w14:paraId="55CF22A9" w14:textId="77777777" w:rsidR="00CB7BBB" w:rsidRDefault="008E761A" w:rsidP="006A677C">
      <w:pPr>
        <w:tabs>
          <w:tab w:val="left" w:pos="2315"/>
        </w:tabs>
        <w:jc w:val="both"/>
        <w:rPr>
          <w:rFonts w:ascii="Calibri" w:hAnsi="Calibri" w:cs="Calibri"/>
          <w:b/>
          <w:bCs/>
          <w:sz w:val="28"/>
          <w:szCs w:val="28"/>
          <w:rtl/>
        </w:rPr>
      </w:pPr>
      <w:r w:rsidRPr="009005BA">
        <w:rPr>
          <w:rFonts w:ascii="Calibri" w:hAnsi="Calibri" w:cs="Calibri"/>
          <w:sz w:val="24"/>
          <w:szCs w:val="24"/>
          <w:rtl/>
        </w:rPr>
        <w:t>הודעה לעיתונות:</w:t>
      </w:r>
      <w:r w:rsidR="00A116A2">
        <w:rPr>
          <w:rFonts w:ascii="Calibri" w:hAnsi="Calibri" w:cs="Calibri" w:hint="cs"/>
          <w:b/>
          <w:bCs/>
          <w:sz w:val="28"/>
          <w:szCs w:val="28"/>
          <w:rtl/>
        </w:rPr>
        <w:t xml:space="preserve"> </w:t>
      </w:r>
    </w:p>
    <w:p w14:paraId="06718BBC" w14:textId="20911E9F" w:rsidR="009005BA" w:rsidRDefault="00542E3A" w:rsidP="006A677C">
      <w:pPr>
        <w:spacing w:line="360" w:lineRule="auto"/>
        <w:jc w:val="center"/>
        <w:rPr>
          <w:rFonts w:ascii="Calibri" w:hAnsi="Calibri" w:cs="Calibri"/>
          <w:b/>
          <w:bCs/>
          <w:color w:val="000000"/>
          <w:sz w:val="24"/>
          <w:szCs w:val="24"/>
          <w:shd w:val="clear" w:color="auto" w:fill="FFFFFF"/>
          <w:rtl/>
        </w:rPr>
      </w:pPr>
      <w:r w:rsidRPr="00542E3A">
        <w:rPr>
          <w:rFonts w:ascii="Calibri" w:eastAsia="Calibri" w:hAnsi="Calibri" w:cs="Calibri"/>
          <w:b/>
          <w:bCs/>
          <w:sz w:val="28"/>
          <w:szCs w:val="28"/>
          <w:rtl/>
        </w:rPr>
        <w:t>הדיווח התקופתי אודות מחירי השירותים הבנקאיים הנפוצים למשקי הבית, ל</w:t>
      </w:r>
      <w:r w:rsidR="006A677C">
        <w:rPr>
          <w:rFonts w:ascii="Calibri" w:eastAsia="Calibri" w:hAnsi="Calibri" w:cs="Calibri" w:hint="cs"/>
          <w:b/>
          <w:bCs/>
          <w:sz w:val="28"/>
          <w:szCs w:val="28"/>
          <w:rtl/>
        </w:rPr>
        <w:t>מחצית הראשונה ל</w:t>
      </w:r>
      <w:r w:rsidRPr="00542E3A">
        <w:rPr>
          <w:rFonts w:ascii="Calibri" w:eastAsia="Calibri" w:hAnsi="Calibri" w:cs="Calibri"/>
          <w:b/>
          <w:bCs/>
          <w:sz w:val="28"/>
          <w:szCs w:val="28"/>
          <w:rtl/>
        </w:rPr>
        <w:t>שנת</w:t>
      </w:r>
      <w:r>
        <w:rPr>
          <w:rFonts w:ascii="Calibri" w:eastAsia="Calibri" w:hAnsi="Calibri" w:cs="Calibri" w:hint="cs"/>
          <w:b/>
          <w:bCs/>
          <w:sz w:val="28"/>
          <w:szCs w:val="28"/>
          <w:rtl/>
        </w:rPr>
        <w:t xml:space="preserve"> </w:t>
      </w:r>
      <w:r w:rsidR="006A677C">
        <w:rPr>
          <w:rFonts w:ascii="Calibri" w:eastAsia="Calibri" w:hAnsi="Calibri" w:cs="Calibri" w:hint="cs"/>
          <w:b/>
          <w:bCs/>
          <w:sz w:val="28"/>
          <w:szCs w:val="28"/>
          <w:rtl/>
        </w:rPr>
        <w:t>2025</w:t>
      </w:r>
    </w:p>
    <w:p w14:paraId="4D0A52B5" w14:textId="77777777" w:rsidR="00DE3EF8" w:rsidRDefault="00542E3A" w:rsidP="006A677C">
      <w:pPr>
        <w:pStyle w:val="af6"/>
        <w:spacing w:line="360" w:lineRule="auto"/>
        <w:ind w:left="5"/>
        <w:jc w:val="both"/>
        <w:rPr>
          <w:rFonts w:cstheme="minorHAnsi"/>
          <w:sz w:val="24"/>
          <w:szCs w:val="24"/>
          <w:rtl/>
        </w:rPr>
      </w:pPr>
      <w:bookmarkStart w:id="0" w:name="_GoBack"/>
      <w:r w:rsidRPr="00542E3A">
        <w:rPr>
          <w:rFonts w:cs="Calibri"/>
          <w:color w:val="000000"/>
          <w:sz w:val="24"/>
          <w:szCs w:val="24"/>
          <w:shd w:val="clear" w:color="auto" w:fill="FFFFFF"/>
          <w:rtl/>
        </w:rPr>
        <w:t>הפיקוח על הבנקים מגיש היום לוועדת הכלכלה של הכנסת את הדיווח התקופתי</w:t>
      </w:r>
      <w:r w:rsidR="00DE3EF8">
        <w:rPr>
          <w:rFonts w:cs="Calibri" w:hint="cs"/>
          <w:color w:val="000000"/>
          <w:sz w:val="24"/>
          <w:szCs w:val="24"/>
          <w:shd w:val="clear" w:color="auto" w:fill="FFFFFF"/>
          <w:rtl/>
        </w:rPr>
        <w:t xml:space="preserve"> </w:t>
      </w:r>
      <w:r w:rsidR="00DE3EF8" w:rsidRPr="0010642A">
        <w:rPr>
          <w:rFonts w:cstheme="minorHAnsi"/>
          <w:sz w:val="24"/>
          <w:szCs w:val="24"/>
          <w:rtl/>
        </w:rPr>
        <w:t>למחצית הראשונה לשנת 2025 אודות מחירי השירותים הבנקאיים הנפוצים למשקי הבית.</w:t>
      </w:r>
      <w:r w:rsidR="00DE3EF8" w:rsidRPr="0010642A">
        <w:rPr>
          <w:rFonts w:cstheme="minorHAnsi"/>
          <w:b/>
          <w:bCs/>
          <w:sz w:val="24"/>
          <w:szCs w:val="24"/>
          <w:rtl/>
        </w:rPr>
        <w:t xml:space="preserve"> </w:t>
      </w:r>
      <w:r w:rsidR="00DE3EF8" w:rsidRPr="0010642A">
        <w:rPr>
          <w:rFonts w:cstheme="minorHAnsi"/>
          <w:sz w:val="24"/>
          <w:szCs w:val="24"/>
          <w:rtl/>
        </w:rPr>
        <w:t xml:space="preserve">הדוח מבוסס על דיווחי התאגידים הבנקאיים וחברות כרטיסי האשראי על עמלות שנגבו במהלך תקופה זו. </w:t>
      </w:r>
    </w:p>
    <w:p w14:paraId="2013D86D" w14:textId="77777777" w:rsidR="00DE3EF8" w:rsidRDefault="00DE3EF8" w:rsidP="006A677C">
      <w:pPr>
        <w:pStyle w:val="af6"/>
        <w:spacing w:line="360" w:lineRule="auto"/>
        <w:ind w:left="5"/>
        <w:jc w:val="both"/>
        <w:rPr>
          <w:rFonts w:cstheme="minorHAnsi"/>
          <w:sz w:val="24"/>
          <w:szCs w:val="24"/>
          <w:rtl/>
        </w:rPr>
      </w:pPr>
      <w:r w:rsidRPr="009005BA">
        <w:rPr>
          <w:rFonts w:cs="Calibri"/>
          <w:b/>
          <w:bCs/>
          <w:color w:val="000000"/>
          <w:sz w:val="24"/>
          <w:szCs w:val="24"/>
          <w:shd w:val="clear" w:color="auto" w:fill="FFFFFF"/>
          <w:rtl/>
        </w:rPr>
        <w:t xml:space="preserve">המפקח על הבנקים, מר דניאל חחיאשוילי: </w:t>
      </w:r>
      <w:r>
        <w:rPr>
          <w:rFonts w:cstheme="minorHAnsi" w:hint="cs"/>
          <w:sz w:val="24"/>
          <w:szCs w:val="24"/>
          <w:rtl/>
        </w:rPr>
        <w:t>"</w:t>
      </w:r>
      <w:r w:rsidRPr="0010642A">
        <w:rPr>
          <w:rFonts w:cstheme="minorHAnsi"/>
          <w:sz w:val="24"/>
          <w:szCs w:val="24"/>
          <w:rtl/>
        </w:rPr>
        <w:t xml:space="preserve">בשנים האחרונות הפיקוח על הבנקים פועל להגברת הבהירות והשקיפות במחירי השירותים הבנקאיים. </w:t>
      </w:r>
      <w:r>
        <w:rPr>
          <w:rFonts w:cstheme="minorHAnsi" w:hint="cs"/>
          <w:sz w:val="24"/>
          <w:szCs w:val="24"/>
          <w:rtl/>
        </w:rPr>
        <w:t>אגב כך קודמו במהלך שנת 2025 הצעדים הבאים:</w:t>
      </w:r>
      <w:r w:rsidRPr="0010642A" w:rsidDel="00BD4801">
        <w:rPr>
          <w:rFonts w:cstheme="minorHAnsi"/>
          <w:sz w:val="24"/>
          <w:szCs w:val="24"/>
          <w:rtl/>
        </w:rPr>
        <w:t xml:space="preserve"> </w:t>
      </w:r>
    </w:p>
    <w:p w14:paraId="34628BF0" w14:textId="77777777" w:rsidR="00DE3EF8" w:rsidRDefault="00DE3EF8" w:rsidP="006A677C">
      <w:pPr>
        <w:pStyle w:val="af6"/>
        <w:numPr>
          <w:ilvl w:val="0"/>
          <w:numId w:val="18"/>
        </w:numPr>
        <w:spacing w:line="360" w:lineRule="auto"/>
        <w:jc w:val="both"/>
        <w:rPr>
          <w:rFonts w:cstheme="minorHAnsi"/>
          <w:sz w:val="24"/>
          <w:szCs w:val="24"/>
        </w:rPr>
      </w:pPr>
      <w:r>
        <w:rPr>
          <w:rFonts w:cstheme="minorHAnsi" w:hint="cs"/>
          <w:sz w:val="24"/>
          <w:szCs w:val="24"/>
          <w:rtl/>
        </w:rPr>
        <w:t>בדצמבר 2025</w:t>
      </w:r>
      <w:r w:rsidRPr="0010642A">
        <w:rPr>
          <w:rFonts w:cstheme="minorHAnsi"/>
          <w:sz w:val="24"/>
          <w:szCs w:val="24"/>
          <w:rtl/>
        </w:rPr>
        <w:t xml:space="preserve"> פרסם הפיקוח מכתב המעדכן את מתכונת הפניה לפיקוח על הבנקים אודות שינויים בתעריפון העמלות ומוסיף הבהרות שונות בתחום העמלות. </w:t>
      </w:r>
    </w:p>
    <w:p w14:paraId="3425954B" w14:textId="77777777" w:rsidR="00B77D04" w:rsidRPr="00BE339E" w:rsidRDefault="00B77D04" w:rsidP="006A677C">
      <w:pPr>
        <w:pStyle w:val="a5"/>
        <w:numPr>
          <w:ilvl w:val="0"/>
          <w:numId w:val="18"/>
        </w:numPr>
        <w:spacing w:after="0" w:line="360" w:lineRule="auto"/>
        <w:jc w:val="both"/>
        <w:rPr>
          <w:rFonts w:cstheme="minorHAnsi"/>
          <w:rtl/>
        </w:rPr>
      </w:pPr>
      <w:r w:rsidRPr="00BE339E">
        <w:rPr>
          <w:rFonts w:cstheme="minorHAnsi"/>
          <w:rtl/>
        </w:rPr>
        <w:t xml:space="preserve">בחודש </w:t>
      </w:r>
      <w:r>
        <w:rPr>
          <w:rFonts w:cstheme="minorHAnsi" w:hint="cs"/>
          <w:rtl/>
        </w:rPr>
        <w:t>ספטמבר 2025 פרס</w:t>
      </w:r>
      <w:r w:rsidRPr="00BE339E">
        <w:rPr>
          <w:rFonts w:cstheme="minorHAnsi"/>
          <w:rtl/>
        </w:rPr>
        <w:t xml:space="preserve">ם צוות </w:t>
      </w:r>
      <w:r>
        <w:rPr>
          <w:rFonts w:cstheme="minorHAnsi" w:hint="cs"/>
          <w:rtl/>
        </w:rPr>
        <w:t>ה</w:t>
      </w:r>
      <w:r w:rsidRPr="00BE339E">
        <w:rPr>
          <w:rFonts w:cstheme="minorHAnsi"/>
          <w:rtl/>
        </w:rPr>
        <w:t xml:space="preserve">עבודה </w:t>
      </w:r>
      <w:r>
        <w:rPr>
          <w:rFonts w:cstheme="minorHAnsi" w:hint="cs"/>
          <w:rtl/>
        </w:rPr>
        <w:t>ה</w:t>
      </w:r>
      <w:r w:rsidRPr="00BE339E">
        <w:rPr>
          <w:rFonts w:cstheme="minorHAnsi"/>
          <w:rtl/>
        </w:rPr>
        <w:t>משותף לבנק ישראל, רשות ני"ע ואגף תקציבים לבחינת מבנה העמלות והתגמול בפעילות הציבור בניירות ערך</w:t>
      </w:r>
      <w:r>
        <w:rPr>
          <w:rFonts w:cstheme="minorHAnsi" w:hint="cs"/>
          <w:rtl/>
        </w:rPr>
        <w:t xml:space="preserve"> </w:t>
      </w:r>
      <w:r w:rsidRPr="00BE339E">
        <w:rPr>
          <w:rFonts w:cstheme="minorHAnsi"/>
          <w:rtl/>
        </w:rPr>
        <w:t>דוח בינים</w:t>
      </w:r>
      <w:r>
        <w:rPr>
          <w:rStyle w:val="af2"/>
          <w:rFonts w:cstheme="minorHAnsi"/>
          <w:rtl/>
        </w:rPr>
        <w:footnoteReference w:id="1"/>
      </w:r>
      <w:r w:rsidRPr="00BE339E">
        <w:rPr>
          <w:rFonts w:cstheme="minorHAnsi"/>
          <w:rtl/>
        </w:rPr>
        <w:t xml:space="preserve"> שבו הציג את המתווה שגיבש לעדכון מודל התגמול. </w:t>
      </w:r>
    </w:p>
    <w:p w14:paraId="439F54D2" w14:textId="77777777" w:rsidR="00DE3EF8" w:rsidRPr="0010642A" w:rsidRDefault="00DE3EF8" w:rsidP="006A677C">
      <w:pPr>
        <w:pStyle w:val="af6"/>
        <w:numPr>
          <w:ilvl w:val="0"/>
          <w:numId w:val="18"/>
        </w:numPr>
        <w:spacing w:line="360" w:lineRule="auto"/>
        <w:jc w:val="both"/>
        <w:rPr>
          <w:rFonts w:cstheme="minorHAnsi"/>
          <w:sz w:val="24"/>
          <w:szCs w:val="24"/>
          <w:rtl/>
        </w:rPr>
      </w:pPr>
      <w:r w:rsidRPr="0010642A">
        <w:rPr>
          <w:rFonts w:cstheme="minorHAnsi"/>
          <w:sz w:val="24"/>
          <w:szCs w:val="24"/>
          <w:rtl/>
        </w:rPr>
        <w:t xml:space="preserve">ביולי 2025 פרסם הפיקוח על הבנקים להתייעצות עם הציבור </w:t>
      </w:r>
      <w:r>
        <w:rPr>
          <w:rFonts w:cstheme="minorHAnsi" w:hint="cs"/>
          <w:sz w:val="24"/>
          <w:szCs w:val="24"/>
          <w:rtl/>
        </w:rPr>
        <w:t xml:space="preserve">את </w:t>
      </w:r>
      <w:r w:rsidRPr="0010642A">
        <w:rPr>
          <w:rFonts w:cstheme="minorHAnsi"/>
          <w:sz w:val="24"/>
          <w:szCs w:val="24"/>
          <w:rtl/>
        </w:rPr>
        <w:t xml:space="preserve">טיוטת </w:t>
      </w:r>
      <w:r>
        <w:rPr>
          <w:rFonts w:cstheme="minorHAnsi" w:hint="cs"/>
          <w:sz w:val="24"/>
          <w:szCs w:val="24"/>
          <w:rtl/>
        </w:rPr>
        <w:t>ה</w:t>
      </w:r>
      <w:r w:rsidRPr="0010642A">
        <w:rPr>
          <w:rFonts w:cstheme="minorHAnsi"/>
          <w:sz w:val="24"/>
          <w:szCs w:val="24"/>
          <w:rtl/>
        </w:rPr>
        <w:t xml:space="preserve">רפורמה בתחום העמלות הנגבות ממשקי בית ועסקים קטנים על שירותי ניהול חשבון (לרבות חשבון עו"ש) וכרטיס חיוב </w:t>
      </w:r>
      <w:proofErr w:type="spellStart"/>
      <w:r w:rsidRPr="0010642A">
        <w:rPr>
          <w:rFonts w:cstheme="minorHAnsi"/>
          <w:sz w:val="24"/>
          <w:szCs w:val="24"/>
          <w:rtl/>
        </w:rPr>
        <w:t>מיידי</w:t>
      </w:r>
      <w:proofErr w:type="spellEnd"/>
      <w:r w:rsidRPr="0010642A">
        <w:rPr>
          <w:rFonts w:cstheme="minorHAnsi"/>
          <w:sz w:val="24"/>
          <w:szCs w:val="24"/>
          <w:vertAlign w:val="superscript"/>
          <w:rtl/>
        </w:rPr>
        <w:footnoteReference w:id="2"/>
      </w:r>
      <w:r w:rsidRPr="0010642A">
        <w:rPr>
          <w:rFonts w:cstheme="minorHAnsi"/>
          <w:sz w:val="24"/>
          <w:szCs w:val="24"/>
          <w:rtl/>
        </w:rPr>
        <w:t>. הפיקוח שוקד על קידום רפורמה זו ובחודשים הקרובים יתפרסם נוסח סופי. מטרת הרפורמה היא להקל על לקוחות המערכת הבנקאית, בהבנת השירותים הבנקאיים הבסיסיים ולפשט את מנגנון החיוב הקיים עבור פעולות עו"ש שוטפות</w:t>
      </w:r>
      <w:r>
        <w:rPr>
          <w:rFonts w:cstheme="minorHAnsi" w:hint="cs"/>
          <w:sz w:val="24"/>
          <w:szCs w:val="24"/>
          <w:rtl/>
        </w:rPr>
        <w:t>. לשם כך</w:t>
      </w:r>
      <w:r w:rsidRPr="0010642A">
        <w:rPr>
          <w:rFonts w:cstheme="minorHAnsi"/>
          <w:sz w:val="24"/>
          <w:szCs w:val="24"/>
          <w:rtl/>
        </w:rPr>
        <w:t>, מקדם הפיקוח על הבנקים עדכון לשיטת החיוב בגין ביצוע פעולות תשלום שוטפות וקובע שירות חדש של "ניהול חשבון תשלום" במחיר קבוע. מחיר זה צפוי להביא להוזלת עלויות</w:t>
      </w:r>
      <w:r>
        <w:rPr>
          <w:rFonts w:cstheme="minorHAnsi" w:hint="cs"/>
          <w:sz w:val="24"/>
          <w:szCs w:val="24"/>
          <w:rtl/>
        </w:rPr>
        <w:t>,</w:t>
      </w:r>
      <w:r w:rsidRPr="0010642A">
        <w:rPr>
          <w:rFonts w:cstheme="minorHAnsi"/>
          <w:sz w:val="24"/>
          <w:szCs w:val="24"/>
          <w:rtl/>
        </w:rPr>
        <w:t xml:space="preserve"> אשר תהיה משמעותית יותר ככל שהלקוח מבצע יותר פעולות בחשבונו. כמו כן, מקדם הפיקוח קביעת מחיר מקסימלי שניתן לגבות בגין עמלת דמי כרטיס חיוב </w:t>
      </w:r>
      <w:proofErr w:type="spellStart"/>
      <w:r w:rsidRPr="0010642A">
        <w:rPr>
          <w:rFonts w:cstheme="minorHAnsi"/>
          <w:sz w:val="24"/>
          <w:szCs w:val="24"/>
          <w:rtl/>
        </w:rPr>
        <w:t>מיידי</w:t>
      </w:r>
      <w:proofErr w:type="spellEnd"/>
      <w:r w:rsidRPr="0010642A">
        <w:rPr>
          <w:rFonts w:cstheme="minorHAnsi"/>
          <w:sz w:val="24"/>
          <w:szCs w:val="24"/>
          <w:rtl/>
        </w:rPr>
        <w:t xml:space="preserve"> (דביט). </w:t>
      </w:r>
    </w:p>
    <w:p w14:paraId="5285E5F0" w14:textId="77777777" w:rsidR="00DE3EF8" w:rsidRPr="007D7BE4" w:rsidRDefault="00DE3EF8" w:rsidP="006A677C">
      <w:pPr>
        <w:pStyle w:val="af6"/>
        <w:numPr>
          <w:ilvl w:val="0"/>
          <w:numId w:val="18"/>
        </w:numPr>
        <w:spacing w:line="360" w:lineRule="auto"/>
        <w:jc w:val="both"/>
        <w:rPr>
          <w:rFonts w:cstheme="minorHAnsi"/>
          <w:sz w:val="24"/>
          <w:szCs w:val="24"/>
        </w:rPr>
      </w:pPr>
      <w:r>
        <w:rPr>
          <w:rFonts w:cstheme="minorHAnsi" w:hint="cs"/>
          <w:sz w:val="24"/>
          <w:szCs w:val="24"/>
          <w:rtl/>
        </w:rPr>
        <w:t xml:space="preserve">באפריל 2025 נכנס לתוקף פרק חדש שהתווסף לכללי </w:t>
      </w:r>
      <w:r w:rsidRPr="00C148D5">
        <w:rPr>
          <w:rFonts w:cstheme="minorHAnsi"/>
          <w:sz w:val="24"/>
          <w:szCs w:val="24"/>
          <w:rtl/>
        </w:rPr>
        <w:t xml:space="preserve">הבנקאות (שירות ללקוח)(עמלות) התשס"ח-2008 (להלן: </w:t>
      </w:r>
      <w:r w:rsidRPr="0009055C">
        <w:rPr>
          <w:rFonts w:cstheme="minorHAnsi"/>
          <w:b/>
          <w:bCs/>
          <w:sz w:val="24"/>
          <w:szCs w:val="24"/>
          <w:rtl/>
        </w:rPr>
        <w:t>כללי העמלות</w:t>
      </w:r>
      <w:r w:rsidRPr="00C148D5">
        <w:rPr>
          <w:rFonts w:cstheme="minorHAnsi"/>
          <w:sz w:val="24"/>
          <w:szCs w:val="24"/>
          <w:rtl/>
        </w:rPr>
        <w:t>)</w:t>
      </w:r>
      <w:r>
        <w:rPr>
          <w:rFonts w:cstheme="minorHAnsi" w:hint="cs"/>
          <w:sz w:val="24"/>
          <w:szCs w:val="24"/>
          <w:rtl/>
        </w:rPr>
        <w:t xml:space="preserve"> בנושא "שירותי ריכוז מידע", </w:t>
      </w:r>
      <w:r w:rsidRPr="00DC465B">
        <w:rPr>
          <w:rFonts w:cs="Calibri"/>
          <w:sz w:val="24"/>
          <w:szCs w:val="24"/>
          <w:rtl/>
        </w:rPr>
        <w:t xml:space="preserve">בעקבות התפתחות תשתיות מתקדמות להעברה וקבלה של מידע </w:t>
      </w:r>
      <w:r w:rsidRPr="00DC465B">
        <w:rPr>
          <w:rFonts w:cs="Calibri"/>
          <w:sz w:val="24"/>
          <w:szCs w:val="24"/>
          <w:rtl/>
        </w:rPr>
        <w:lastRenderedPageBreak/>
        <w:t>אודות המוצרים הפיננסיים של לקוח בגופים פיננסיים שונים</w:t>
      </w:r>
      <w:r>
        <w:rPr>
          <w:rFonts w:cs="Calibri" w:hint="cs"/>
          <w:sz w:val="24"/>
          <w:szCs w:val="24"/>
          <w:rtl/>
        </w:rPr>
        <w:t xml:space="preserve">. </w:t>
      </w:r>
      <w:r>
        <w:rPr>
          <w:rFonts w:cstheme="minorHAnsi" w:hint="cs"/>
          <w:sz w:val="24"/>
          <w:szCs w:val="24"/>
          <w:rtl/>
        </w:rPr>
        <w:t xml:space="preserve">תוספת זו נועדה </w:t>
      </w:r>
      <w:r w:rsidRPr="00DC465B">
        <w:rPr>
          <w:rFonts w:cs="Calibri"/>
          <w:sz w:val="24"/>
          <w:szCs w:val="24"/>
          <w:rtl/>
        </w:rPr>
        <w:t>לעודד התפתחות של שירותי ריכוז מידע וניתוחם לטובת הלקוח</w:t>
      </w:r>
      <w:r>
        <w:rPr>
          <w:rFonts w:cs="Calibri" w:hint="cs"/>
          <w:sz w:val="24"/>
          <w:szCs w:val="24"/>
          <w:rtl/>
        </w:rPr>
        <w:t>.</w:t>
      </w:r>
    </w:p>
    <w:p w14:paraId="75D3065F" w14:textId="77777777" w:rsidR="00DE3EF8" w:rsidRDefault="00DE3EF8" w:rsidP="006A677C">
      <w:pPr>
        <w:pStyle w:val="af6"/>
        <w:numPr>
          <w:ilvl w:val="0"/>
          <w:numId w:val="18"/>
        </w:numPr>
        <w:spacing w:line="360" w:lineRule="auto"/>
        <w:jc w:val="both"/>
        <w:rPr>
          <w:rFonts w:cstheme="minorHAnsi"/>
          <w:sz w:val="24"/>
          <w:szCs w:val="24"/>
        </w:rPr>
      </w:pPr>
      <w:r w:rsidRPr="007D334A">
        <w:rPr>
          <w:rFonts w:cstheme="minorHAnsi" w:hint="cs"/>
          <w:sz w:val="24"/>
          <w:szCs w:val="24"/>
          <w:rtl/>
        </w:rPr>
        <w:t>בפברואר 2025 נכנס לתוקף התיקון ל</w:t>
      </w:r>
      <w:r>
        <w:rPr>
          <w:rFonts w:cstheme="minorHAnsi" w:hint="cs"/>
          <w:sz w:val="24"/>
          <w:szCs w:val="24"/>
          <w:rtl/>
        </w:rPr>
        <w:t xml:space="preserve">כללי העמלות </w:t>
      </w:r>
      <w:r w:rsidRPr="007D334A">
        <w:rPr>
          <w:rFonts w:cstheme="minorHAnsi" w:hint="cs"/>
          <w:sz w:val="24"/>
          <w:szCs w:val="24"/>
          <w:rtl/>
        </w:rPr>
        <w:t xml:space="preserve">אשר נועד להוזיל את העלויות לציבור </w:t>
      </w:r>
      <w:r>
        <w:rPr>
          <w:rFonts w:cstheme="minorHAnsi" w:hint="cs"/>
          <w:sz w:val="24"/>
          <w:szCs w:val="24"/>
          <w:rtl/>
        </w:rPr>
        <w:t xml:space="preserve">של </w:t>
      </w:r>
      <w:r w:rsidRPr="007D334A">
        <w:rPr>
          <w:rFonts w:cstheme="minorHAnsi" w:hint="cs"/>
          <w:sz w:val="24"/>
          <w:szCs w:val="24"/>
          <w:rtl/>
        </w:rPr>
        <w:t xml:space="preserve">עמלת ערבות מובטחת </w:t>
      </w:r>
      <w:proofErr w:type="spellStart"/>
      <w:r w:rsidRPr="007D334A">
        <w:rPr>
          <w:rFonts w:cstheme="minorHAnsi" w:hint="cs"/>
          <w:sz w:val="24"/>
          <w:szCs w:val="24"/>
          <w:rtl/>
        </w:rPr>
        <w:t>בפקדון</w:t>
      </w:r>
      <w:proofErr w:type="spellEnd"/>
      <w:r w:rsidRPr="007D334A">
        <w:rPr>
          <w:rFonts w:cstheme="minorHAnsi" w:hint="cs"/>
          <w:sz w:val="24"/>
          <w:szCs w:val="24"/>
          <w:rtl/>
        </w:rPr>
        <w:t xml:space="preserve"> כספי ספציפי</w:t>
      </w:r>
      <w:r>
        <w:rPr>
          <w:rFonts w:cstheme="minorHAnsi" w:hint="cs"/>
          <w:sz w:val="24"/>
          <w:szCs w:val="24"/>
          <w:rtl/>
        </w:rPr>
        <w:t>,</w:t>
      </w:r>
      <w:r w:rsidRPr="007D334A">
        <w:rPr>
          <w:rFonts w:cstheme="minorHAnsi" w:hint="cs"/>
          <w:sz w:val="24"/>
          <w:szCs w:val="24"/>
          <w:rtl/>
        </w:rPr>
        <w:t xml:space="preserve">. </w:t>
      </w:r>
      <w:r w:rsidRPr="007D334A">
        <w:rPr>
          <w:rFonts w:cs="Calibri"/>
          <w:sz w:val="24"/>
          <w:szCs w:val="24"/>
          <w:rtl/>
        </w:rPr>
        <w:t xml:space="preserve">לאור כך עודכן מנגנון הגביה ממנגנון אחוזי לסכום שקלי קבוע. כמו כן, נקבע שירות נוסף שנקרא "ערבות בנקאית המובטחת בפיקדון כספי ספציפי לצורך הסכם שכירות לדירת מגורים". </w:t>
      </w:r>
      <w:r>
        <w:rPr>
          <w:rFonts w:cs="Calibri" w:hint="cs"/>
          <w:sz w:val="24"/>
          <w:szCs w:val="24"/>
          <w:rtl/>
        </w:rPr>
        <w:t>נקבע ש</w:t>
      </w:r>
      <w:r w:rsidRPr="007D334A">
        <w:rPr>
          <w:rFonts w:cs="Calibri"/>
          <w:sz w:val="24"/>
          <w:szCs w:val="24"/>
          <w:rtl/>
        </w:rPr>
        <w:t xml:space="preserve">עלות שירות זה תהיה נמוכה יותר כיוון שהתפעול הינו פשוט יותר וגם מתוך רצון להקל על אוכלוסיית שוכרי הדירות. </w:t>
      </w:r>
    </w:p>
    <w:p w14:paraId="3BA850B7" w14:textId="027C2C32" w:rsidR="00DE3EF8" w:rsidRPr="007D334A" w:rsidRDefault="00DE3EF8" w:rsidP="006A677C">
      <w:pPr>
        <w:pStyle w:val="af6"/>
        <w:numPr>
          <w:ilvl w:val="0"/>
          <w:numId w:val="18"/>
        </w:numPr>
        <w:spacing w:line="360" w:lineRule="auto"/>
        <w:jc w:val="both"/>
        <w:rPr>
          <w:rFonts w:cstheme="minorHAnsi"/>
          <w:sz w:val="24"/>
          <w:szCs w:val="24"/>
        </w:rPr>
      </w:pPr>
      <w:r w:rsidRPr="007D334A">
        <w:rPr>
          <w:rFonts w:cstheme="minorHAnsi" w:hint="cs"/>
          <w:sz w:val="24"/>
          <w:szCs w:val="24"/>
          <w:rtl/>
        </w:rPr>
        <w:t>בינואר 2025 נכנס לתוקף פרק חדש שהתווסף לכללי העמלות בנושא "אפליקציות תשלומים"</w:t>
      </w:r>
      <w:r>
        <w:rPr>
          <w:rFonts w:cstheme="minorHAnsi" w:hint="cs"/>
          <w:sz w:val="24"/>
          <w:szCs w:val="24"/>
          <w:rtl/>
        </w:rPr>
        <w:t>.</w:t>
      </w:r>
      <w:r w:rsidRPr="007D334A">
        <w:rPr>
          <w:rFonts w:cstheme="minorHAnsi" w:hint="cs"/>
          <w:sz w:val="24"/>
          <w:szCs w:val="24"/>
          <w:rtl/>
        </w:rPr>
        <w:t xml:space="preserve"> תוספת זו נועדה לאפשר שירות</w:t>
      </w:r>
      <w:r>
        <w:rPr>
          <w:rFonts w:cstheme="minorHAnsi" w:hint="cs"/>
          <w:sz w:val="24"/>
          <w:szCs w:val="24"/>
          <w:rtl/>
        </w:rPr>
        <w:t>ים חדשניים לקבלת תשלום ולביצוע הוראות תשלום.</w:t>
      </w:r>
      <w:r w:rsidRPr="005C6816">
        <w:rPr>
          <w:rFonts w:cs="Calibri"/>
          <w:sz w:val="24"/>
          <w:szCs w:val="24"/>
          <w:rtl/>
        </w:rPr>
        <w:t xml:space="preserve"> </w:t>
      </w:r>
      <w:r>
        <w:rPr>
          <w:rFonts w:cs="Calibri" w:hint="cs"/>
          <w:sz w:val="24"/>
          <w:szCs w:val="24"/>
          <w:rtl/>
        </w:rPr>
        <w:t xml:space="preserve">אגב כך נקבע כי </w:t>
      </w:r>
      <w:r w:rsidRPr="005C6816">
        <w:rPr>
          <w:rFonts w:cs="Calibri"/>
          <w:sz w:val="24"/>
          <w:szCs w:val="24"/>
          <w:rtl/>
        </w:rPr>
        <w:t xml:space="preserve">העמלות בגין השירותים </w:t>
      </w:r>
      <w:r>
        <w:rPr>
          <w:rFonts w:cs="Calibri" w:hint="cs"/>
          <w:sz w:val="24"/>
          <w:szCs w:val="24"/>
          <w:rtl/>
        </w:rPr>
        <w:t xml:space="preserve">אלו </w:t>
      </w:r>
      <w:r w:rsidRPr="005C6816">
        <w:rPr>
          <w:rFonts w:cs="Calibri"/>
          <w:sz w:val="24"/>
          <w:szCs w:val="24"/>
          <w:rtl/>
        </w:rPr>
        <w:t xml:space="preserve">יגבו מלקוחות המקבלים תשלומים או מעבירים תשלומים באמצעות אפליקציות תשלומים, בהיקף פעילות של יותר מ-25 אלפי ₪ בשנה </w:t>
      </w:r>
      <w:proofErr w:type="spellStart"/>
      <w:r w:rsidRPr="005C6816">
        <w:rPr>
          <w:rFonts w:cs="Calibri"/>
          <w:sz w:val="24"/>
          <w:szCs w:val="24"/>
          <w:rtl/>
        </w:rPr>
        <w:t>קלנדרית</w:t>
      </w:r>
      <w:proofErr w:type="spellEnd"/>
      <w:r w:rsidRPr="005C6816">
        <w:rPr>
          <w:rFonts w:cs="Calibri"/>
          <w:sz w:val="24"/>
          <w:szCs w:val="24"/>
          <w:rtl/>
        </w:rPr>
        <w:t>, בכל אחד מהשירותים. לקוחות אלו מהווים חלק קטן מכלל הלקוחות המבצעים פעילות באפליקציות תשלומי</w:t>
      </w:r>
      <w:r>
        <w:rPr>
          <w:rFonts w:cs="Calibri"/>
          <w:sz w:val="24"/>
          <w:szCs w:val="24"/>
          <w:rtl/>
        </w:rPr>
        <w:t xml:space="preserve">ם ולכן עבור רוב הלקוחות השירות </w:t>
      </w:r>
      <w:r>
        <w:rPr>
          <w:rFonts w:cs="Calibri" w:hint="cs"/>
          <w:sz w:val="24"/>
          <w:szCs w:val="24"/>
          <w:rtl/>
        </w:rPr>
        <w:t>ה</w:t>
      </w:r>
      <w:r w:rsidRPr="005C6816">
        <w:rPr>
          <w:rFonts w:cs="Calibri"/>
          <w:sz w:val="24"/>
          <w:szCs w:val="24"/>
          <w:rtl/>
        </w:rPr>
        <w:t>משיך להיות ללא עלות.</w:t>
      </w:r>
      <w:r>
        <w:rPr>
          <w:rFonts w:cstheme="minorHAnsi" w:hint="cs"/>
          <w:sz w:val="24"/>
          <w:szCs w:val="24"/>
          <w:rtl/>
        </w:rPr>
        <w:t xml:space="preserve"> כמו כן, נקבע שירות "דמי מנוי לשירות מיוחד" המאפשר גביית עמלה על שירותים מיוחדים, </w:t>
      </w:r>
      <w:proofErr w:type="spellStart"/>
      <w:r>
        <w:rPr>
          <w:rFonts w:cstheme="minorHAnsi" w:hint="cs"/>
          <w:sz w:val="24"/>
          <w:szCs w:val="24"/>
          <w:rtl/>
        </w:rPr>
        <w:t>שינתנו</w:t>
      </w:r>
      <w:proofErr w:type="spellEnd"/>
      <w:r>
        <w:rPr>
          <w:rFonts w:cstheme="minorHAnsi" w:hint="cs"/>
          <w:sz w:val="24"/>
          <w:szCs w:val="24"/>
          <w:rtl/>
        </w:rPr>
        <w:t xml:space="preserve"> ללקוחות של אפליקציות התשלום שיחפצו בכך, מעבר להעברת וקבלת תשלומים."</w:t>
      </w:r>
    </w:p>
    <w:p w14:paraId="432D4D07" w14:textId="77777777" w:rsidR="00DE3EF8" w:rsidRDefault="00DE3EF8" w:rsidP="006A677C">
      <w:pPr>
        <w:pStyle w:val="af6"/>
        <w:spacing w:line="360" w:lineRule="auto"/>
        <w:jc w:val="both"/>
        <w:rPr>
          <w:rStyle w:val="af8"/>
          <w:rFonts w:cstheme="minorHAnsi"/>
          <w:sz w:val="24"/>
          <w:szCs w:val="24"/>
          <w:rtl/>
        </w:rPr>
      </w:pPr>
    </w:p>
    <w:p w14:paraId="3BF0E97F" w14:textId="77777777" w:rsidR="00DE3EF8" w:rsidRPr="006A677C" w:rsidRDefault="00DE3EF8" w:rsidP="006A677C">
      <w:pPr>
        <w:pStyle w:val="af6"/>
        <w:spacing w:line="360" w:lineRule="auto"/>
        <w:jc w:val="both"/>
        <w:rPr>
          <w:rFonts w:cstheme="minorHAnsi"/>
          <w:b/>
          <w:bCs/>
          <w:sz w:val="24"/>
          <w:szCs w:val="24"/>
          <w:rtl/>
        </w:rPr>
      </w:pPr>
      <w:r w:rsidRPr="006A677C">
        <w:rPr>
          <w:rStyle w:val="af8"/>
          <w:rFonts w:cstheme="minorHAnsi"/>
          <w:b/>
          <w:bCs/>
          <w:sz w:val="24"/>
          <w:szCs w:val="24"/>
          <w:rtl/>
        </w:rPr>
        <w:t>להלן עיקרי הדוח:</w:t>
      </w:r>
    </w:p>
    <w:p w14:paraId="243A92D1" w14:textId="26E256F8" w:rsidR="00DE3EF8" w:rsidRDefault="00DE3EF8" w:rsidP="006A677C">
      <w:pPr>
        <w:pStyle w:val="af6"/>
        <w:spacing w:line="360" w:lineRule="auto"/>
        <w:ind w:left="5"/>
        <w:jc w:val="both"/>
        <w:rPr>
          <w:rFonts w:cstheme="minorHAnsi"/>
          <w:sz w:val="24"/>
          <w:szCs w:val="24"/>
          <w:rtl/>
        </w:rPr>
      </w:pPr>
      <w:r>
        <w:rPr>
          <w:rFonts w:cstheme="minorHAnsi" w:hint="cs"/>
          <w:sz w:val="24"/>
          <w:szCs w:val="24"/>
          <w:rtl/>
        </w:rPr>
        <w:t>בתקופת הדוח נמשכה</w:t>
      </w:r>
      <w:r w:rsidRPr="0010642A">
        <w:rPr>
          <w:rFonts w:cstheme="minorHAnsi"/>
          <w:sz w:val="24"/>
          <w:szCs w:val="24"/>
          <w:rtl/>
        </w:rPr>
        <w:t xml:space="preserve"> </w:t>
      </w:r>
      <w:r w:rsidR="00B77D04">
        <w:rPr>
          <w:rFonts w:cstheme="minorHAnsi" w:hint="cs"/>
          <w:sz w:val="24"/>
          <w:szCs w:val="24"/>
          <w:rtl/>
        </w:rPr>
        <w:t>ה</w:t>
      </w:r>
      <w:r w:rsidRPr="0010642A">
        <w:rPr>
          <w:rFonts w:cstheme="minorHAnsi"/>
          <w:sz w:val="24"/>
          <w:szCs w:val="24"/>
          <w:rtl/>
        </w:rPr>
        <w:t>מלחמ</w:t>
      </w:r>
      <w:r w:rsidR="00B77D04">
        <w:rPr>
          <w:rFonts w:cstheme="minorHAnsi" w:hint="cs"/>
          <w:sz w:val="24"/>
          <w:szCs w:val="24"/>
          <w:rtl/>
        </w:rPr>
        <w:t>ה</w:t>
      </w:r>
      <w:r>
        <w:rPr>
          <w:rFonts w:cstheme="minorHAnsi" w:hint="cs"/>
          <w:sz w:val="24"/>
          <w:szCs w:val="24"/>
          <w:rtl/>
        </w:rPr>
        <w:t>, בעקבותיה גובשו מתווי בנק ישראל לסיוע לציבור. לא נצפו השפעות נוספות של אירועים אלו על נתוני הדוח בהשוואה לדוח הקודם.</w:t>
      </w:r>
    </w:p>
    <w:p w14:paraId="761F220E" w14:textId="77777777"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tl/>
        </w:rPr>
      </w:pPr>
      <w:r w:rsidRPr="00DD5F3A">
        <w:rPr>
          <w:rFonts w:ascii="Calibri" w:eastAsia="Calibri" w:hAnsi="Calibri" w:cstheme="minorHAnsi"/>
          <w:sz w:val="24"/>
          <w:szCs w:val="24"/>
          <w:rtl/>
        </w:rPr>
        <w:t xml:space="preserve">בתקופה הנסקרת חלה עליה קלה ביחס הכולל בין סך ההכנסות מעמלות לסך הנכסים מ-0.69% ל-0.71%. </w:t>
      </w:r>
      <w:proofErr w:type="spellStart"/>
      <w:r w:rsidRPr="00DD5F3A">
        <w:rPr>
          <w:rFonts w:ascii="Calibri" w:eastAsia="Calibri" w:hAnsi="Calibri" w:cstheme="minorHAnsi"/>
          <w:sz w:val="24"/>
          <w:szCs w:val="24"/>
          <w:rtl/>
        </w:rPr>
        <w:t>העליה</w:t>
      </w:r>
      <w:proofErr w:type="spellEnd"/>
      <w:r w:rsidRPr="00DD5F3A">
        <w:rPr>
          <w:rFonts w:ascii="Calibri" w:eastAsia="Calibri" w:hAnsi="Calibri" w:cstheme="minorHAnsi"/>
          <w:sz w:val="24"/>
          <w:szCs w:val="24"/>
          <w:rtl/>
        </w:rPr>
        <w:t xml:space="preserve"> נובעת בעיקר מגידול בהכנסות מעמלות מעסקים גדולים ו</w:t>
      </w:r>
      <w:r w:rsidR="00AE3666" w:rsidRPr="00DD5F3A">
        <w:rPr>
          <w:rFonts w:ascii="Calibri" w:eastAsia="Calibri" w:hAnsi="Calibri" w:cstheme="minorHAnsi" w:hint="cs"/>
          <w:sz w:val="24"/>
          <w:szCs w:val="24"/>
          <w:rtl/>
        </w:rPr>
        <w:t>מ</w:t>
      </w:r>
      <w:r w:rsidRPr="00DD5F3A">
        <w:rPr>
          <w:rFonts w:ascii="Calibri" w:eastAsia="Calibri" w:hAnsi="Calibri" w:cstheme="minorHAnsi"/>
          <w:sz w:val="24"/>
          <w:szCs w:val="24"/>
          <w:rtl/>
        </w:rPr>
        <w:t>גידול בהכנסות מפעילות ניירות ערך של יחידים ועסקים קטנים.</w:t>
      </w:r>
    </w:p>
    <w:p w14:paraId="236A73E4" w14:textId="70B83A3A"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Pr>
      </w:pPr>
      <w:r w:rsidRPr="00DD5F3A">
        <w:rPr>
          <w:rFonts w:ascii="Calibri" w:eastAsia="Calibri" w:hAnsi="Calibri" w:cstheme="minorHAnsi" w:hint="cs"/>
          <w:sz w:val="24"/>
          <w:szCs w:val="24"/>
          <w:rtl/>
        </w:rPr>
        <w:t>בתקופה הנסקרת</w:t>
      </w:r>
      <w:r w:rsidRPr="00DD5F3A">
        <w:rPr>
          <w:rFonts w:ascii="Calibri" w:eastAsia="Calibri" w:hAnsi="Calibri" w:cstheme="minorHAnsi"/>
          <w:sz w:val="24"/>
          <w:szCs w:val="24"/>
          <w:rtl/>
        </w:rPr>
        <w:t xml:space="preserve"> הסתכם סך ההכנסות מעמלות שגבו הבנקים ממשקי בית ועסקים קטנים ב-3.</w:t>
      </w:r>
      <w:r w:rsidRPr="00DD5F3A">
        <w:rPr>
          <w:rFonts w:ascii="Calibri" w:eastAsia="Calibri" w:hAnsi="Calibri" w:cstheme="minorHAnsi" w:hint="cs"/>
          <w:sz w:val="24"/>
          <w:szCs w:val="24"/>
          <w:rtl/>
        </w:rPr>
        <w:t>1</w:t>
      </w:r>
      <w:r w:rsidRPr="00DD5F3A">
        <w:rPr>
          <w:rFonts w:ascii="Calibri" w:eastAsia="Calibri" w:hAnsi="Calibri" w:cstheme="minorHAnsi"/>
          <w:sz w:val="24"/>
          <w:szCs w:val="24"/>
          <w:rtl/>
        </w:rPr>
        <w:t xml:space="preserve"> מיליארד ש"ח.</w:t>
      </w:r>
      <w:r w:rsidRPr="00DD5F3A">
        <w:rPr>
          <w:rFonts w:ascii="Calibri" w:eastAsia="Calibri" w:hAnsi="Calibri" w:cstheme="minorHAnsi" w:hint="cs"/>
          <w:sz w:val="24"/>
          <w:szCs w:val="24"/>
          <w:rtl/>
        </w:rPr>
        <w:t xml:space="preserve"> עיקר הכנסות הבנקים מעמלות מקורם מעמלות ני"ע, עו"ש וכרטיסי חיוב.</w:t>
      </w:r>
    </w:p>
    <w:p w14:paraId="45ECAE98" w14:textId="77777777"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tl/>
        </w:rPr>
      </w:pPr>
      <w:r w:rsidRPr="00DD5F3A">
        <w:rPr>
          <w:rFonts w:ascii="Calibri" w:eastAsia="Calibri" w:hAnsi="Calibri" w:cstheme="minorHAnsi"/>
          <w:sz w:val="24"/>
          <w:szCs w:val="24"/>
          <w:rtl/>
        </w:rPr>
        <w:t>מידע חדש על אודות התפלגות ההכנסות מעמלות של חברות כרטיסי האשראי התווסף במסגרת דוח זה החל מהרבעון השני של 2025. סך ההכנסות מעמלות שגבו חברות כרטיסי אשראי ממשקי בית ועסקים קטנים ברבעון השני של 2025 הסתכם בכ-0.6 מיליארד ש"ח.</w:t>
      </w:r>
    </w:p>
    <w:p w14:paraId="23F2E2F9" w14:textId="77777777" w:rsidR="00DE3EF8" w:rsidRPr="00DD5F3A" w:rsidRDefault="00DE3EF8" w:rsidP="006A677C">
      <w:pPr>
        <w:pStyle w:val="a5"/>
        <w:numPr>
          <w:ilvl w:val="0"/>
          <w:numId w:val="17"/>
        </w:numPr>
        <w:spacing w:after="0" w:line="360" w:lineRule="auto"/>
        <w:jc w:val="both"/>
        <w:rPr>
          <w:rFonts w:ascii="Calibri" w:eastAsia="Calibri" w:hAnsi="Calibri" w:cstheme="minorHAnsi"/>
          <w:sz w:val="24"/>
          <w:szCs w:val="24"/>
          <w:rtl/>
        </w:rPr>
      </w:pPr>
      <w:r w:rsidRPr="00DD5F3A">
        <w:rPr>
          <w:rFonts w:ascii="Calibri" w:eastAsia="Calibri" w:hAnsi="Calibri" w:cstheme="minorHAnsi"/>
          <w:sz w:val="24"/>
          <w:szCs w:val="24"/>
          <w:rtl/>
        </w:rPr>
        <w:t xml:space="preserve">העלות הממוצעת של ניהול עו"ש והחזקת כרטיס חיוב בחשבון משק בית, הסתכמה </w:t>
      </w:r>
      <w:r w:rsidRPr="00DD5F3A">
        <w:rPr>
          <w:rFonts w:ascii="Calibri" w:eastAsia="Calibri" w:hAnsi="Calibri" w:cstheme="minorHAnsi" w:hint="cs"/>
          <w:sz w:val="24"/>
          <w:szCs w:val="24"/>
          <w:rtl/>
        </w:rPr>
        <w:t>בתקופה הנסקרת</w:t>
      </w:r>
      <w:r w:rsidRPr="00DD5F3A">
        <w:rPr>
          <w:rFonts w:ascii="Calibri" w:eastAsia="Calibri" w:hAnsi="Calibri" w:cstheme="minorHAnsi"/>
          <w:sz w:val="24"/>
          <w:szCs w:val="24"/>
          <w:rtl/>
        </w:rPr>
        <w:t xml:space="preserve"> ב-31.5 ש"ח בחודש בהשוואה ל</w:t>
      </w:r>
      <w:r w:rsidRPr="00DD5F3A">
        <w:rPr>
          <w:rFonts w:ascii="Calibri" w:eastAsia="Calibri" w:hAnsi="Calibri" w:cstheme="minorHAnsi" w:hint="cs"/>
          <w:sz w:val="24"/>
          <w:szCs w:val="24"/>
          <w:rtl/>
        </w:rPr>
        <w:t>-29.1</w:t>
      </w:r>
      <w:r w:rsidRPr="00DD5F3A">
        <w:rPr>
          <w:rFonts w:ascii="Calibri" w:eastAsia="Calibri" w:hAnsi="Calibri" w:cstheme="minorHAnsi"/>
          <w:sz w:val="24"/>
          <w:szCs w:val="24"/>
          <w:rtl/>
        </w:rPr>
        <w:t xml:space="preserve"> ש"ח בממוצע לחודש לחשבון בשנת 2024. </w:t>
      </w:r>
    </w:p>
    <w:bookmarkEnd w:id="0"/>
    <w:p w14:paraId="37FA378F" w14:textId="77777777" w:rsidR="00DE3EF8" w:rsidRPr="00DD5F3A" w:rsidRDefault="00DE3EF8" w:rsidP="006A677C">
      <w:pPr>
        <w:shd w:val="clear" w:color="auto" w:fill="FFFFFF"/>
        <w:spacing w:after="100" w:afterAutospacing="1" w:line="360" w:lineRule="auto"/>
        <w:jc w:val="both"/>
        <w:outlineLvl w:val="0"/>
        <w:rPr>
          <w:rFonts w:ascii="Calibri" w:eastAsia="Calibri" w:hAnsi="Calibri" w:cstheme="minorHAnsi"/>
          <w:sz w:val="24"/>
          <w:szCs w:val="24"/>
          <w:rtl/>
        </w:rPr>
      </w:pPr>
    </w:p>
    <w:sectPr w:rsidR="00DE3EF8" w:rsidRPr="00DD5F3A" w:rsidSect="001D340E">
      <w:footerReference w:type="first" r:id="rId9"/>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468BF" w14:textId="77777777" w:rsidR="009743D2" w:rsidRDefault="009743D2" w:rsidP="008755E3">
      <w:pPr>
        <w:spacing w:after="0" w:line="240" w:lineRule="auto"/>
      </w:pPr>
      <w:r>
        <w:separator/>
      </w:r>
    </w:p>
  </w:endnote>
  <w:endnote w:type="continuationSeparator" w:id="0">
    <w:p w14:paraId="6F14ECEE" w14:textId="77777777" w:rsidR="009743D2" w:rsidRDefault="009743D2"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E2B1" w14:textId="77777777" w:rsidR="001D340E" w:rsidRDefault="001D340E" w:rsidP="001D340E">
    <w:pPr>
      <w:pStyle w:val="ae"/>
      <w:rPr>
        <w:rtl/>
      </w:rPr>
    </w:pPr>
    <w:r w:rsidRPr="00571971">
      <w:rPr>
        <w:rFonts w:cs="Calibri"/>
        <w:noProof/>
        <w:rtl/>
      </w:rPr>
      <w:drawing>
        <wp:anchor distT="0" distB="0" distL="114300" distR="114300" simplePos="0" relativeHeight="251674624" behindDoc="0" locked="0" layoutInCell="1" allowOverlap="1" wp14:anchorId="15C125B3" wp14:editId="2DD00045">
          <wp:simplePos x="0" y="0"/>
          <wp:positionH relativeFrom="margin">
            <wp:posOffset>5628736</wp:posOffset>
          </wp:positionH>
          <wp:positionV relativeFrom="paragraph">
            <wp:posOffset>-161769</wp:posOffset>
          </wp:positionV>
          <wp:extent cx="310551" cy="310551"/>
          <wp:effectExtent l="0" t="0" r="0" b="0"/>
          <wp:wrapNone/>
          <wp:docPr id="36" name="תמונה 36"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1FA73268" wp14:editId="6C45835D">
          <wp:simplePos x="0" y="0"/>
          <wp:positionH relativeFrom="column">
            <wp:posOffset>4231257</wp:posOffset>
          </wp:positionH>
          <wp:positionV relativeFrom="paragraph">
            <wp:posOffset>-127468</wp:posOffset>
          </wp:positionV>
          <wp:extent cx="241539" cy="241539"/>
          <wp:effectExtent l="0" t="0" r="6350" b="6350"/>
          <wp:wrapNone/>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41CD80D8" wp14:editId="03D4B444">
          <wp:simplePos x="0" y="0"/>
          <wp:positionH relativeFrom="column">
            <wp:posOffset>2411084</wp:posOffset>
          </wp:positionH>
          <wp:positionV relativeFrom="paragraph">
            <wp:posOffset>-135638</wp:posOffset>
          </wp:positionV>
          <wp:extent cx="266528" cy="262039"/>
          <wp:effectExtent l="0" t="0" r="635" b="5080"/>
          <wp:wrapNone/>
          <wp:docPr id="38"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1214475C" wp14:editId="2F023FCF">
          <wp:simplePos x="0" y="0"/>
          <wp:positionH relativeFrom="column">
            <wp:posOffset>565030</wp:posOffset>
          </wp:positionH>
          <wp:positionV relativeFrom="paragraph">
            <wp:posOffset>-118386</wp:posOffset>
          </wp:positionV>
          <wp:extent cx="329206" cy="241456"/>
          <wp:effectExtent l="0" t="0" r="0" b="6350"/>
          <wp:wrapNone/>
          <wp:docPr id="39"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0456A233" wp14:editId="0A992246">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14:paraId="56BE7C46" w14:textId="77777777"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6A233"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14:paraId="56BE7C46" w14:textId="77777777"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2FC47D32" wp14:editId="2003AF9F">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2BFB8FB4" w14:textId="77777777"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47D32"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14:paraId="2BFB8FB4" w14:textId="77777777"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4875330A" wp14:editId="5333DD06">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520CED17" w14:textId="77777777"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75330A"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14:paraId="520CED17" w14:textId="77777777"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7B31995" wp14:editId="7CE919E7">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26D6F049" w14:textId="77777777"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B31995"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14:paraId="26D6F049" w14:textId="77777777"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593BCA4" wp14:editId="5FB88DA8">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39B9B"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14:paraId="68E05B31" w14:textId="77777777" w:rsidR="001D340E" w:rsidRPr="009005BA" w:rsidRDefault="001D340E" w:rsidP="001D340E">
    <w:pPr>
      <w:pStyle w:val="ae"/>
    </w:pPr>
  </w:p>
  <w:p w14:paraId="02175E2A" w14:textId="77777777"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504E" w14:textId="77777777" w:rsidR="009743D2" w:rsidRDefault="009743D2" w:rsidP="008755E3">
      <w:pPr>
        <w:spacing w:after="0" w:line="240" w:lineRule="auto"/>
      </w:pPr>
      <w:r>
        <w:separator/>
      </w:r>
    </w:p>
  </w:footnote>
  <w:footnote w:type="continuationSeparator" w:id="0">
    <w:p w14:paraId="0E0F3C6C" w14:textId="77777777" w:rsidR="009743D2" w:rsidRDefault="009743D2" w:rsidP="008755E3">
      <w:pPr>
        <w:spacing w:after="0" w:line="240" w:lineRule="auto"/>
      </w:pPr>
      <w:r>
        <w:continuationSeparator/>
      </w:r>
    </w:p>
  </w:footnote>
  <w:footnote w:id="1">
    <w:p w14:paraId="20DD2B33" w14:textId="77777777" w:rsidR="00B77D04" w:rsidRDefault="00B77D04" w:rsidP="00B77D04">
      <w:pPr>
        <w:pStyle w:val="af0"/>
        <w:rPr>
          <w:rtl/>
        </w:rPr>
      </w:pPr>
      <w:r>
        <w:rPr>
          <w:rStyle w:val="af2"/>
        </w:rPr>
        <w:footnoteRef/>
      </w:r>
      <w:r>
        <w:rPr>
          <w:rtl/>
        </w:rPr>
        <w:t xml:space="preserve"> </w:t>
      </w:r>
      <w:hyperlink r:id="rId1" w:history="1">
        <w:r w:rsidRPr="00AF351E">
          <w:rPr>
            <w:rStyle w:val="Hyperlink"/>
            <w:rFonts w:hint="cs"/>
            <w:rtl/>
          </w:rPr>
          <w:t>קישור לדוח</w:t>
        </w:r>
      </w:hyperlink>
    </w:p>
  </w:footnote>
  <w:footnote w:id="2">
    <w:p w14:paraId="461F5B12" w14:textId="77777777" w:rsidR="00DE3EF8" w:rsidRDefault="00DE3EF8" w:rsidP="00DE3EF8">
      <w:pPr>
        <w:pStyle w:val="af0"/>
      </w:pPr>
      <w:r>
        <w:rPr>
          <w:rStyle w:val="af2"/>
        </w:rPr>
        <w:footnoteRef/>
      </w:r>
      <w:r>
        <w:rPr>
          <w:rtl/>
        </w:rPr>
        <w:t xml:space="preserve"> </w:t>
      </w:r>
      <w:hyperlink r:id="rId2" w:history="1">
        <w:r w:rsidRPr="004220F3">
          <w:rPr>
            <w:rStyle w:val="Hyperlink"/>
          </w:rPr>
          <w:t>https://www.boi.org.il/publications/pressreleases/15-07-2025</w:t>
        </w:r>
        <w:r w:rsidRPr="004220F3">
          <w:rPr>
            <w:rStyle w:val="Hyperlink"/>
            <w:rFonts w:cs="Arial"/>
            <w:rtl/>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240A6"/>
    <w:multiLevelType w:val="hybridMultilevel"/>
    <w:tmpl w:val="7BC00EB2"/>
    <w:lvl w:ilvl="0" w:tplc="F886B9EE">
      <w:numFmt w:val="bullet"/>
      <w:lvlText w:val="-"/>
      <w:lvlJc w:val="left"/>
      <w:pPr>
        <w:ind w:left="365" w:hanging="360"/>
      </w:pPr>
      <w:rPr>
        <w:rFonts w:ascii="Calibri" w:eastAsiaTheme="minorHAnsi" w:hAnsi="Calibri" w:cs="Calibri"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E15FE7"/>
    <w:multiLevelType w:val="hybridMultilevel"/>
    <w:tmpl w:val="706659AC"/>
    <w:lvl w:ilvl="0" w:tplc="838E7DF4">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6"/>
  </w:num>
  <w:num w:numId="6">
    <w:abstractNumId w:val="1"/>
  </w:num>
  <w:num w:numId="7">
    <w:abstractNumId w:val="12"/>
  </w:num>
  <w:num w:numId="8">
    <w:abstractNumId w:val="16"/>
  </w:num>
  <w:num w:numId="9">
    <w:abstractNumId w:val="17"/>
  </w:num>
  <w:num w:numId="10">
    <w:abstractNumId w:val="13"/>
  </w:num>
  <w:num w:numId="11">
    <w:abstractNumId w:val="10"/>
  </w:num>
  <w:num w:numId="12">
    <w:abstractNumId w:val="14"/>
  </w:num>
  <w:num w:numId="13">
    <w:abstractNumId w:val="9"/>
  </w:num>
  <w:num w:numId="14">
    <w:abstractNumId w:val="3"/>
  </w:num>
  <w:num w:numId="15">
    <w:abstractNumId w:val="15"/>
  </w:num>
  <w:num w:numId="16">
    <w:abstractNumId w:val="0"/>
  </w:num>
  <w:num w:numId="17">
    <w:abstractNumId w:val="11"/>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4392"/>
    <w:rsid w:val="000453E0"/>
    <w:rsid w:val="00046F61"/>
    <w:rsid w:val="00050E93"/>
    <w:rsid w:val="00052F10"/>
    <w:rsid w:val="00054E73"/>
    <w:rsid w:val="00056420"/>
    <w:rsid w:val="00060928"/>
    <w:rsid w:val="00064D3C"/>
    <w:rsid w:val="0006606D"/>
    <w:rsid w:val="00066BDB"/>
    <w:rsid w:val="00067953"/>
    <w:rsid w:val="000706BA"/>
    <w:rsid w:val="00070B92"/>
    <w:rsid w:val="000718EE"/>
    <w:rsid w:val="00075AC0"/>
    <w:rsid w:val="0007674B"/>
    <w:rsid w:val="0007707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31D"/>
    <w:rsid w:val="000F0BD4"/>
    <w:rsid w:val="000F0ECA"/>
    <w:rsid w:val="000F1133"/>
    <w:rsid w:val="000F3EAC"/>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200F"/>
    <w:rsid w:val="00153235"/>
    <w:rsid w:val="001537BC"/>
    <w:rsid w:val="0015483F"/>
    <w:rsid w:val="00156E60"/>
    <w:rsid w:val="00157873"/>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78F9"/>
    <w:rsid w:val="001E7BF7"/>
    <w:rsid w:val="001E7EAF"/>
    <w:rsid w:val="001F447F"/>
    <w:rsid w:val="00200E67"/>
    <w:rsid w:val="0020381C"/>
    <w:rsid w:val="002038AB"/>
    <w:rsid w:val="00204097"/>
    <w:rsid w:val="0020650F"/>
    <w:rsid w:val="00211A0B"/>
    <w:rsid w:val="002127C5"/>
    <w:rsid w:val="0021284F"/>
    <w:rsid w:val="00212AA0"/>
    <w:rsid w:val="00212EA1"/>
    <w:rsid w:val="00213EB1"/>
    <w:rsid w:val="0021439A"/>
    <w:rsid w:val="00214AEE"/>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3AED"/>
    <w:rsid w:val="00244686"/>
    <w:rsid w:val="002454AE"/>
    <w:rsid w:val="00245CA7"/>
    <w:rsid w:val="00245D31"/>
    <w:rsid w:val="00251589"/>
    <w:rsid w:val="00253EEE"/>
    <w:rsid w:val="00254496"/>
    <w:rsid w:val="00256327"/>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22C"/>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5439A"/>
    <w:rsid w:val="0036092C"/>
    <w:rsid w:val="00360A85"/>
    <w:rsid w:val="003612BC"/>
    <w:rsid w:val="0036176A"/>
    <w:rsid w:val="00363AF8"/>
    <w:rsid w:val="003645BD"/>
    <w:rsid w:val="00364F24"/>
    <w:rsid w:val="003650AF"/>
    <w:rsid w:val="00365995"/>
    <w:rsid w:val="00367272"/>
    <w:rsid w:val="0036733B"/>
    <w:rsid w:val="0036771D"/>
    <w:rsid w:val="00371131"/>
    <w:rsid w:val="00371390"/>
    <w:rsid w:val="003715E4"/>
    <w:rsid w:val="003720B1"/>
    <w:rsid w:val="00373659"/>
    <w:rsid w:val="00373A72"/>
    <w:rsid w:val="003765BF"/>
    <w:rsid w:val="003801C5"/>
    <w:rsid w:val="003844B6"/>
    <w:rsid w:val="003856C8"/>
    <w:rsid w:val="00386B74"/>
    <w:rsid w:val="00387232"/>
    <w:rsid w:val="00387920"/>
    <w:rsid w:val="0039194F"/>
    <w:rsid w:val="00392205"/>
    <w:rsid w:val="003951AD"/>
    <w:rsid w:val="00395D24"/>
    <w:rsid w:val="0039616E"/>
    <w:rsid w:val="00396518"/>
    <w:rsid w:val="003A01C4"/>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71294"/>
    <w:rsid w:val="0047247F"/>
    <w:rsid w:val="00473299"/>
    <w:rsid w:val="0047639C"/>
    <w:rsid w:val="00480BCE"/>
    <w:rsid w:val="004813D2"/>
    <w:rsid w:val="0048245F"/>
    <w:rsid w:val="00482E9C"/>
    <w:rsid w:val="004843DB"/>
    <w:rsid w:val="00490CD9"/>
    <w:rsid w:val="00491926"/>
    <w:rsid w:val="00492C50"/>
    <w:rsid w:val="0049563C"/>
    <w:rsid w:val="00495E66"/>
    <w:rsid w:val="004976BA"/>
    <w:rsid w:val="004A0AF0"/>
    <w:rsid w:val="004A0C72"/>
    <w:rsid w:val="004A275C"/>
    <w:rsid w:val="004A295D"/>
    <w:rsid w:val="004A3AE6"/>
    <w:rsid w:val="004A74CC"/>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70"/>
    <w:rsid w:val="00532693"/>
    <w:rsid w:val="005326A1"/>
    <w:rsid w:val="00535ED0"/>
    <w:rsid w:val="005367FF"/>
    <w:rsid w:val="00536843"/>
    <w:rsid w:val="0053743C"/>
    <w:rsid w:val="00542A34"/>
    <w:rsid w:val="00542E3A"/>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20F6"/>
    <w:rsid w:val="00573349"/>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1DE2"/>
    <w:rsid w:val="005D5659"/>
    <w:rsid w:val="005D7D47"/>
    <w:rsid w:val="005E09FF"/>
    <w:rsid w:val="005E0F7E"/>
    <w:rsid w:val="005E11D5"/>
    <w:rsid w:val="005E2116"/>
    <w:rsid w:val="005E344F"/>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0D3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6611"/>
    <w:rsid w:val="006A049C"/>
    <w:rsid w:val="006A623F"/>
    <w:rsid w:val="006A677C"/>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4FB2"/>
    <w:rsid w:val="008755E3"/>
    <w:rsid w:val="008758DB"/>
    <w:rsid w:val="00876019"/>
    <w:rsid w:val="00876F94"/>
    <w:rsid w:val="00877746"/>
    <w:rsid w:val="00877B56"/>
    <w:rsid w:val="00881214"/>
    <w:rsid w:val="00881A07"/>
    <w:rsid w:val="00881A46"/>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43D2"/>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6A2"/>
    <w:rsid w:val="00A11890"/>
    <w:rsid w:val="00A11E73"/>
    <w:rsid w:val="00A1456A"/>
    <w:rsid w:val="00A14C14"/>
    <w:rsid w:val="00A1569A"/>
    <w:rsid w:val="00A16568"/>
    <w:rsid w:val="00A168EC"/>
    <w:rsid w:val="00A209EA"/>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3666"/>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77D04"/>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0E30"/>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4983"/>
    <w:rsid w:val="00CA5F10"/>
    <w:rsid w:val="00CA7AF2"/>
    <w:rsid w:val="00CB1495"/>
    <w:rsid w:val="00CB1ECB"/>
    <w:rsid w:val="00CB479F"/>
    <w:rsid w:val="00CB5618"/>
    <w:rsid w:val="00CB5C75"/>
    <w:rsid w:val="00CB65B6"/>
    <w:rsid w:val="00CB6D81"/>
    <w:rsid w:val="00CB7BBB"/>
    <w:rsid w:val="00CC18ED"/>
    <w:rsid w:val="00CC51A2"/>
    <w:rsid w:val="00CC6E3B"/>
    <w:rsid w:val="00CC78A4"/>
    <w:rsid w:val="00CC7989"/>
    <w:rsid w:val="00CD1822"/>
    <w:rsid w:val="00CD1DFB"/>
    <w:rsid w:val="00CD2312"/>
    <w:rsid w:val="00CD3AFE"/>
    <w:rsid w:val="00CD4B9F"/>
    <w:rsid w:val="00CD4BE4"/>
    <w:rsid w:val="00CD5226"/>
    <w:rsid w:val="00CD5B2C"/>
    <w:rsid w:val="00CD5D4F"/>
    <w:rsid w:val="00CD6374"/>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948"/>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398"/>
    <w:rsid w:val="00DA0961"/>
    <w:rsid w:val="00DA1198"/>
    <w:rsid w:val="00DA2078"/>
    <w:rsid w:val="00DA4804"/>
    <w:rsid w:val="00DA540C"/>
    <w:rsid w:val="00DA5C6D"/>
    <w:rsid w:val="00DB0EE4"/>
    <w:rsid w:val="00DB1AEE"/>
    <w:rsid w:val="00DB2121"/>
    <w:rsid w:val="00DB3F4C"/>
    <w:rsid w:val="00DB4E4A"/>
    <w:rsid w:val="00DB6653"/>
    <w:rsid w:val="00DC138D"/>
    <w:rsid w:val="00DC16A7"/>
    <w:rsid w:val="00DC464E"/>
    <w:rsid w:val="00DC53A4"/>
    <w:rsid w:val="00DC6480"/>
    <w:rsid w:val="00DC6DE0"/>
    <w:rsid w:val="00DC6F14"/>
    <w:rsid w:val="00DD59E1"/>
    <w:rsid w:val="00DD5F3A"/>
    <w:rsid w:val="00DE08B9"/>
    <w:rsid w:val="00DE0EE6"/>
    <w:rsid w:val="00DE1F1D"/>
    <w:rsid w:val="00DE2A3D"/>
    <w:rsid w:val="00DE3EF8"/>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989"/>
    <w:rsid w:val="00E15FB6"/>
    <w:rsid w:val="00E17F21"/>
    <w:rsid w:val="00E2102D"/>
    <w:rsid w:val="00E21733"/>
    <w:rsid w:val="00E21B62"/>
    <w:rsid w:val="00E21BBA"/>
    <w:rsid w:val="00E2634A"/>
    <w:rsid w:val="00E314DC"/>
    <w:rsid w:val="00E326F3"/>
    <w:rsid w:val="00E32CFE"/>
    <w:rsid w:val="00E33A1C"/>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2D8A"/>
    <w:rsid w:val="00EB3AA0"/>
    <w:rsid w:val="00EB43F7"/>
    <w:rsid w:val="00EB7F0D"/>
    <w:rsid w:val="00EC2054"/>
    <w:rsid w:val="00EC561F"/>
    <w:rsid w:val="00EC57DC"/>
    <w:rsid w:val="00EC628A"/>
    <w:rsid w:val="00ED01C3"/>
    <w:rsid w:val="00ED3320"/>
    <w:rsid w:val="00ED3873"/>
    <w:rsid w:val="00ED72B4"/>
    <w:rsid w:val="00EE28BA"/>
    <w:rsid w:val="00EE34E1"/>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2E50"/>
    <w:rsid w:val="00FC2F10"/>
    <w:rsid w:val="00FC75C5"/>
    <w:rsid w:val="00FD1E91"/>
    <w:rsid w:val="00FD2074"/>
    <w:rsid w:val="00FD52AB"/>
    <w:rsid w:val="00FD5926"/>
    <w:rsid w:val="00FD6A78"/>
    <w:rsid w:val="00FE1C1F"/>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7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aliases w:val="גוף 2"/>
    <w:basedOn w:val="a"/>
    <w:link w:val="a6"/>
    <w:uiPriority w:val="34"/>
    <w:qFormat/>
    <w:rsid w:val="00167449"/>
    <w:pPr>
      <w:ind w:left="720"/>
      <w:contextualSpacing/>
    </w:pPr>
  </w:style>
  <w:style w:type="character" w:styleId="a7">
    <w:name w:val="annotation reference"/>
    <w:basedOn w:val="a0"/>
    <w:unhideWhenUsed/>
    <w:rsid w:val="00EB43F7"/>
    <w:rPr>
      <w:sz w:val="16"/>
      <w:szCs w:val="16"/>
    </w:rPr>
  </w:style>
  <w:style w:type="paragraph" w:styleId="a8">
    <w:name w:val="annotation text"/>
    <w:basedOn w:val="a"/>
    <w:link w:val="a9"/>
    <w:unhideWhenUsed/>
    <w:rsid w:val="00EB43F7"/>
    <w:pPr>
      <w:spacing w:line="240" w:lineRule="auto"/>
    </w:pPr>
    <w:rPr>
      <w:sz w:val="20"/>
      <w:szCs w:val="20"/>
    </w:rPr>
  </w:style>
  <w:style w:type="character" w:customStyle="1" w:styleId="a9">
    <w:name w:val="טקסט הערה תו"/>
    <w:basedOn w:val="a0"/>
    <w:link w:val="a8"/>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basedOn w:val="a"/>
    <w:link w:val="af1"/>
    <w:uiPriority w:val="99"/>
    <w:unhideWhenUsed/>
    <w:rsid w:val="006E5D28"/>
    <w:pPr>
      <w:spacing w:after="0" w:line="240" w:lineRule="auto"/>
    </w:pPr>
    <w:rPr>
      <w:sz w:val="20"/>
      <w:szCs w:val="20"/>
    </w:rPr>
  </w:style>
  <w:style w:type="character" w:customStyle="1" w:styleId="af1">
    <w:name w:val="טקסט הערת שוליים תו"/>
    <w:basedOn w:val="a0"/>
    <w:link w:val="af0"/>
    <w:uiPriority w:val="99"/>
    <w:rsid w:val="006E5D28"/>
    <w:rPr>
      <w:sz w:val="20"/>
      <w:szCs w:val="20"/>
    </w:rPr>
  </w:style>
  <w:style w:type="character" w:styleId="af2">
    <w:name w:val="footnote reference"/>
    <w:aliases w:val="Footnote Reference_0,Footnote Reference_1,Footnote Reference_2,Footnote Reference_3"/>
    <w:basedOn w:val="a0"/>
    <w:uiPriority w:val="99"/>
    <w:unhideWhenUsed/>
    <w:rsid w:val="006E5D28"/>
    <w:rPr>
      <w:vertAlign w:val="superscript"/>
    </w:rPr>
  </w:style>
  <w:style w:type="table" w:styleId="af3">
    <w:name w:val="Table Grid"/>
    <w:basedOn w:val="a1"/>
    <w:uiPriority w:val="5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aliases w:val="גוף 2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No Spacing"/>
    <w:link w:val="af7"/>
    <w:uiPriority w:val="1"/>
    <w:qFormat/>
    <w:rsid w:val="00DE3EF8"/>
    <w:pPr>
      <w:bidi/>
      <w:spacing w:after="0" w:line="240" w:lineRule="auto"/>
    </w:pPr>
    <w:rPr>
      <w:rFonts w:ascii="Calibri" w:eastAsia="Calibri" w:hAnsi="Calibri" w:cs="Arial"/>
    </w:rPr>
  </w:style>
  <w:style w:type="character" w:customStyle="1" w:styleId="af7">
    <w:name w:val="ללא מרווח תו"/>
    <w:basedOn w:val="a0"/>
    <w:link w:val="af6"/>
    <w:uiPriority w:val="1"/>
    <w:rsid w:val="00DE3EF8"/>
    <w:rPr>
      <w:rFonts w:ascii="Calibri" w:eastAsia="Calibri" w:hAnsi="Calibri" w:cs="Arial"/>
    </w:rPr>
  </w:style>
  <w:style w:type="character" w:styleId="af8">
    <w:name w:val="Intense Emphasis"/>
    <w:uiPriority w:val="21"/>
    <w:qFormat/>
    <w:rsid w:val="00DE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oi.org.il/publications/pressreleases/15-07-2025/" TargetMode="External"/><Relationship Id="rId1" Type="http://schemas.openxmlformats.org/officeDocument/2006/relationships/hyperlink" Target="https://www.boi.org.il/publications/pressreleases/21-9-25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855C-7774-4DF9-BCC3-B57F68EC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3237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2026-01-25T07:59:00Z</dcterms:created>
  <dcterms:modified xsi:type="dcterms:W3CDTF">2026-01-25T08:09:00Z</dcterms:modified>
</cp:coreProperties>
</file>